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1F0674" w14:textId="62B355A6" w:rsidR="00B05E28" w:rsidRPr="000F3DA6" w:rsidRDefault="000F3DA6" w:rsidP="005576DE">
      <w:pPr>
        <w:ind w:left="-851" w:right="2966"/>
        <w:jc w:val="left"/>
        <w:rPr>
          <w:rFonts w:asciiTheme="majorHAnsi" w:hAnsiTheme="majorHAnsi" w:cs="Calibri"/>
          <w:b/>
          <w:sz w:val="44"/>
          <w:szCs w:val="32"/>
        </w:rPr>
      </w:pPr>
      <w:r w:rsidRPr="000F3DA6">
        <w:rPr>
          <w:rFonts w:asciiTheme="majorHAnsi" w:hAnsiTheme="majorHAnsi" w:cs="Calibri"/>
          <w:b/>
          <w:sz w:val="44"/>
          <w:szCs w:val="32"/>
        </w:rPr>
        <w:t>Plano de Emergência Individual</w:t>
      </w:r>
    </w:p>
    <w:p w14:paraId="60475586" w14:textId="491CC027" w:rsidR="00F6044C" w:rsidRPr="00F6044C" w:rsidRDefault="0049107D" w:rsidP="00F6044C">
      <w:pPr>
        <w:pStyle w:val="Corpo"/>
        <w:keepLines/>
        <w:ind w:left="-851" w:right="3350"/>
        <w:jc w:val="both"/>
        <w:rPr>
          <w:rFonts w:ascii="Cambria" w:eastAsia="Calibri" w:hAnsi="Cambria" w:cs="Calibri"/>
          <w:sz w:val="40"/>
          <w:szCs w:val="40"/>
        </w:rPr>
      </w:pPr>
      <w:r>
        <w:rPr>
          <w:rFonts w:asciiTheme="majorHAnsi" w:hAnsiTheme="majorHAnsi" w:cs="Calibri"/>
          <w:sz w:val="40"/>
          <w:szCs w:val="40"/>
          <w:lang w:val="pt-BR"/>
        </w:rPr>
        <w:t xml:space="preserve">Unidade ENSCO DS-9 </w:t>
      </w:r>
      <w:r w:rsidR="003523A8">
        <w:rPr>
          <w:rFonts w:asciiTheme="majorHAnsi" w:hAnsiTheme="majorHAnsi" w:cs="Calibri"/>
          <w:sz w:val="40"/>
          <w:szCs w:val="40"/>
          <w:lang w:val="pt-BR"/>
        </w:rPr>
        <w:sym w:font="Symbol" w:char="F02D"/>
      </w:r>
      <w:r>
        <w:rPr>
          <w:rFonts w:asciiTheme="majorHAnsi" w:hAnsiTheme="majorHAnsi" w:cs="Calibri"/>
          <w:sz w:val="40"/>
          <w:szCs w:val="40"/>
          <w:lang w:val="pt-BR"/>
        </w:rPr>
        <w:t xml:space="preserve"> </w:t>
      </w:r>
      <w:r w:rsidR="0085655D" w:rsidRPr="00FD3090">
        <w:rPr>
          <w:rFonts w:asciiTheme="majorHAnsi" w:hAnsiTheme="majorHAnsi" w:cs="Calibri"/>
          <w:sz w:val="40"/>
          <w:szCs w:val="40"/>
          <w:lang w:val="pt-BR"/>
        </w:rPr>
        <w:t xml:space="preserve">Atividade de Perfuração Marítima no </w:t>
      </w:r>
      <w:r w:rsidR="0085655D" w:rsidRPr="00B03E1E">
        <w:rPr>
          <w:rFonts w:asciiTheme="majorHAnsi" w:hAnsiTheme="majorHAnsi" w:cs="Calibri"/>
          <w:sz w:val="40"/>
          <w:szCs w:val="40"/>
          <w:lang w:val="pt-BR"/>
        </w:rPr>
        <w:t>Bloco</w:t>
      </w:r>
      <w:r w:rsidR="001850C3">
        <w:rPr>
          <w:rFonts w:asciiTheme="majorHAnsi" w:hAnsiTheme="majorHAnsi" w:cs="Calibri"/>
          <w:sz w:val="40"/>
          <w:szCs w:val="40"/>
          <w:lang w:val="pt-BR"/>
        </w:rPr>
        <w:t xml:space="preserve"> </w:t>
      </w:r>
      <w:r w:rsidR="0085655D" w:rsidRPr="00B03E1E">
        <w:rPr>
          <w:rFonts w:asciiTheme="majorHAnsi" w:hAnsiTheme="majorHAnsi" w:cs="Calibri"/>
          <w:sz w:val="40"/>
          <w:szCs w:val="40"/>
          <w:lang w:val="pt-BR"/>
        </w:rPr>
        <w:t>FZA-M-</w:t>
      </w:r>
      <w:r w:rsidR="0085655D">
        <w:rPr>
          <w:rFonts w:asciiTheme="majorHAnsi" w:hAnsiTheme="majorHAnsi" w:cs="Calibri"/>
          <w:sz w:val="40"/>
          <w:szCs w:val="40"/>
          <w:lang w:val="pt-BR"/>
        </w:rPr>
        <w:t>59</w:t>
      </w:r>
      <w:r w:rsidR="0085655D" w:rsidRPr="00B03E1E">
        <w:rPr>
          <w:rFonts w:asciiTheme="majorHAnsi" w:hAnsiTheme="majorHAnsi" w:cs="Calibri"/>
          <w:sz w:val="40"/>
          <w:szCs w:val="40"/>
          <w:lang w:val="pt-BR"/>
        </w:rPr>
        <w:t xml:space="preserve"> </w:t>
      </w:r>
      <w:r w:rsidR="001850C3">
        <w:rPr>
          <w:rFonts w:asciiTheme="majorHAnsi" w:hAnsiTheme="majorHAnsi" w:cs="Calibri"/>
          <w:sz w:val="40"/>
          <w:szCs w:val="40"/>
          <w:lang w:val="pt-BR"/>
        </w:rPr>
        <w:t>–</w:t>
      </w:r>
      <w:r w:rsidR="0085655D">
        <w:rPr>
          <w:rFonts w:asciiTheme="majorHAnsi" w:hAnsiTheme="majorHAnsi" w:cs="Calibri"/>
          <w:sz w:val="40"/>
          <w:szCs w:val="40"/>
          <w:lang w:val="pt-BR"/>
        </w:rPr>
        <w:t xml:space="preserve"> Bacia da</w:t>
      </w:r>
      <w:r w:rsidR="0085655D" w:rsidRPr="00FD3090">
        <w:rPr>
          <w:rFonts w:asciiTheme="majorHAnsi" w:hAnsiTheme="majorHAnsi" w:cs="Calibri"/>
          <w:sz w:val="40"/>
          <w:szCs w:val="40"/>
          <w:lang w:val="pt-BR"/>
        </w:rPr>
        <w:t xml:space="preserve"> </w:t>
      </w:r>
      <w:r w:rsidR="0085655D">
        <w:rPr>
          <w:rFonts w:asciiTheme="majorHAnsi" w:hAnsiTheme="majorHAnsi" w:cs="Calibri"/>
          <w:sz w:val="40"/>
          <w:szCs w:val="40"/>
          <w:lang w:val="pt-BR"/>
        </w:rPr>
        <w:t>Foz do</w:t>
      </w:r>
      <w:r w:rsidR="001850C3">
        <w:rPr>
          <w:rFonts w:asciiTheme="majorHAnsi" w:hAnsiTheme="majorHAnsi" w:cs="Calibri"/>
          <w:sz w:val="40"/>
          <w:szCs w:val="40"/>
          <w:lang w:val="pt-BR"/>
        </w:rPr>
        <w:t xml:space="preserve"> </w:t>
      </w:r>
      <w:r w:rsidR="0085655D">
        <w:rPr>
          <w:rFonts w:asciiTheme="majorHAnsi" w:hAnsiTheme="majorHAnsi" w:cs="Calibri"/>
          <w:sz w:val="40"/>
          <w:szCs w:val="40"/>
          <w:lang w:val="pt-BR"/>
        </w:rPr>
        <w:t>Amazonas</w:t>
      </w:r>
    </w:p>
    <w:p w14:paraId="2BA8D72A" w14:textId="77777777" w:rsidR="00B05E28" w:rsidRPr="00F6044C" w:rsidRDefault="00B05E28" w:rsidP="00B05E28">
      <w:pPr>
        <w:ind w:left="-720" w:right="2970"/>
        <w:rPr>
          <w:rFonts w:asciiTheme="majorHAnsi" w:hAnsiTheme="majorHAnsi" w:cs="Calibri"/>
          <w:sz w:val="20"/>
          <w:szCs w:val="40"/>
          <w:lang w:val="pt-PT"/>
        </w:rPr>
      </w:pPr>
    </w:p>
    <w:p w14:paraId="075325CD" w14:textId="21FA1157" w:rsidR="00B05E28" w:rsidRPr="00FF5891" w:rsidRDefault="00FF5891" w:rsidP="00FF5891">
      <w:pPr>
        <w:ind w:left="-851" w:right="2970"/>
        <w:rPr>
          <w:rFonts w:asciiTheme="majorHAnsi" w:hAnsiTheme="majorHAnsi" w:cs="Calibri"/>
          <w:sz w:val="32"/>
          <w:szCs w:val="32"/>
          <w:lang w:val="pt-PT"/>
        </w:rPr>
      </w:pPr>
      <w:r w:rsidRPr="00FF5891">
        <w:rPr>
          <w:rFonts w:asciiTheme="majorHAnsi" w:hAnsiTheme="majorHAnsi" w:cs="Calibri"/>
          <w:sz w:val="32"/>
          <w:szCs w:val="32"/>
          <w:lang w:val="pt-PT"/>
        </w:rPr>
        <w:t>Nº do Processo: 02022.000336/2014-53</w:t>
      </w:r>
    </w:p>
    <w:p w14:paraId="1BDDDE26" w14:textId="77777777" w:rsidR="00B05E28" w:rsidRDefault="00B05E28" w:rsidP="001850C3">
      <w:pPr>
        <w:ind w:left="-720" w:right="2970"/>
        <w:rPr>
          <w:rFonts w:asciiTheme="majorHAnsi" w:hAnsiTheme="majorHAnsi" w:cs="Calibri"/>
          <w:sz w:val="20"/>
          <w:szCs w:val="40"/>
          <w:lang w:val="pt-PT"/>
        </w:rPr>
      </w:pPr>
    </w:p>
    <w:p w14:paraId="29A025E2" w14:textId="77777777" w:rsidR="001850C3" w:rsidRPr="001850C3" w:rsidRDefault="001850C3" w:rsidP="001850C3">
      <w:pPr>
        <w:ind w:left="-720" w:right="2970"/>
        <w:rPr>
          <w:rFonts w:asciiTheme="majorHAnsi" w:hAnsiTheme="majorHAnsi" w:cs="Calibri"/>
          <w:sz w:val="20"/>
          <w:szCs w:val="40"/>
          <w:lang w:val="pt-PT"/>
        </w:rPr>
      </w:pPr>
    </w:p>
    <w:p w14:paraId="7FDA0CEA" w14:textId="77777777" w:rsidR="000F3DA6" w:rsidRPr="001850C3" w:rsidRDefault="000F3DA6" w:rsidP="001850C3">
      <w:pPr>
        <w:ind w:left="-720" w:right="2970"/>
        <w:rPr>
          <w:rFonts w:asciiTheme="majorHAnsi" w:hAnsiTheme="majorHAnsi" w:cs="Calibri"/>
          <w:sz w:val="20"/>
          <w:szCs w:val="40"/>
          <w:lang w:val="pt-PT"/>
        </w:rPr>
      </w:pPr>
    </w:p>
    <w:p w14:paraId="6B2E6797" w14:textId="77777777" w:rsidR="000F3DA6" w:rsidRPr="00D371A6" w:rsidRDefault="000F3DA6" w:rsidP="000F3DA6">
      <w:pPr>
        <w:keepLines/>
        <w:ind w:left="-720" w:right="2966"/>
        <w:rPr>
          <w:rFonts w:asciiTheme="majorHAnsi" w:hAnsiTheme="majorHAnsi" w:cs="Calibri"/>
          <w:b/>
        </w:rPr>
      </w:pPr>
      <w:r>
        <w:rPr>
          <w:rFonts w:asciiTheme="majorHAnsi" w:hAnsiTheme="majorHAnsi" w:cs="Calibri"/>
          <w:b/>
        </w:rPr>
        <w:t>Desenvolvido para</w:t>
      </w:r>
      <w:r w:rsidRPr="00D371A6">
        <w:rPr>
          <w:rFonts w:asciiTheme="majorHAnsi" w:hAnsiTheme="majorHAnsi" w:cs="Calibri"/>
          <w:b/>
        </w:rPr>
        <w:t>:</w:t>
      </w:r>
    </w:p>
    <w:p w14:paraId="6E48EBFC" w14:textId="77777777" w:rsidR="000F3DA6" w:rsidRPr="001850C3" w:rsidRDefault="000F3DA6" w:rsidP="001850C3">
      <w:pPr>
        <w:ind w:left="-720" w:right="2970"/>
        <w:rPr>
          <w:rFonts w:asciiTheme="majorHAnsi" w:hAnsiTheme="majorHAnsi" w:cs="Calibri"/>
          <w:sz w:val="20"/>
          <w:szCs w:val="40"/>
          <w:lang w:val="pt-PT"/>
        </w:rPr>
      </w:pPr>
    </w:p>
    <w:p w14:paraId="7E92248B" w14:textId="77777777" w:rsidR="000F3DA6" w:rsidRPr="001850C3" w:rsidRDefault="0085655D" w:rsidP="001850C3">
      <w:pPr>
        <w:ind w:left="-720" w:right="2970"/>
        <w:rPr>
          <w:rFonts w:asciiTheme="majorHAnsi" w:hAnsiTheme="majorHAnsi" w:cs="Calibri"/>
          <w:sz w:val="20"/>
          <w:szCs w:val="40"/>
          <w:lang w:val="pt-PT"/>
        </w:rPr>
      </w:pPr>
      <w:r>
        <w:rPr>
          <w:noProof/>
          <w:sz w:val="16"/>
          <w:szCs w:val="16"/>
          <w:lang w:val="en-US" w:eastAsia="en-US"/>
        </w:rPr>
        <w:drawing>
          <wp:inline distT="0" distB="0" distL="0" distR="0" wp14:anchorId="3C3CB203" wp14:editId="7F85E41E">
            <wp:extent cx="685800" cy="987935"/>
            <wp:effectExtent l="0" t="0" r="0" b="3175"/>
            <wp:docPr id="1073742024" name="Imagem 107374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9">
                      <a:extLst>
                        <a:ext uri="{28A0092B-C50C-407E-A947-70E740481C1C}">
                          <a14:useLocalDpi xmlns:a14="http://schemas.microsoft.com/office/drawing/2010/main" val="0"/>
                        </a:ext>
                      </a:extLst>
                    </a:blip>
                    <a:stretch>
                      <a:fillRect/>
                    </a:stretch>
                  </pic:blipFill>
                  <pic:spPr>
                    <a:xfrm>
                      <a:off x="0" y="0"/>
                      <a:ext cx="733280" cy="1056332"/>
                    </a:xfrm>
                    <a:prstGeom prst="rect">
                      <a:avLst/>
                    </a:prstGeom>
                  </pic:spPr>
                </pic:pic>
              </a:graphicData>
            </a:graphic>
          </wp:inline>
        </w:drawing>
      </w:r>
    </w:p>
    <w:p w14:paraId="4790EE65" w14:textId="77777777" w:rsidR="000F3DA6" w:rsidRPr="001850C3" w:rsidRDefault="000F3DA6" w:rsidP="001850C3">
      <w:pPr>
        <w:ind w:left="-720" w:right="2970"/>
        <w:rPr>
          <w:rFonts w:asciiTheme="majorHAnsi" w:hAnsiTheme="majorHAnsi" w:cs="Calibri"/>
          <w:sz w:val="20"/>
          <w:szCs w:val="40"/>
          <w:lang w:val="pt-PT"/>
        </w:rPr>
      </w:pPr>
    </w:p>
    <w:p w14:paraId="1E1662F3" w14:textId="799B6DFC" w:rsidR="00B05E28" w:rsidRPr="001850C3" w:rsidRDefault="00B05E28" w:rsidP="001850C3">
      <w:pPr>
        <w:ind w:left="-720" w:right="2970"/>
        <w:rPr>
          <w:rFonts w:asciiTheme="majorHAnsi" w:hAnsiTheme="majorHAnsi" w:cs="Calibri"/>
          <w:sz w:val="20"/>
          <w:szCs w:val="40"/>
          <w:lang w:val="pt-PT"/>
        </w:rPr>
      </w:pPr>
      <w:r w:rsidRPr="00B05E28">
        <w:rPr>
          <w:rFonts w:asciiTheme="majorHAnsi" w:hAnsiTheme="majorHAnsi" w:cs="Calibri"/>
          <w:b/>
        </w:rPr>
        <w:t>Rev.0</w:t>
      </w:r>
      <w:r w:rsidR="00815C71">
        <w:rPr>
          <w:rFonts w:asciiTheme="majorHAnsi" w:hAnsiTheme="majorHAnsi" w:cs="Calibri"/>
          <w:b/>
        </w:rPr>
        <w:t>2</w:t>
      </w:r>
      <w:r w:rsidRPr="00B05E28">
        <w:rPr>
          <w:rFonts w:asciiTheme="majorHAnsi" w:hAnsiTheme="majorHAnsi" w:cs="Calibri"/>
          <w:b/>
        </w:rPr>
        <w:t xml:space="preserve"> </w:t>
      </w:r>
      <w:r w:rsidR="00672152">
        <w:rPr>
          <w:rFonts w:asciiTheme="majorHAnsi" w:hAnsiTheme="majorHAnsi" w:cs="Calibri"/>
          <w:b/>
        </w:rPr>
        <w:t>–</w:t>
      </w:r>
      <w:r w:rsidR="00232004">
        <w:rPr>
          <w:rFonts w:asciiTheme="majorHAnsi" w:hAnsiTheme="majorHAnsi" w:cs="Calibri"/>
          <w:b/>
        </w:rPr>
        <w:t xml:space="preserve"> </w:t>
      </w:r>
      <w:r w:rsidR="00815C71">
        <w:rPr>
          <w:rFonts w:asciiTheme="majorHAnsi" w:hAnsiTheme="majorHAnsi" w:cs="Calibri"/>
          <w:b/>
        </w:rPr>
        <w:t>outubro</w:t>
      </w:r>
      <w:r w:rsidR="00232004">
        <w:rPr>
          <w:rFonts w:asciiTheme="majorHAnsi" w:hAnsiTheme="majorHAnsi" w:cs="Calibri"/>
          <w:b/>
        </w:rPr>
        <w:t>, 201</w:t>
      </w:r>
      <w:r w:rsidR="00815C71">
        <w:rPr>
          <w:rFonts w:asciiTheme="majorHAnsi" w:hAnsiTheme="majorHAnsi" w:cs="Calibri"/>
          <w:b/>
        </w:rPr>
        <w:t>8</w:t>
      </w:r>
      <w:r w:rsidR="000F3DA6">
        <w:rPr>
          <w:rFonts w:asciiTheme="majorHAnsi" w:hAnsiTheme="majorHAnsi" w:cs="Calibri"/>
          <w:b/>
        </w:rPr>
        <w:t>.</w:t>
      </w:r>
    </w:p>
    <w:p w14:paraId="5BDEB7FA" w14:textId="77777777" w:rsidR="00B05E28" w:rsidRPr="00B05E28" w:rsidRDefault="00B05E28" w:rsidP="00B05E28">
      <w:pPr>
        <w:rPr>
          <w:rFonts w:asciiTheme="majorHAnsi" w:hAnsiTheme="majorHAnsi" w:cs="Calibri"/>
        </w:rPr>
        <w:sectPr w:rsidR="00B05E28" w:rsidRPr="00B05E28" w:rsidSect="00B05E28">
          <w:headerReference w:type="default" r:id="rId10"/>
          <w:footerReference w:type="default" r:id="rId11"/>
          <w:headerReference w:type="first" r:id="rId12"/>
          <w:footerReference w:type="first" r:id="rId13"/>
          <w:pgSz w:w="11907" w:h="16839" w:code="9"/>
          <w:pgMar w:top="3600" w:right="1440" w:bottom="1440" w:left="1440" w:header="720" w:footer="720" w:gutter="0"/>
          <w:cols w:space="720"/>
          <w:docGrid w:linePitch="360"/>
        </w:sectPr>
      </w:pPr>
    </w:p>
    <w:tbl>
      <w:tblPr>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CellMar>
          <w:left w:w="70" w:type="dxa"/>
          <w:right w:w="70" w:type="dxa"/>
        </w:tblCellMar>
        <w:tblLook w:val="0000" w:firstRow="0" w:lastRow="0" w:firstColumn="0" w:lastColumn="0" w:noHBand="0" w:noVBand="0"/>
      </w:tblPr>
      <w:tblGrid>
        <w:gridCol w:w="556"/>
        <w:gridCol w:w="1525"/>
        <w:gridCol w:w="4908"/>
        <w:gridCol w:w="2051"/>
      </w:tblGrid>
      <w:tr w:rsidR="000F3DA6" w:rsidRPr="00D371A6" w14:paraId="0E2E8E16" w14:textId="77777777" w:rsidTr="00150CAE">
        <w:trPr>
          <w:trHeight w:val="283"/>
        </w:trPr>
        <w:tc>
          <w:tcPr>
            <w:tcW w:w="5000" w:type="pct"/>
            <w:gridSpan w:val="4"/>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244061" w:themeFill="accent1" w:themeFillShade="80"/>
            <w:vAlign w:val="center"/>
          </w:tcPr>
          <w:p w14:paraId="0A44D867" w14:textId="77777777" w:rsidR="000F3DA6" w:rsidRPr="000F3DA6" w:rsidRDefault="006D5C78" w:rsidP="000F3DA6">
            <w:pPr>
              <w:pStyle w:val="TtuloTabela"/>
              <w:rPr>
                <w:rFonts w:asciiTheme="majorHAnsi" w:hAnsiTheme="majorHAnsi"/>
                <w:lang w:val="en-GB"/>
              </w:rPr>
            </w:pPr>
            <w:r>
              <w:rPr>
                <w:rFonts w:asciiTheme="majorHAnsi" w:hAnsiTheme="majorHAnsi"/>
                <w:lang w:val="en-GB"/>
              </w:rPr>
              <w:lastRenderedPageBreak/>
              <w:t>Controle de Revisões</w:t>
            </w:r>
          </w:p>
        </w:tc>
      </w:tr>
      <w:tr w:rsidR="000F3DA6" w:rsidRPr="00D371A6" w14:paraId="4898D602" w14:textId="77777777" w:rsidTr="00150CAE">
        <w:trPr>
          <w:trHeight w:val="283"/>
        </w:trPr>
        <w:tc>
          <w:tcPr>
            <w:tcW w:w="31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244061" w:themeFill="accent1" w:themeFillShade="80"/>
            <w:vAlign w:val="center"/>
          </w:tcPr>
          <w:p w14:paraId="2B0D8AFB" w14:textId="77777777" w:rsidR="000F3DA6" w:rsidRPr="000F3DA6" w:rsidRDefault="000F3DA6" w:rsidP="000F3DA6">
            <w:pPr>
              <w:pStyle w:val="TtuloTabela"/>
              <w:rPr>
                <w:rFonts w:asciiTheme="majorHAnsi" w:hAnsiTheme="majorHAnsi"/>
                <w:lang w:val="en-GB"/>
              </w:rPr>
            </w:pPr>
            <w:r w:rsidRPr="000F3DA6">
              <w:rPr>
                <w:rFonts w:asciiTheme="majorHAnsi" w:hAnsiTheme="majorHAnsi"/>
                <w:lang w:val="en-GB"/>
              </w:rPr>
              <w:t>Rev.</w:t>
            </w:r>
          </w:p>
        </w:tc>
        <w:tc>
          <w:tcPr>
            <w:tcW w:w="83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244061" w:themeFill="accent1" w:themeFillShade="80"/>
            <w:vAlign w:val="center"/>
          </w:tcPr>
          <w:p w14:paraId="4199805F" w14:textId="77777777" w:rsidR="000F3DA6" w:rsidRPr="000F3DA6" w:rsidRDefault="000F3DA6" w:rsidP="000F3DA6">
            <w:pPr>
              <w:pStyle w:val="TtuloTabela"/>
              <w:rPr>
                <w:rFonts w:asciiTheme="majorHAnsi" w:hAnsiTheme="majorHAnsi"/>
                <w:lang w:val="en-GB"/>
              </w:rPr>
            </w:pPr>
            <w:r w:rsidRPr="000F3DA6">
              <w:rPr>
                <w:rFonts w:asciiTheme="majorHAnsi" w:hAnsiTheme="majorHAnsi"/>
                <w:lang w:val="en-GB"/>
              </w:rPr>
              <w:t>Data</w:t>
            </w:r>
          </w:p>
        </w:tc>
        <w:tc>
          <w:tcPr>
            <w:tcW w:w="271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244061" w:themeFill="accent1" w:themeFillShade="80"/>
            <w:vAlign w:val="center"/>
          </w:tcPr>
          <w:p w14:paraId="38DE9767" w14:textId="77777777" w:rsidR="000F3DA6" w:rsidRPr="00827E13" w:rsidRDefault="000F3DA6" w:rsidP="000F3DA6">
            <w:pPr>
              <w:pStyle w:val="TtuloTabela"/>
              <w:rPr>
                <w:rFonts w:asciiTheme="majorHAnsi" w:hAnsiTheme="majorHAnsi"/>
              </w:rPr>
            </w:pPr>
            <w:r w:rsidRPr="000F3DA6">
              <w:rPr>
                <w:rFonts w:asciiTheme="majorHAnsi" w:hAnsiTheme="majorHAnsi"/>
                <w:lang w:val="en-GB"/>
              </w:rPr>
              <w:t>Descrição (motivo da</w:t>
            </w:r>
            <w:r w:rsidRPr="00827E13">
              <w:rPr>
                <w:rFonts w:asciiTheme="majorHAnsi" w:hAnsiTheme="majorHAnsi"/>
              </w:rPr>
              <w:t xml:space="preserve"> revisão</w:t>
            </w:r>
            <w:r w:rsidRPr="000F3DA6">
              <w:rPr>
                <w:rFonts w:asciiTheme="majorHAnsi" w:hAnsiTheme="majorHAnsi"/>
                <w:lang w:val="en-GB"/>
              </w:rPr>
              <w:t>)</w:t>
            </w:r>
          </w:p>
        </w:tc>
        <w:tc>
          <w:tcPr>
            <w:tcW w:w="113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244061" w:themeFill="accent1" w:themeFillShade="80"/>
            <w:vAlign w:val="center"/>
          </w:tcPr>
          <w:p w14:paraId="4E630A8E" w14:textId="77777777" w:rsidR="000F3DA6" w:rsidRPr="000F3DA6" w:rsidRDefault="000F3DA6" w:rsidP="000F3DA6">
            <w:pPr>
              <w:pStyle w:val="TtuloTabela"/>
              <w:rPr>
                <w:rFonts w:asciiTheme="majorHAnsi" w:hAnsiTheme="majorHAnsi"/>
                <w:lang w:val="en-GB"/>
              </w:rPr>
            </w:pPr>
            <w:r w:rsidRPr="00827E13">
              <w:rPr>
                <w:rFonts w:asciiTheme="majorHAnsi" w:hAnsiTheme="majorHAnsi"/>
              </w:rPr>
              <w:t>Responsável</w:t>
            </w:r>
          </w:p>
        </w:tc>
      </w:tr>
      <w:tr w:rsidR="000F3DA6" w:rsidRPr="00D371A6" w14:paraId="6673BDC9" w14:textId="77777777" w:rsidTr="00150CAE">
        <w:trPr>
          <w:trHeight w:val="498"/>
        </w:trPr>
        <w:tc>
          <w:tcPr>
            <w:tcW w:w="312"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2A56DE33" w14:textId="77777777" w:rsidR="000F3DA6" w:rsidRPr="000F3DA6" w:rsidRDefault="000F3DA6" w:rsidP="001850C3">
            <w:pPr>
              <w:pStyle w:val="TextoTabela"/>
              <w:spacing w:line="240" w:lineRule="auto"/>
              <w:jc w:val="center"/>
              <w:rPr>
                <w:rFonts w:asciiTheme="majorHAnsi" w:hAnsiTheme="majorHAnsi"/>
                <w:sz w:val="20"/>
                <w:lang w:val="en-GB"/>
              </w:rPr>
            </w:pPr>
            <w:r w:rsidRPr="000F3DA6">
              <w:rPr>
                <w:rFonts w:asciiTheme="majorHAnsi" w:hAnsiTheme="majorHAnsi"/>
                <w:sz w:val="20"/>
                <w:lang w:val="en-GB"/>
              </w:rPr>
              <w:t>00</w:t>
            </w:r>
          </w:p>
        </w:tc>
        <w:tc>
          <w:tcPr>
            <w:tcW w:w="830"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61970B57" w14:textId="77777777" w:rsidR="000F3DA6" w:rsidRPr="000F3DA6" w:rsidRDefault="000F3DA6" w:rsidP="001850C3">
            <w:pPr>
              <w:pStyle w:val="TextoTabela"/>
              <w:spacing w:line="240" w:lineRule="auto"/>
              <w:jc w:val="center"/>
              <w:rPr>
                <w:rFonts w:asciiTheme="majorHAnsi" w:hAnsiTheme="majorHAnsi"/>
                <w:sz w:val="20"/>
                <w:lang w:val="en-GB"/>
              </w:rPr>
            </w:pPr>
            <w:r w:rsidRPr="000F3DA6">
              <w:rPr>
                <w:rFonts w:asciiTheme="majorHAnsi" w:hAnsiTheme="majorHAnsi"/>
                <w:sz w:val="20"/>
                <w:lang w:val="en-GB"/>
              </w:rPr>
              <w:t>Março/2015</w:t>
            </w:r>
          </w:p>
        </w:tc>
        <w:tc>
          <w:tcPr>
            <w:tcW w:w="2719"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7A9AE703" w14:textId="77777777" w:rsidR="000F3DA6" w:rsidRPr="000F3DA6" w:rsidRDefault="000F3DA6" w:rsidP="001850C3">
            <w:pPr>
              <w:pStyle w:val="TextoTabela"/>
              <w:spacing w:line="240" w:lineRule="auto"/>
              <w:jc w:val="center"/>
              <w:rPr>
                <w:rFonts w:asciiTheme="majorHAnsi" w:hAnsiTheme="majorHAnsi"/>
                <w:sz w:val="20"/>
                <w:lang w:val="en-GB"/>
              </w:rPr>
            </w:pPr>
            <w:r w:rsidRPr="000F3DA6">
              <w:rPr>
                <w:rFonts w:asciiTheme="majorHAnsi" w:hAnsiTheme="majorHAnsi"/>
                <w:sz w:val="20"/>
                <w:lang w:val="en-GB"/>
              </w:rPr>
              <w:t>Documento original</w:t>
            </w:r>
          </w:p>
        </w:tc>
        <w:tc>
          <w:tcPr>
            <w:tcW w:w="1139"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239D5933" w14:textId="77777777" w:rsidR="000F3DA6" w:rsidRPr="000F3DA6" w:rsidRDefault="0036087F" w:rsidP="001850C3">
            <w:pPr>
              <w:pStyle w:val="TextoTabela"/>
              <w:spacing w:line="240" w:lineRule="auto"/>
              <w:jc w:val="center"/>
              <w:rPr>
                <w:rFonts w:asciiTheme="majorHAnsi" w:hAnsiTheme="majorHAnsi"/>
                <w:sz w:val="20"/>
                <w:lang w:val="en-GB"/>
              </w:rPr>
            </w:pPr>
            <w:r>
              <w:rPr>
                <w:rFonts w:asciiTheme="majorHAnsi" w:hAnsiTheme="majorHAnsi"/>
                <w:sz w:val="20"/>
                <w:lang w:val="en-GB"/>
              </w:rPr>
              <w:t>Witt|O’Brien’s</w:t>
            </w:r>
          </w:p>
        </w:tc>
      </w:tr>
      <w:tr w:rsidR="000F3DA6" w:rsidRPr="00D371A6" w14:paraId="5C60322F" w14:textId="77777777" w:rsidTr="00150CAE">
        <w:trPr>
          <w:trHeight w:val="498"/>
        </w:trPr>
        <w:tc>
          <w:tcPr>
            <w:tcW w:w="312"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0144B412" w14:textId="38F3B815" w:rsidR="000F3DA6" w:rsidRPr="00D371A6" w:rsidRDefault="00B07A0A" w:rsidP="000F3DA6">
            <w:pPr>
              <w:pStyle w:val="semespaamento0"/>
              <w:keepLines/>
              <w:spacing w:before="120" w:after="120"/>
              <w:jc w:val="center"/>
              <w:rPr>
                <w:rFonts w:asciiTheme="majorHAnsi" w:hAnsiTheme="majorHAnsi" w:cstheme="minorHAnsi"/>
                <w:b w:val="0"/>
                <w:sz w:val="22"/>
                <w:szCs w:val="22"/>
                <w:lang w:val="pt-BR"/>
              </w:rPr>
            </w:pPr>
            <w:r>
              <w:rPr>
                <w:rFonts w:asciiTheme="majorHAnsi" w:hAnsiTheme="majorHAnsi" w:cstheme="minorHAnsi"/>
                <w:b w:val="0"/>
                <w:sz w:val="22"/>
                <w:szCs w:val="22"/>
                <w:lang w:val="pt-BR"/>
              </w:rPr>
              <w:t>01</w:t>
            </w:r>
          </w:p>
        </w:tc>
        <w:tc>
          <w:tcPr>
            <w:tcW w:w="830"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43BCC72B" w14:textId="78E9DA3D" w:rsidR="000F3DA6" w:rsidRPr="00D371A6" w:rsidRDefault="00B07A0A" w:rsidP="000F3DA6">
            <w:pPr>
              <w:pStyle w:val="semespaamento0"/>
              <w:keepLines/>
              <w:spacing w:before="120" w:after="120"/>
              <w:jc w:val="center"/>
              <w:rPr>
                <w:rFonts w:asciiTheme="majorHAnsi" w:hAnsiTheme="majorHAnsi" w:cstheme="minorHAnsi"/>
                <w:b w:val="0"/>
                <w:sz w:val="22"/>
                <w:szCs w:val="22"/>
                <w:lang w:val="pt-BR"/>
              </w:rPr>
            </w:pPr>
            <w:r>
              <w:rPr>
                <w:rFonts w:asciiTheme="majorHAnsi" w:hAnsiTheme="majorHAnsi" w:cstheme="minorHAnsi"/>
                <w:b w:val="0"/>
                <w:sz w:val="22"/>
                <w:szCs w:val="22"/>
                <w:lang w:val="pt-BR"/>
              </w:rPr>
              <w:t>Junho/2017</w:t>
            </w:r>
          </w:p>
        </w:tc>
        <w:tc>
          <w:tcPr>
            <w:tcW w:w="2719"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3C31920B" w14:textId="6DB88AD6" w:rsidR="000F3DA6" w:rsidRPr="00D371A6" w:rsidRDefault="00B07A0A" w:rsidP="00B07A0A">
            <w:pPr>
              <w:pStyle w:val="semespaamento0"/>
              <w:keepLines/>
              <w:spacing w:before="120" w:after="120"/>
              <w:jc w:val="center"/>
              <w:rPr>
                <w:rFonts w:asciiTheme="majorHAnsi" w:hAnsiTheme="majorHAnsi" w:cstheme="minorHAnsi"/>
                <w:b w:val="0"/>
                <w:sz w:val="22"/>
                <w:szCs w:val="22"/>
                <w:lang w:val="pt-BR"/>
              </w:rPr>
            </w:pPr>
            <w:r>
              <w:rPr>
                <w:rFonts w:asciiTheme="majorHAnsi" w:hAnsiTheme="majorHAnsi" w:cstheme="minorHAnsi"/>
                <w:b w:val="0"/>
                <w:sz w:val="22"/>
                <w:szCs w:val="22"/>
                <w:lang w:val="pt-BR"/>
              </w:rPr>
              <w:t>Atualização de informações</w:t>
            </w:r>
          </w:p>
        </w:tc>
        <w:tc>
          <w:tcPr>
            <w:tcW w:w="1139"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54BC71A2" w14:textId="5BB3300C" w:rsidR="000F3DA6" w:rsidRPr="00D371A6" w:rsidRDefault="00B07A0A" w:rsidP="000F3DA6">
            <w:pPr>
              <w:pStyle w:val="semespaamento0"/>
              <w:keepLines/>
              <w:spacing w:before="120" w:after="120"/>
              <w:jc w:val="center"/>
              <w:rPr>
                <w:rFonts w:asciiTheme="majorHAnsi" w:hAnsiTheme="majorHAnsi" w:cstheme="minorHAnsi"/>
                <w:b w:val="0"/>
                <w:sz w:val="22"/>
                <w:szCs w:val="22"/>
                <w:lang w:val="pt-BR"/>
              </w:rPr>
            </w:pPr>
            <w:r>
              <w:rPr>
                <w:rFonts w:asciiTheme="majorHAnsi" w:hAnsiTheme="majorHAnsi" w:cstheme="minorHAnsi"/>
                <w:b w:val="0"/>
                <w:sz w:val="22"/>
                <w:szCs w:val="22"/>
                <w:lang w:val="pt-BR"/>
              </w:rPr>
              <w:t>BP Energy do Brasil</w:t>
            </w:r>
          </w:p>
        </w:tc>
      </w:tr>
      <w:tr w:rsidR="00D437E0" w:rsidRPr="00D371A6" w14:paraId="69805625" w14:textId="77777777" w:rsidTr="00D80C93">
        <w:trPr>
          <w:trHeight w:val="498"/>
        </w:trPr>
        <w:tc>
          <w:tcPr>
            <w:tcW w:w="312" w:type="pct"/>
            <w:tcBorders>
              <w:top w:val="single" w:sz="12" w:space="0" w:color="FFFFFF" w:themeColor="background1"/>
              <w:bottom w:val="single" w:sz="12" w:space="0" w:color="FFFFFF" w:themeColor="background1"/>
            </w:tcBorders>
            <w:shd w:val="clear" w:color="auto" w:fill="BFBFBF" w:themeFill="background1" w:themeFillShade="BF"/>
            <w:vAlign w:val="center"/>
          </w:tcPr>
          <w:p w14:paraId="71722936" w14:textId="3859B683" w:rsidR="00D437E0" w:rsidRPr="003511E0" w:rsidRDefault="00D437E0" w:rsidP="00D437E0">
            <w:pPr>
              <w:pStyle w:val="semespaamento0"/>
              <w:keepLines/>
              <w:spacing w:before="120" w:after="120"/>
              <w:jc w:val="center"/>
              <w:rPr>
                <w:rFonts w:asciiTheme="majorHAnsi" w:hAnsiTheme="majorHAnsi" w:cstheme="minorHAnsi"/>
                <w:b w:val="0"/>
                <w:sz w:val="22"/>
                <w:szCs w:val="22"/>
                <w:lang w:val="pt-BR"/>
              </w:rPr>
            </w:pPr>
            <w:r w:rsidRPr="003511E0">
              <w:rPr>
                <w:rFonts w:asciiTheme="majorHAnsi" w:hAnsiTheme="majorHAnsi" w:cstheme="minorHAnsi"/>
                <w:b w:val="0"/>
                <w:sz w:val="22"/>
                <w:szCs w:val="22"/>
                <w:lang w:val="pt-BR"/>
              </w:rPr>
              <w:t>0</w:t>
            </w:r>
            <w:r w:rsidR="003511E0">
              <w:rPr>
                <w:rFonts w:asciiTheme="majorHAnsi" w:hAnsiTheme="majorHAnsi" w:cstheme="minorHAnsi"/>
                <w:b w:val="0"/>
                <w:sz w:val="22"/>
                <w:szCs w:val="22"/>
                <w:lang w:val="pt-BR"/>
              </w:rPr>
              <w:t>2</w:t>
            </w:r>
          </w:p>
        </w:tc>
        <w:tc>
          <w:tcPr>
            <w:tcW w:w="830" w:type="pct"/>
            <w:tcBorders>
              <w:top w:val="single" w:sz="12" w:space="0" w:color="FFFFFF" w:themeColor="background1"/>
              <w:bottom w:val="single" w:sz="12" w:space="0" w:color="FFFFFF" w:themeColor="background1"/>
            </w:tcBorders>
            <w:shd w:val="clear" w:color="auto" w:fill="BFBFBF" w:themeFill="background1" w:themeFillShade="BF"/>
            <w:vAlign w:val="center"/>
          </w:tcPr>
          <w:p w14:paraId="43A3EB49" w14:textId="6DBF3D8E" w:rsidR="00D437E0" w:rsidRPr="003511E0" w:rsidRDefault="003511E0" w:rsidP="00D437E0">
            <w:pPr>
              <w:pStyle w:val="semespaamento0"/>
              <w:keepLines/>
              <w:spacing w:before="120" w:after="120"/>
              <w:jc w:val="center"/>
              <w:rPr>
                <w:rFonts w:asciiTheme="majorHAnsi" w:hAnsiTheme="majorHAnsi" w:cstheme="minorHAnsi"/>
                <w:b w:val="0"/>
                <w:sz w:val="22"/>
                <w:szCs w:val="22"/>
                <w:lang w:val="pt-BR"/>
              </w:rPr>
            </w:pPr>
            <w:r>
              <w:rPr>
                <w:rFonts w:asciiTheme="majorHAnsi" w:hAnsiTheme="majorHAnsi" w:cstheme="minorHAnsi"/>
                <w:b w:val="0"/>
                <w:sz w:val="22"/>
                <w:szCs w:val="22"/>
                <w:lang w:val="pt-BR"/>
              </w:rPr>
              <w:t>Outubro</w:t>
            </w:r>
            <w:r w:rsidR="00D437E0" w:rsidRPr="003511E0">
              <w:rPr>
                <w:rFonts w:asciiTheme="majorHAnsi" w:hAnsiTheme="majorHAnsi" w:cstheme="minorHAnsi"/>
                <w:b w:val="0"/>
                <w:sz w:val="22"/>
                <w:szCs w:val="22"/>
                <w:lang w:val="pt-BR"/>
              </w:rPr>
              <w:t>/2018</w:t>
            </w:r>
          </w:p>
        </w:tc>
        <w:tc>
          <w:tcPr>
            <w:tcW w:w="2719" w:type="pct"/>
            <w:tcBorders>
              <w:top w:val="single" w:sz="12" w:space="0" w:color="FFFFFF" w:themeColor="background1"/>
              <w:bottom w:val="single" w:sz="12" w:space="0" w:color="FFFFFF" w:themeColor="background1"/>
            </w:tcBorders>
            <w:shd w:val="clear" w:color="auto" w:fill="BFBFBF" w:themeFill="background1" w:themeFillShade="BF"/>
            <w:vAlign w:val="center"/>
          </w:tcPr>
          <w:p w14:paraId="0286344D" w14:textId="302D1121" w:rsidR="00D437E0" w:rsidRPr="003511E0" w:rsidRDefault="00D437E0" w:rsidP="00D437E0">
            <w:pPr>
              <w:pStyle w:val="semespaamento0"/>
              <w:keepLines/>
              <w:spacing w:before="120" w:after="120"/>
              <w:jc w:val="left"/>
              <w:rPr>
                <w:rFonts w:asciiTheme="majorHAnsi" w:hAnsiTheme="majorHAnsi" w:cstheme="minorHAnsi"/>
                <w:b w:val="0"/>
                <w:sz w:val="22"/>
                <w:szCs w:val="22"/>
                <w:lang w:val="pt-BR"/>
              </w:rPr>
            </w:pPr>
            <w:r w:rsidRPr="003511E0">
              <w:rPr>
                <w:rFonts w:asciiTheme="majorHAnsi" w:hAnsiTheme="majorHAnsi" w:cstheme="minorHAnsi"/>
                <w:b w:val="0"/>
                <w:sz w:val="22"/>
                <w:szCs w:val="22"/>
                <w:lang w:val="pt-BR"/>
              </w:rPr>
              <w:t>Introdução de ajustes em funções dos comentários feit</w:t>
            </w:r>
            <w:r w:rsidR="003511E0">
              <w:rPr>
                <w:rFonts w:asciiTheme="majorHAnsi" w:hAnsiTheme="majorHAnsi" w:cstheme="minorHAnsi"/>
                <w:b w:val="0"/>
                <w:sz w:val="22"/>
                <w:szCs w:val="22"/>
                <w:lang w:val="pt-BR"/>
              </w:rPr>
              <w:t>o</w:t>
            </w:r>
            <w:r w:rsidRPr="003511E0">
              <w:rPr>
                <w:rFonts w:asciiTheme="majorHAnsi" w:hAnsiTheme="majorHAnsi" w:cstheme="minorHAnsi"/>
                <w:b w:val="0"/>
                <w:sz w:val="22"/>
                <w:szCs w:val="22"/>
                <w:lang w:val="pt-BR"/>
              </w:rPr>
              <w:t xml:space="preserve">s pela CGMAC no Parecer Técnico nº </w:t>
            </w:r>
            <w:r w:rsidR="003511E0">
              <w:rPr>
                <w:rFonts w:asciiTheme="majorHAnsi" w:hAnsiTheme="majorHAnsi" w:cstheme="minorHAnsi"/>
                <w:b w:val="0"/>
                <w:sz w:val="22"/>
                <w:szCs w:val="22"/>
                <w:lang w:val="pt-BR"/>
              </w:rPr>
              <w:t>176</w:t>
            </w:r>
            <w:r w:rsidRPr="003511E0">
              <w:rPr>
                <w:rFonts w:asciiTheme="majorHAnsi" w:hAnsiTheme="majorHAnsi" w:cstheme="minorHAnsi"/>
                <w:b w:val="0"/>
                <w:sz w:val="22"/>
                <w:szCs w:val="22"/>
                <w:lang w:val="pt-BR"/>
              </w:rPr>
              <w:t>/18.</w:t>
            </w:r>
          </w:p>
        </w:tc>
        <w:tc>
          <w:tcPr>
            <w:tcW w:w="1139" w:type="pct"/>
            <w:tcBorders>
              <w:top w:val="single" w:sz="12" w:space="0" w:color="FFFFFF" w:themeColor="background1"/>
              <w:bottom w:val="single" w:sz="12" w:space="0" w:color="FFFFFF" w:themeColor="background1"/>
            </w:tcBorders>
            <w:shd w:val="clear" w:color="auto" w:fill="BFBFBF" w:themeFill="background1" w:themeFillShade="BF"/>
            <w:vAlign w:val="center"/>
          </w:tcPr>
          <w:p w14:paraId="71912D36" w14:textId="696D296A" w:rsidR="00D437E0" w:rsidRPr="003511E0" w:rsidRDefault="00D437E0" w:rsidP="00D437E0">
            <w:pPr>
              <w:pStyle w:val="semespaamento0"/>
              <w:keepLines/>
              <w:spacing w:before="120" w:after="120"/>
              <w:jc w:val="center"/>
              <w:rPr>
                <w:rFonts w:asciiTheme="majorHAnsi" w:hAnsiTheme="majorHAnsi" w:cstheme="minorHAnsi"/>
                <w:b w:val="0"/>
                <w:sz w:val="22"/>
                <w:szCs w:val="22"/>
                <w:lang w:val="pt-BR"/>
              </w:rPr>
            </w:pPr>
            <w:r w:rsidRPr="003511E0">
              <w:rPr>
                <w:rFonts w:asciiTheme="majorHAnsi" w:hAnsiTheme="majorHAnsi" w:cstheme="minorHAnsi"/>
                <w:b w:val="0"/>
                <w:sz w:val="22"/>
                <w:szCs w:val="22"/>
                <w:lang w:val="pt-BR"/>
              </w:rPr>
              <w:t>BP Energy do Brasil</w:t>
            </w:r>
          </w:p>
        </w:tc>
      </w:tr>
      <w:tr w:rsidR="00D437E0" w:rsidRPr="00D371A6" w14:paraId="3E13BEEB" w14:textId="77777777" w:rsidTr="00150CAE">
        <w:trPr>
          <w:trHeight w:val="498"/>
        </w:trPr>
        <w:tc>
          <w:tcPr>
            <w:tcW w:w="312"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6EC00446" w14:textId="77777777" w:rsidR="00D437E0" w:rsidRPr="00D371A6" w:rsidRDefault="00D437E0" w:rsidP="00D437E0">
            <w:pPr>
              <w:pStyle w:val="semespaamento0"/>
              <w:keepLines/>
              <w:spacing w:before="120" w:after="120"/>
              <w:jc w:val="center"/>
              <w:rPr>
                <w:rFonts w:asciiTheme="majorHAnsi" w:hAnsiTheme="majorHAnsi" w:cstheme="minorHAnsi"/>
                <w:b w:val="0"/>
                <w:sz w:val="22"/>
                <w:szCs w:val="22"/>
                <w:lang w:val="pt-BR"/>
              </w:rPr>
            </w:pPr>
          </w:p>
        </w:tc>
        <w:tc>
          <w:tcPr>
            <w:tcW w:w="830"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5770F5C0" w14:textId="77777777" w:rsidR="00D437E0" w:rsidRPr="00D371A6" w:rsidRDefault="00D437E0" w:rsidP="00D437E0">
            <w:pPr>
              <w:pStyle w:val="semespaamento0"/>
              <w:keepLines/>
              <w:spacing w:before="120" w:after="120"/>
              <w:jc w:val="center"/>
              <w:rPr>
                <w:rFonts w:asciiTheme="majorHAnsi" w:hAnsiTheme="majorHAnsi" w:cstheme="minorHAnsi"/>
                <w:b w:val="0"/>
                <w:sz w:val="22"/>
                <w:szCs w:val="22"/>
                <w:lang w:val="pt-BR"/>
              </w:rPr>
            </w:pPr>
          </w:p>
        </w:tc>
        <w:tc>
          <w:tcPr>
            <w:tcW w:w="2719"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2390BE6A" w14:textId="77777777" w:rsidR="00D437E0" w:rsidRPr="00D371A6" w:rsidRDefault="00D437E0" w:rsidP="00D437E0">
            <w:pPr>
              <w:pStyle w:val="semespaamento0"/>
              <w:keepLines/>
              <w:spacing w:before="120" w:after="120"/>
              <w:jc w:val="left"/>
              <w:rPr>
                <w:rFonts w:asciiTheme="majorHAnsi" w:hAnsiTheme="majorHAnsi" w:cstheme="minorHAnsi"/>
                <w:b w:val="0"/>
                <w:sz w:val="22"/>
                <w:szCs w:val="22"/>
                <w:lang w:val="pt-BR"/>
              </w:rPr>
            </w:pPr>
          </w:p>
        </w:tc>
        <w:tc>
          <w:tcPr>
            <w:tcW w:w="1139"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02E59F0F" w14:textId="77777777" w:rsidR="00D437E0" w:rsidRPr="00D371A6" w:rsidRDefault="00D437E0" w:rsidP="00D437E0">
            <w:pPr>
              <w:pStyle w:val="semespaamento0"/>
              <w:keepLines/>
              <w:spacing w:before="120" w:after="120"/>
              <w:jc w:val="center"/>
              <w:rPr>
                <w:rFonts w:asciiTheme="majorHAnsi" w:hAnsiTheme="majorHAnsi" w:cstheme="minorHAnsi"/>
                <w:b w:val="0"/>
                <w:sz w:val="22"/>
                <w:szCs w:val="22"/>
                <w:lang w:val="pt-BR"/>
              </w:rPr>
            </w:pPr>
          </w:p>
        </w:tc>
      </w:tr>
    </w:tbl>
    <w:p w14:paraId="7B75BF00" w14:textId="77777777" w:rsidR="00CC47FD" w:rsidRPr="00D437E0" w:rsidRDefault="00CC47FD" w:rsidP="00A254A9">
      <w:pPr>
        <w:spacing w:before="0" w:after="200" w:line="276" w:lineRule="auto"/>
        <w:rPr>
          <w:rFonts w:asciiTheme="majorHAnsi" w:hAnsiTheme="majorHAnsi"/>
        </w:rPr>
      </w:pPr>
    </w:p>
    <w:p w14:paraId="6F2D62FA" w14:textId="77777777" w:rsidR="00CC47FD" w:rsidRPr="00D437E0" w:rsidRDefault="00CC47FD" w:rsidP="00A254A9">
      <w:pPr>
        <w:spacing w:before="0" w:after="200" w:line="276" w:lineRule="auto"/>
        <w:rPr>
          <w:rFonts w:asciiTheme="majorHAnsi" w:hAnsiTheme="majorHAnsi"/>
        </w:rPr>
      </w:pPr>
      <w:r w:rsidRPr="00D437E0">
        <w:rPr>
          <w:rFonts w:asciiTheme="majorHAnsi" w:hAnsiTheme="majorHAnsi"/>
        </w:rPr>
        <w:br w:type="page"/>
      </w:r>
    </w:p>
    <w:sdt>
      <w:sdtPr>
        <w:rPr>
          <w:rFonts w:asciiTheme="majorHAnsi" w:hAnsiTheme="majorHAnsi" w:cstheme="minorHAnsi"/>
          <w:szCs w:val="20"/>
          <w:lang w:val="en-GB"/>
        </w:rPr>
        <w:id w:val="1632355350"/>
        <w:docPartObj>
          <w:docPartGallery w:val="Table of Contents"/>
          <w:docPartUnique/>
        </w:docPartObj>
      </w:sdtPr>
      <w:sdtEndPr>
        <w:rPr>
          <w:b/>
          <w:szCs w:val="22"/>
        </w:rPr>
      </w:sdtEndPr>
      <w:sdtContent>
        <w:p w14:paraId="3B3AF3F3" w14:textId="77777777" w:rsidR="004365B6" w:rsidRPr="00B1725D" w:rsidRDefault="00641FD8" w:rsidP="009877EC">
          <w:pPr>
            <w:jc w:val="center"/>
            <w:rPr>
              <w:rStyle w:val="NegritoVersaleteChar"/>
              <w:i w:val="0"/>
              <w:color w:val="auto"/>
              <w:lang w:val="en-GB"/>
            </w:rPr>
          </w:pPr>
          <w:r w:rsidRPr="00B1725D">
            <w:rPr>
              <w:rStyle w:val="NegritoVersaleteChar"/>
              <w:i w:val="0"/>
              <w:color w:val="auto"/>
              <w:lang w:val="en-GB"/>
            </w:rPr>
            <w:t>Sumário</w:t>
          </w:r>
        </w:p>
        <w:p w14:paraId="41433946" w14:textId="60E150AC" w:rsidR="009D286F" w:rsidRDefault="009B50F4">
          <w:pPr>
            <w:pStyle w:val="Sumrio1"/>
            <w:rPr>
              <w:rFonts w:asciiTheme="minorHAnsi" w:hAnsiTheme="minorHAnsi"/>
              <w:b w:val="0"/>
              <w:bCs w:val="0"/>
              <w:caps w:val="0"/>
              <w:lang w:val="pt-BR"/>
            </w:rPr>
          </w:pPr>
          <w:r>
            <w:rPr>
              <w:rFonts w:asciiTheme="majorHAnsi" w:eastAsia="SimSun" w:hAnsiTheme="majorHAnsi" w:cs="Calibri"/>
              <w:bCs w:val="0"/>
              <w:caps w:val="0"/>
              <w:kern w:val="32"/>
              <w:lang w:eastAsia="zh-CN"/>
            </w:rPr>
            <w:fldChar w:fldCharType="begin"/>
          </w:r>
          <w:r>
            <w:rPr>
              <w:rFonts w:asciiTheme="majorHAnsi" w:eastAsia="SimSun" w:hAnsiTheme="majorHAnsi" w:cs="Calibri"/>
              <w:bCs w:val="0"/>
              <w:caps w:val="0"/>
              <w:kern w:val="32"/>
              <w:lang w:eastAsia="zh-CN"/>
            </w:rPr>
            <w:instrText xml:space="preserve"> TOC \o "1-3" \h \z \u </w:instrText>
          </w:r>
          <w:r>
            <w:rPr>
              <w:rFonts w:asciiTheme="majorHAnsi" w:eastAsia="SimSun" w:hAnsiTheme="majorHAnsi" w:cs="Calibri"/>
              <w:bCs w:val="0"/>
              <w:caps w:val="0"/>
              <w:kern w:val="32"/>
              <w:lang w:eastAsia="zh-CN"/>
            </w:rPr>
            <w:fldChar w:fldCharType="separate"/>
          </w:r>
          <w:hyperlink w:anchor="_Toc527990399" w:history="1">
            <w:r w:rsidR="009D286F" w:rsidRPr="000D5A57">
              <w:rPr>
                <w:rStyle w:val="Hyperlink"/>
              </w:rPr>
              <w:t>1.</w:t>
            </w:r>
            <w:r w:rsidR="009D286F">
              <w:rPr>
                <w:rFonts w:asciiTheme="minorHAnsi" w:hAnsiTheme="minorHAnsi"/>
                <w:b w:val="0"/>
                <w:bCs w:val="0"/>
                <w:caps w:val="0"/>
                <w:lang w:val="pt-BR"/>
              </w:rPr>
              <w:tab/>
            </w:r>
            <w:r w:rsidR="009D286F" w:rsidRPr="000D5A57">
              <w:rPr>
                <w:rStyle w:val="Hyperlink"/>
              </w:rPr>
              <w:t>INTRODUÇÃO</w:t>
            </w:r>
            <w:r w:rsidR="009D286F">
              <w:rPr>
                <w:webHidden/>
              </w:rPr>
              <w:tab/>
            </w:r>
            <w:r w:rsidR="009D286F">
              <w:rPr>
                <w:webHidden/>
              </w:rPr>
              <w:fldChar w:fldCharType="begin"/>
            </w:r>
            <w:r w:rsidR="009D286F">
              <w:rPr>
                <w:webHidden/>
              </w:rPr>
              <w:instrText xml:space="preserve"> PAGEREF _Toc527990399 \h </w:instrText>
            </w:r>
            <w:r w:rsidR="009D286F">
              <w:rPr>
                <w:webHidden/>
              </w:rPr>
            </w:r>
            <w:r w:rsidR="009D286F">
              <w:rPr>
                <w:webHidden/>
              </w:rPr>
              <w:fldChar w:fldCharType="separate"/>
            </w:r>
            <w:r w:rsidR="009D286F">
              <w:rPr>
                <w:webHidden/>
              </w:rPr>
              <w:t>1</w:t>
            </w:r>
            <w:r w:rsidR="009D286F">
              <w:rPr>
                <w:webHidden/>
              </w:rPr>
              <w:fldChar w:fldCharType="end"/>
            </w:r>
          </w:hyperlink>
        </w:p>
        <w:p w14:paraId="4AF91915" w14:textId="3CE3DCCC" w:rsidR="009D286F" w:rsidRDefault="009D286F">
          <w:pPr>
            <w:pStyle w:val="Sumrio1"/>
            <w:rPr>
              <w:rFonts w:asciiTheme="minorHAnsi" w:hAnsiTheme="minorHAnsi"/>
              <w:b w:val="0"/>
              <w:bCs w:val="0"/>
              <w:caps w:val="0"/>
              <w:lang w:val="pt-BR"/>
            </w:rPr>
          </w:pPr>
          <w:hyperlink w:anchor="_Toc527990400" w:history="1">
            <w:r w:rsidRPr="000D5A57">
              <w:rPr>
                <w:rStyle w:val="Hyperlink"/>
                <w:lang w:val="pt-BR"/>
              </w:rPr>
              <w:t>2.</w:t>
            </w:r>
            <w:r>
              <w:rPr>
                <w:rFonts w:asciiTheme="minorHAnsi" w:hAnsiTheme="minorHAnsi"/>
                <w:b w:val="0"/>
                <w:bCs w:val="0"/>
                <w:caps w:val="0"/>
                <w:lang w:val="pt-BR"/>
              </w:rPr>
              <w:tab/>
            </w:r>
            <w:r w:rsidRPr="000D5A57">
              <w:rPr>
                <w:rStyle w:val="Hyperlink"/>
                <w:lang w:val="pt-BR"/>
              </w:rPr>
              <w:t>IDENTIFICAÇÃO DA INSTALAÇÃO E CARACTERIZAÇÃO DAS ATIVIDADES</w:t>
            </w:r>
            <w:r>
              <w:rPr>
                <w:webHidden/>
              </w:rPr>
              <w:tab/>
            </w:r>
            <w:r>
              <w:rPr>
                <w:webHidden/>
              </w:rPr>
              <w:fldChar w:fldCharType="begin"/>
            </w:r>
            <w:r>
              <w:rPr>
                <w:webHidden/>
              </w:rPr>
              <w:instrText xml:space="preserve"> PAGEREF _Toc527990400 \h </w:instrText>
            </w:r>
            <w:r>
              <w:rPr>
                <w:webHidden/>
              </w:rPr>
            </w:r>
            <w:r>
              <w:rPr>
                <w:webHidden/>
              </w:rPr>
              <w:fldChar w:fldCharType="separate"/>
            </w:r>
            <w:r>
              <w:rPr>
                <w:webHidden/>
              </w:rPr>
              <w:t>2</w:t>
            </w:r>
            <w:r>
              <w:rPr>
                <w:webHidden/>
              </w:rPr>
              <w:fldChar w:fldCharType="end"/>
            </w:r>
          </w:hyperlink>
        </w:p>
        <w:p w14:paraId="51440E9F" w14:textId="655485BB" w:rsidR="009D286F" w:rsidRDefault="009D286F">
          <w:pPr>
            <w:pStyle w:val="Sumrio1"/>
            <w:rPr>
              <w:rFonts w:asciiTheme="minorHAnsi" w:hAnsiTheme="minorHAnsi"/>
              <w:b w:val="0"/>
              <w:bCs w:val="0"/>
              <w:caps w:val="0"/>
              <w:lang w:val="pt-BR"/>
            </w:rPr>
          </w:pPr>
          <w:hyperlink w:anchor="_Toc527990401" w:history="1">
            <w:r w:rsidRPr="000D5A57">
              <w:rPr>
                <w:rStyle w:val="Hyperlink"/>
              </w:rPr>
              <w:t>3.</w:t>
            </w:r>
            <w:r>
              <w:rPr>
                <w:rFonts w:asciiTheme="minorHAnsi" w:hAnsiTheme="minorHAnsi"/>
                <w:b w:val="0"/>
                <w:bCs w:val="0"/>
                <w:caps w:val="0"/>
                <w:lang w:val="pt-BR"/>
              </w:rPr>
              <w:tab/>
            </w:r>
            <w:r w:rsidRPr="000D5A57">
              <w:rPr>
                <w:rStyle w:val="Hyperlink"/>
              </w:rPr>
              <w:t>CENÁRIOS ACIDENTAIS</w:t>
            </w:r>
            <w:r>
              <w:rPr>
                <w:webHidden/>
              </w:rPr>
              <w:tab/>
            </w:r>
            <w:r>
              <w:rPr>
                <w:webHidden/>
              </w:rPr>
              <w:fldChar w:fldCharType="begin"/>
            </w:r>
            <w:r>
              <w:rPr>
                <w:webHidden/>
              </w:rPr>
              <w:instrText xml:space="preserve"> PAGEREF _Toc527990401 \h </w:instrText>
            </w:r>
            <w:r>
              <w:rPr>
                <w:webHidden/>
              </w:rPr>
            </w:r>
            <w:r>
              <w:rPr>
                <w:webHidden/>
              </w:rPr>
              <w:fldChar w:fldCharType="separate"/>
            </w:r>
            <w:r>
              <w:rPr>
                <w:webHidden/>
              </w:rPr>
              <w:t>6</w:t>
            </w:r>
            <w:r>
              <w:rPr>
                <w:webHidden/>
              </w:rPr>
              <w:fldChar w:fldCharType="end"/>
            </w:r>
          </w:hyperlink>
        </w:p>
        <w:p w14:paraId="3AF1DB5B" w14:textId="4A44618D" w:rsidR="009D286F" w:rsidRDefault="009D286F">
          <w:pPr>
            <w:pStyle w:val="Sumrio1"/>
            <w:rPr>
              <w:rFonts w:asciiTheme="minorHAnsi" w:hAnsiTheme="minorHAnsi"/>
              <w:b w:val="0"/>
              <w:bCs w:val="0"/>
              <w:caps w:val="0"/>
              <w:lang w:val="pt-BR"/>
            </w:rPr>
          </w:pPr>
          <w:hyperlink w:anchor="_Toc527990402" w:history="1">
            <w:r w:rsidRPr="000D5A57">
              <w:rPr>
                <w:rStyle w:val="Hyperlink"/>
              </w:rPr>
              <w:t>4.</w:t>
            </w:r>
            <w:r>
              <w:rPr>
                <w:rFonts w:asciiTheme="minorHAnsi" w:hAnsiTheme="minorHAnsi"/>
                <w:b w:val="0"/>
                <w:bCs w:val="0"/>
                <w:caps w:val="0"/>
                <w:lang w:val="pt-BR"/>
              </w:rPr>
              <w:tab/>
            </w:r>
            <w:r w:rsidRPr="000D5A57">
              <w:rPr>
                <w:rStyle w:val="Hyperlink"/>
              </w:rPr>
              <w:t>ANÁLISE DE VULNERABILIDADE</w:t>
            </w:r>
            <w:r>
              <w:rPr>
                <w:webHidden/>
              </w:rPr>
              <w:tab/>
            </w:r>
            <w:r>
              <w:rPr>
                <w:webHidden/>
              </w:rPr>
              <w:fldChar w:fldCharType="begin"/>
            </w:r>
            <w:r>
              <w:rPr>
                <w:webHidden/>
              </w:rPr>
              <w:instrText xml:space="preserve"> PAGEREF _Toc527990402 \h </w:instrText>
            </w:r>
            <w:r>
              <w:rPr>
                <w:webHidden/>
              </w:rPr>
            </w:r>
            <w:r>
              <w:rPr>
                <w:webHidden/>
              </w:rPr>
              <w:fldChar w:fldCharType="separate"/>
            </w:r>
            <w:r>
              <w:rPr>
                <w:webHidden/>
              </w:rPr>
              <w:t>11</w:t>
            </w:r>
            <w:r>
              <w:rPr>
                <w:webHidden/>
              </w:rPr>
              <w:fldChar w:fldCharType="end"/>
            </w:r>
          </w:hyperlink>
        </w:p>
        <w:p w14:paraId="6B78F39E" w14:textId="0868BCD8" w:rsidR="009D286F" w:rsidRDefault="009D286F">
          <w:pPr>
            <w:pStyle w:val="Sumrio1"/>
            <w:rPr>
              <w:rFonts w:asciiTheme="minorHAnsi" w:hAnsiTheme="minorHAnsi"/>
              <w:b w:val="0"/>
              <w:bCs w:val="0"/>
              <w:caps w:val="0"/>
              <w:lang w:val="pt-BR"/>
            </w:rPr>
          </w:pPr>
          <w:hyperlink w:anchor="_Toc527990403" w:history="1">
            <w:r w:rsidRPr="000D5A57">
              <w:rPr>
                <w:rStyle w:val="Hyperlink"/>
                <w:lang w:val="pt-BR"/>
              </w:rPr>
              <w:t>5.</w:t>
            </w:r>
            <w:r>
              <w:rPr>
                <w:rFonts w:asciiTheme="minorHAnsi" w:hAnsiTheme="minorHAnsi"/>
                <w:b w:val="0"/>
                <w:bCs w:val="0"/>
                <w:caps w:val="0"/>
                <w:lang w:val="pt-BR"/>
              </w:rPr>
              <w:tab/>
            </w:r>
            <w:r w:rsidRPr="000D5A57">
              <w:rPr>
                <w:rStyle w:val="Hyperlink"/>
                <w:lang w:val="pt-BR"/>
              </w:rPr>
              <w:t>ESTRUTURA ORGANIZACIONAL DE RESPOSTA (EOR)</w:t>
            </w:r>
            <w:r>
              <w:rPr>
                <w:webHidden/>
              </w:rPr>
              <w:tab/>
            </w:r>
            <w:r>
              <w:rPr>
                <w:webHidden/>
              </w:rPr>
              <w:fldChar w:fldCharType="begin"/>
            </w:r>
            <w:r>
              <w:rPr>
                <w:webHidden/>
              </w:rPr>
              <w:instrText xml:space="preserve"> PAGEREF _Toc527990403 \h </w:instrText>
            </w:r>
            <w:r>
              <w:rPr>
                <w:webHidden/>
              </w:rPr>
            </w:r>
            <w:r>
              <w:rPr>
                <w:webHidden/>
              </w:rPr>
              <w:fldChar w:fldCharType="separate"/>
            </w:r>
            <w:r>
              <w:rPr>
                <w:webHidden/>
              </w:rPr>
              <w:t>14</w:t>
            </w:r>
            <w:r>
              <w:rPr>
                <w:webHidden/>
              </w:rPr>
              <w:fldChar w:fldCharType="end"/>
            </w:r>
          </w:hyperlink>
        </w:p>
        <w:p w14:paraId="1A26F221" w14:textId="13A857C9" w:rsidR="009D286F" w:rsidRDefault="009D286F">
          <w:pPr>
            <w:pStyle w:val="Sumrio2"/>
            <w:tabs>
              <w:tab w:val="left" w:pos="1008"/>
              <w:tab w:val="right" w:leader="dot" w:pos="9060"/>
            </w:tabs>
            <w:rPr>
              <w:rFonts w:asciiTheme="minorHAnsi" w:hAnsiTheme="minorHAnsi"/>
              <w:b w:val="0"/>
              <w:bCs w:val="0"/>
              <w:smallCaps w:val="0"/>
              <w:noProof/>
            </w:rPr>
          </w:pPr>
          <w:hyperlink w:anchor="_Toc527990404" w:history="1">
            <w:r w:rsidRPr="000D5A57">
              <w:rPr>
                <w:rStyle w:val="Hyperlink"/>
                <w:noProof/>
              </w:rPr>
              <w:t>5.1.</w:t>
            </w:r>
            <w:r>
              <w:rPr>
                <w:rFonts w:asciiTheme="minorHAnsi" w:hAnsiTheme="minorHAnsi"/>
                <w:b w:val="0"/>
                <w:bCs w:val="0"/>
                <w:smallCaps w:val="0"/>
                <w:noProof/>
              </w:rPr>
              <w:tab/>
            </w:r>
            <w:r w:rsidRPr="000D5A57">
              <w:rPr>
                <w:rStyle w:val="Hyperlink"/>
                <w:noProof/>
              </w:rPr>
              <w:t>Equipe de Gerenciamento de Incidentes (IMT)</w:t>
            </w:r>
            <w:r>
              <w:rPr>
                <w:noProof/>
                <w:webHidden/>
              </w:rPr>
              <w:tab/>
            </w:r>
            <w:r>
              <w:rPr>
                <w:noProof/>
                <w:webHidden/>
              </w:rPr>
              <w:fldChar w:fldCharType="begin"/>
            </w:r>
            <w:r>
              <w:rPr>
                <w:noProof/>
                <w:webHidden/>
              </w:rPr>
              <w:instrText xml:space="preserve"> PAGEREF _Toc527990404 \h </w:instrText>
            </w:r>
            <w:r>
              <w:rPr>
                <w:noProof/>
                <w:webHidden/>
              </w:rPr>
            </w:r>
            <w:r>
              <w:rPr>
                <w:noProof/>
                <w:webHidden/>
              </w:rPr>
              <w:fldChar w:fldCharType="separate"/>
            </w:r>
            <w:r>
              <w:rPr>
                <w:noProof/>
                <w:webHidden/>
              </w:rPr>
              <w:t>16</w:t>
            </w:r>
            <w:r>
              <w:rPr>
                <w:noProof/>
                <w:webHidden/>
              </w:rPr>
              <w:fldChar w:fldCharType="end"/>
            </w:r>
          </w:hyperlink>
        </w:p>
        <w:p w14:paraId="6323AE08" w14:textId="48E5E1CF" w:rsidR="009D286F" w:rsidRDefault="009D286F">
          <w:pPr>
            <w:pStyle w:val="Sumrio2"/>
            <w:tabs>
              <w:tab w:val="left" w:pos="1008"/>
              <w:tab w:val="right" w:leader="dot" w:pos="9060"/>
            </w:tabs>
            <w:rPr>
              <w:rFonts w:asciiTheme="minorHAnsi" w:hAnsiTheme="minorHAnsi"/>
              <w:b w:val="0"/>
              <w:bCs w:val="0"/>
              <w:smallCaps w:val="0"/>
              <w:noProof/>
            </w:rPr>
          </w:pPr>
          <w:hyperlink w:anchor="_Toc527990405" w:history="1">
            <w:r w:rsidRPr="000D5A57">
              <w:rPr>
                <w:rStyle w:val="Hyperlink"/>
                <w:noProof/>
              </w:rPr>
              <w:t>5.2.</w:t>
            </w:r>
            <w:r>
              <w:rPr>
                <w:rFonts w:asciiTheme="minorHAnsi" w:hAnsiTheme="minorHAnsi"/>
                <w:b w:val="0"/>
                <w:bCs w:val="0"/>
                <w:smallCaps w:val="0"/>
                <w:noProof/>
              </w:rPr>
              <w:tab/>
            </w:r>
            <w:r w:rsidRPr="000D5A57">
              <w:rPr>
                <w:rStyle w:val="Hyperlink"/>
                <w:noProof/>
              </w:rPr>
              <w:t>Equipe de Resposta Tática (TRT)</w:t>
            </w:r>
            <w:r>
              <w:rPr>
                <w:noProof/>
                <w:webHidden/>
              </w:rPr>
              <w:tab/>
            </w:r>
            <w:r>
              <w:rPr>
                <w:noProof/>
                <w:webHidden/>
              </w:rPr>
              <w:fldChar w:fldCharType="begin"/>
            </w:r>
            <w:r>
              <w:rPr>
                <w:noProof/>
                <w:webHidden/>
              </w:rPr>
              <w:instrText xml:space="preserve"> PAGEREF _Toc527990405 \h </w:instrText>
            </w:r>
            <w:r>
              <w:rPr>
                <w:noProof/>
                <w:webHidden/>
              </w:rPr>
            </w:r>
            <w:r>
              <w:rPr>
                <w:noProof/>
                <w:webHidden/>
              </w:rPr>
              <w:fldChar w:fldCharType="separate"/>
            </w:r>
            <w:r>
              <w:rPr>
                <w:noProof/>
                <w:webHidden/>
              </w:rPr>
              <w:t>17</w:t>
            </w:r>
            <w:r>
              <w:rPr>
                <w:noProof/>
                <w:webHidden/>
              </w:rPr>
              <w:fldChar w:fldCharType="end"/>
            </w:r>
          </w:hyperlink>
        </w:p>
        <w:p w14:paraId="6AD86523" w14:textId="37533E3B" w:rsidR="009D286F" w:rsidRDefault="009D286F">
          <w:pPr>
            <w:pStyle w:val="Sumrio2"/>
            <w:tabs>
              <w:tab w:val="left" w:pos="1008"/>
              <w:tab w:val="right" w:leader="dot" w:pos="9060"/>
            </w:tabs>
            <w:rPr>
              <w:rFonts w:asciiTheme="minorHAnsi" w:hAnsiTheme="minorHAnsi"/>
              <w:b w:val="0"/>
              <w:bCs w:val="0"/>
              <w:smallCaps w:val="0"/>
              <w:noProof/>
            </w:rPr>
          </w:pPr>
          <w:hyperlink w:anchor="_Toc527990406" w:history="1">
            <w:r w:rsidRPr="000D5A57">
              <w:rPr>
                <w:rStyle w:val="Hyperlink"/>
                <w:noProof/>
              </w:rPr>
              <w:t>5.3.</w:t>
            </w:r>
            <w:r>
              <w:rPr>
                <w:rFonts w:asciiTheme="minorHAnsi" w:hAnsiTheme="minorHAnsi"/>
                <w:b w:val="0"/>
                <w:bCs w:val="0"/>
                <w:smallCaps w:val="0"/>
                <w:noProof/>
              </w:rPr>
              <w:tab/>
            </w:r>
            <w:r w:rsidRPr="000D5A57">
              <w:rPr>
                <w:rStyle w:val="Hyperlink"/>
                <w:noProof/>
              </w:rPr>
              <w:t>Equipe de Suporte à Continuidade da Capacidade Operacional (BST)</w:t>
            </w:r>
            <w:r>
              <w:rPr>
                <w:noProof/>
                <w:webHidden/>
              </w:rPr>
              <w:tab/>
            </w:r>
            <w:r>
              <w:rPr>
                <w:noProof/>
                <w:webHidden/>
              </w:rPr>
              <w:fldChar w:fldCharType="begin"/>
            </w:r>
            <w:r>
              <w:rPr>
                <w:noProof/>
                <w:webHidden/>
              </w:rPr>
              <w:instrText xml:space="preserve"> PAGEREF _Toc527990406 \h </w:instrText>
            </w:r>
            <w:r>
              <w:rPr>
                <w:noProof/>
                <w:webHidden/>
              </w:rPr>
            </w:r>
            <w:r>
              <w:rPr>
                <w:noProof/>
                <w:webHidden/>
              </w:rPr>
              <w:fldChar w:fldCharType="separate"/>
            </w:r>
            <w:r>
              <w:rPr>
                <w:noProof/>
                <w:webHidden/>
              </w:rPr>
              <w:t>20</w:t>
            </w:r>
            <w:r>
              <w:rPr>
                <w:noProof/>
                <w:webHidden/>
              </w:rPr>
              <w:fldChar w:fldCharType="end"/>
            </w:r>
          </w:hyperlink>
        </w:p>
        <w:p w14:paraId="0AACCFB4" w14:textId="72DAE02B" w:rsidR="009D286F" w:rsidRDefault="009D286F">
          <w:pPr>
            <w:pStyle w:val="Sumrio1"/>
            <w:rPr>
              <w:rFonts w:asciiTheme="minorHAnsi" w:hAnsiTheme="minorHAnsi"/>
              <w:b w:val="0"/>
              <w:bCs w:val="0"/>
              <w:caps w:val="0"/>
              <w:lang w:val="pt-BR"/>
            </w:rPr>
          </w:pPr>
          <w:hyperlink w:anchor="_Toc527990407" w:history="1">
            <w:r w:rsidRPr="000D5A57">
              <w:rPr>
                <w:rStyle w:val="Hyperlink"/>
                <w:lang w:val="pt-BR"/>
              </w:rPr>
              <w:t>6.</w:t>
            </w:r>
            <w:r>
              <w:rPr>
                <w:rFonts w:asciiTheme="minorHAnsi" w:hAnsiTheme="minorHAnsi"/>
                <w:b w:val="0"/>
                <w:bCs w:val="0"/>
                <w:caps w:val="0"/>
                <w:lang w:val="pt-BR"/>
              </w:rPr>
              <w:tab/>
            </w:r>
            <w:r w:rsidRPr="000D5A57">
              <w:rPr>
                <w:rStyle w:val="Hyperlink"/>
                <w:lang w:val="pt-BR"/>
              </w:rPr>
              <w:t>COMUNICAÇÃO INICIAL E MOBILIZAÇÃO DA EOR</w:t>
            </w:r>
            <w:r>
              <w:rPr>
                <w:webHidden/>
              </w:rPr>
              <w:tab/>
            </w:r>
            <w:r>
              <w:rPr>
                <w:webHidden/>
              </w:rPr>
              <w:fldChar w:fldCharType="begin"/>
            </w:r>
            <w:r>
              <w:rPr>
                <w:webHidden/>
              </w:rPr>
              <w:instrText xml:space="preserve"> PAGEREF _Toc527990407 \h </w:instrText>
            </w:r>
            <w:r>
              <w:rPr>
                <w:webHidden/>
              </w:rPr>
            </w:r>
            <w:r>
              <w:rPr>
                <w:webHidden/>
              </w:rPr>
              <w:fldChar w:fldCharType="separate"/>
            </w:r>
            <w:r>
              <w:rPr>
                <w:webHidden/>
              </w:rPr>
              <w:t>20</w:t>
            </w:r>
            <w:r>
              <w:rPr>
                <w:webHidden/>
              </w:rPr>
              <w:fldChar w:fldCharType="end"/>
            </w:r>
          </w:hyperlink>
        </w:p>
        <w:p w14:paraId="22A8D3BB" w14:textId="4668769E" w:rsidR="009D286F" w:rsidRDefault="009D286F">
          <w:pPr>
            <w:pStyle w:val="Sumrio1"/>
            <w:rPr>
              <w:rFonts w:asciiTheme="minorHAnsi" w:hAnsiTheme="minorHAnsi"/>
              <w:b w:val="0"/>
              <w:bCs w:val="0"/>
              <w:caps w:val="0"/>
              <w:lang w:val="pt-BR"/>
            </w:rPr>
          </w:pPr>
          <w:hyperlink w:anchor="_Toc527990408" w:history="1">
            <w:r w:rsidRPr="000D5A57">
              <w:rPr>
                <w:rStyle w:val="Hyperlink"/>
              </w:rPr>
              <w:t>7.</w:t>
            </w:r>
            <w:r>
              <w:rPr>
                <w:rFonts w:asciiTheme="minorHAnsi" w:hAnsiTheme="minorHAnsi"/>
                <w:b w:val="0"/>
                <w:bCs w:val="0"/>
                <w:caps w:val="0"/>
                <w:lang w:val="pt-BR"/>
              </w:rPr>
              <w:tab/>
            </w:r>
            <w:r w:rsidRPr="000D5A57">
              <w:rPr>
                <w:rStyle w:val="Hyperlink"/>
              </w:rPr>
              <w:t>PROCEDIMENTOS DE GERENCIAMENTO DE INCIDENTES</w:t>
            </w:r>
            <w:r>
              <w:rPr>
                <w:webHidden/>
              </w:rPr>
              <w:tab/>
            </w:r>
            <w:r>
              <w:rPr>
                <w:webHidden/>
              </w:rPr>
              <w:fldChar w:fldCharType="begin"/>
            </w:r>
            <w:r>
              <w:rPr>
                <w:webHidden/>
              </w:rPr>
              <w:instrText xml:space="preserve"> PAGEREF _Toc527990408 \h </w:instrText>
            </w:r>
            <w:r>
              <w:rPr>
                <w:webHidden/>
              </w:rPr>
            </w:r>
            <w:r>
              <w:rPr>
                <w:webHidden/>
              </w:rPr>
              <w:fldChar w:fldCharType="separate"/>
            </w:r>
            <w:r>
              <w:rPr>
                <w:webHidden/>
              </w:rPr>
              <w:t>28</w:t>
            </w:r>
            <w:r>
              <w:rPr>
                <w:webHidden/>
              </w:rPr>
              <w:fldChar w:fldCharType="end"/>
            </w:r>
          </w:hyperlink>
        </w:p>
        <w:p w14:paraId="41CF6E45" w14:textId="4D9B1651" w:rsidR="009D286F" w:rsidRDefault="009D286F">
          <w:pPr>
            <w:pStyle w:val="Sumrio2"/>
            <w:tabs>
              <w:tab w:val="left" w:pos="1008"/>
              <w:tab w:val="right" w:leader="dot" w:pos="9060"/>
            </w:tabs>
            <w:rPr>
              <w:rFonts w:asciiTheme="minorHAnsi" w:hAnsiTheme="minorHAnsi"/>
              <w:b w:val="0"/>
              <w:bCs w:val="0"/>
              <w:smallCaps w:val="0"/>
              <w:noProof/>
            </w:rPr>
          </w:pPr>
          <w:hyperlink w:anchor="_Toc527990409" w:history="1">
            <w:r w:rsidRPr="000D5A57">
              <w:rPr>
                <w:rStyle w:val="Hyperlink"/>
                <w:noProof/>
              </w:rPr>
              <w:t>7.1.</w:t>
            </w:r>
            <w:r>
              <w:rPr>
                <w:rFonts w:asciiTheme="minorHAnsi" w:hAnsiTheme="minorHAnsi"/>
                <w:b w:val="0"/>
                <w:bCs w:val="0"/>
                <w:smallCaps w:val="0"/>
                <w:noProof/>
              </w:rPr>
              <w:tab/>
            </w:r>
            <w:r w:rsidRPr="000D5A57">
              <w:rPr>
                <w:rStyle w:val="Hyperlink"/>
                <w:noProof/>
              </w:rPr>
              <w:t>Procedimentos para Gestão da Informação</w:t>
            </w:r>
            <w:r>
              <w:rPr>
                <w:noProof/>
                <w:webHidden/>
              </w:rPr>
              <w:tab/>
            </w:r>
            <w:r>
              <w:rPr>
                <w:noProof/>
                <w:webHidden/>
              </w:rPr>
              <w:fldChar w:fldCharType="begin"/>
            </w:r>
            <w:r>
              <w:rPr>
                <w:noProof/>
                <w:webHidden/>
              </w:rPr>
              <w:instrText xml:space="preserve"> PAGEREF _Toc527990409 \h </w:instrText>
            </w:r>
            <w:r>
              <w:rPr>
                <w:noProof/>
                <w:webHidden/>
              </w:rPr>
            </w:r>
            <w:r>
              <w:rPr>
                <w:noProof/>
                <w:webHidden/>
              </w:rPr>
              <w:fldChar w:fldCharType="separate"/>
            </w:r>
            <w:r>
              <w:rPr>
                <w:noProof/>
                <w:webHidden/>
              </w:rPr>
              <w:t>30</w:t>
            </w:r>
            <w:r>
              <w:rPr>
                <w:noProof/>
                <w:webHidden/>
              </w:rPr>
              <w:fldChar w:fldCharType="end"/>
            </w:r>
          </w:hyperlink>
        </w:p>
        <w:p w14:paraId="4DC635E4" w14:textId="7DB55ACD" w:rsidR="009D286F" w:rsidRDefault="009D286F">
          <w:pPr>
            <w:pStyle w:val="Sumrio2"/>
            <w:tabs>
              <w:tab w:val="left" w:pos="1008"/>
              <w:tab w:val="right" w:leader="dot" w:pos="9060"/>
            </w:tabs>
            <w:rPr>
              <w:rFonts w:asciiTheme="minorHAnsi" w:hAnsiTheme="minorHAnsi"/>
              <w:b w:val="0"/>
              <w:bCs w:val="0"/>
              <w:smallCaps w:val="0"/>
              <w:noProof/>
            </w:rPr>
          </w:pPr>
          <w:hyperlink w:anchor="_Toc527990410" w:history="1">
            <w:r w:rsidRPr="000D5A57">
              <w:rPr>
                <w:rStyle w:val="Hyperlink"/>
                <w:noProof/>
              </w:rPr>
              <w:t>7.2.</w:t>
            </w:r>
            <w:r>
              <w:rPr>
                <w:rFonts w:asciiTheme="minorHAnsi" w:hAnsiTheme="minorHAnsi"/>
                <w:b w:val="0"/>
                <w:bCs w:val="0"/>
                <w:smallCaps w:val="0"/>
                <w:noProof/>
              </w:rPr>
              <w:tab/>
            </w:r>
            <w:r w:rsidRPr="000D5A57">
              <w:rPr>
                <w:rStyle w:val="Hyperlink"/>
                <w:noProof/>
              </w:rPr>
              <w:t>Comunicações</w:t>
            </w:r>
            <w:r>
              <w:rPr>
                <w:noProof/>
                <w:webHidden/>
              </w:rPr>
              <w:tab/>
            </w:r>
            <w:r>
              <w:rPr>
                <w:noProof/>
                <w:webHidden/>
              </w:rPr>
              <w:fldChar w:fldCharType="begin"/>
            </w:r>
            <w:r>
              <w:rPr>
                <w:noProof/>
                <w:webHidden/>
              </w:rPr>
              <w:instrText xml:space="preserve"> PAGEREF _Toc527990410 \h </w:instrText>
            </w:r>
            <w:r>
              <w:rPr>
                <w:noProof/>
                <w:webHidden/>
              </w:rPr>
            </w:r>
            <w:r>
              <w:rPr>
                <w:noProof/>
                <w:webHidden/>
              </w:rPr>
              <w:fldChar w:fldCharType="separate"/>
            </w:r>
            <w:r>
              <w:rPr>
                <w:noProof/>
                <w:webHidden/>
              </w:rPr>
              <w:t>32</w:t>
            </w:r>
            <w:r>
              <w:rPr>
                <w:noProof/>
                <w:webHidden/>
              </w:rPr>
              <w:fldChar w:fldCharType="end"/>
            </w:r>
          </w:hyperlink>
        </w:p>
        <w:p w14:paraId="480E4A16" w14:textId="492D1C8A" w:rsidR="009D286F" w:rsidRDefault="009D286F">
          <w:pPr>
            <w:pStyle w:val="Sumrio3"/>
            <w:tabs>
              <w:tab w:val="left" w:pos="1331"/>
              <w:tab w:val="right" w:leader="dot" w:pos="9060"/>
            </w:tabs>
            <w:rPr>
              <w:rFonts w:asciiTheme="minorHAnsi" w:hAnsiTheme="minorHAnsi"/>
              <w:b w:val="0"/>
              <w:smallCaps w:val="0"/>
              <w:noProof/>
            </w:rPr>
          </w:pPr>
          <w:hyperlink w:anchor="_Toc527990411" w:history="1">
            <w:r w:rsidRPr="000D5A57">
              <w:rPr>
                <w:rStyle w:val="Hyperlink"/>
                <w:noProof/>
              </w:rPr>
              <w:t>7.2.1.</w:t>
            </w:r>
            <w:r>
              <w:rPr>
                <w:rFonts w:asciiTheme="minorHAnsi" w:hAnsiTheme="minorHAnsi"/>
                <w:b w:val="0"/>
                <w:smallCaps w:val="0"/>
                <w:noProof/>
              </w:rPr>
              <w:tab/>
            </w:r>
            <w:r w:rsidRPr="000D5A57">
              <w:rPr>
                <w:rStyle w:val="Hyperlink"/>
                <w:noProof/>
              </w:rPr>
              <w:t>Comunicação Interna</w:t>
            </w:r>
            <w:r>
              <w:rPr>
                <w:noProof/>
                <w:webHidden/>
              </w:rPr>
              <w:tab/>
            </w:r>
            <w:r>
              <w:rPr>
                <w:noProof/>
                <w:webHidden/>
              </w:rPr>
              <w:fldChar w:fldCharType="begin"/>
            </w:r>
            <w:r>
              <w:rPr>
                <w:noProof/>
                <w:webHidden/>
              </w:rPr>
              <w:instrText xml:space="preserve"> PAGEREF _Toc527990411 \h </w:instrText>
            </w:r>
            <w:r>
              <w:rPr>
                <w:noProof/>
                <w:webHidden/>
              </w:rPr>
            </w:r>
            <w:r>
              <w:rPr>
                <w:noProof/>
                <w:webHidden/>
              </w:rPr>
              <w:fldChar w:fldCharType="separate"/>
            </w:r>
            <w:r>
              <w:rPr>
                <w:noProof/>
                <w:webHidden/>
              </w:rPr>
              <w:t>34</w:t>
            </w:r>
            <w:r>
              <w:rPr>
                <w:noProof/>
                <w:webHidden/>
              </w:rPr>
              <w:fldChar w:fldCharType="end"/>
            </w:r>
          </w:hyperlink>
        </w:p>
        <w:p w14:paraId="673D1B29" w14:textId="3A465CAC" w:rsidR="009D286F" w:rsidRDefault="009D286F">
          <w:pPr>
            <w:pStyle w:val="Sumrio3"/>
            <w:tabs>
              <w:tab w:val="left" w:pos="1331"/>
              <w:tab w:val="right" w:leader="dot" w:pos="9060"/>
            </w:tabs>
            <w:rPr>
              <w:rFonts w:asciiTheme="minorHAnsi" w:hAnsiTheme="minorHAnsi"/>
              <w:b w:val="0"/>
              <w:smallCaps w:val="0"/>
              <w:noProof/>
            </w:rPr>
          </w:pPr>
          <w:hyperlink w:anchor="_Toc527990412" w:history="1">
            <w:r w:rsidRPr="000D5A57">
              <w:rPr>
                <w:rStyle w:val="Hyperlink"/>
                <w:noProof/>
              </w:rPr>
              <w:t>7.2.2.</w:t>
            </w:r>
            <w:r>
              <w:rPr>
                <w:rFonts w:asciiTheme="minorHAnsi" w:hAnsiTheme="minorHAnsi"/>
                <w:b w:val="0"/>
                <w:smallCaps w:val="0"/>
                <w:noProof/>
              </w:rPr>
              <w:tab/>
            </w:r>
            <w:r w:rsidRPr="000D5A57">
              <w:rPr>
                <w:rStyle w:val="Hyperlink"/>
                <w:noProof/>
              </w:rPr>
              <w:t>Comunicações Externas</w:t>
            </w:r>
            <w:r>
              <w:rPr>
                <w:noProof/>
                <w:webHidden/>
              </w:rPr>
              <w:tab/>
            </w:r>
            <w:r>
              <w:rPr>
                <w:noProof/>
                <w:webHidden/>
              </w:rPr>
              <w:fldChar w:fldCharType="begin"/>
            </w:r>
            <w:r>
              <w:rPr>
                <w:noProof/>
                <w:webHidden/>
              </w:rPr>
              <w:instrText xml:space="preserve"> PAGEREF _Toc527990412 \h </w:instrText>
            </w:r>
            <w:r>
              <w:rPr>
                <w:noProof/>
                <w:webHidden/>
              </w:rPr>
            </w:r>
            <w:r>
              <w:rPr>
                <w:noProof/>
                <w:webHidden/>
              </w:rPr>
              <w:fldChar w:fldCharType="separate"/>
            </w:r>
            <w:r>
              <w:rPr>
                <w:noProof/>
                <w:webHidden/>
              </w:rPr>
              <w:t>38</w:t>
            </w:r>
            <w:r>
              <w:rPr>
                <w:noProof/>
                <w:webHidden/>
              </w:rPr>
              <w:fldChar w:fldCharType="end"/>
            </w:r>
          </w:hyperlink>
        </w:p>
        <w:p w14:paraId="2E47E6B0" w14:textId="6AFCEB1A" w:rsidR="009D286F" w:rsidRDefault="009D286F">
          <w:pPr>
            <w:pStyle w:val="Sumrio3"/>
            <w:tabs>
              <w:tab w:val="left" w:pos="1331"/>
              <w:tab w:val="right" w:leader="dot" w:pos="9060"/>
            </w:tabs>
            <w:rPr>
              <w:rFonts w:asciiTheme="minorHAnsi" w:hAnsiTheme="minorHAnsi"/>
              <w:b w:val="0"/>
              <w:smallCaps w:val="0"/>
              <w:noProof/>
            </w:rPr>
          </w:pPr>
          <w:hyperlink w:anchor="_Toc527990413" w:history="1">
            <w:r w:rsidRPr="000D5A57">
              <w:rPr>
                <w:rStyle w:val="Hyperlink"/>
                <w:noProof/>
                <w:highlight w:val="lightGray"/>
              </w:rPr>
              <w:t>7.2.3.</w:t>
            </w:r>
            <w:r>
              <w:rPr>
                <w:rFonts w:asciiTheme="minorHAnsi" w:hAnsiTheme="minorHAnsi"/>
                <w:b w:val="0"/>
                <w:smallCaps w:val="0"/>
                <w:noProof/>
              </w:rPr>
              <w:tab/>
            </w:r>
            <w:r w:rsidRPr="000D5A57">
              <w:rPr>
                <w:rStyle w:val="Hyperlink"/>
                <w:noProof/>
                <w:highlight w:val="lightGray"/>
              </w:rPr>
              <w:t>Comunicações com Outros Países</w:t>
            </w:r>
            <w:r>
              <w:rPr>
                <w:noProof/>
                <w:webHidden/>
              </w:rPr>
              <w:tab/>
            </w:r>
            <w:r>
              <w:rPr>
                <w:noProof/>
                <w:webHidden/>
              </w:rPr>
              <w:fldChar w:fldCharType="begin"/>
            </w:r>
            <w:r>
              <w:rPr>
                <w:noProof/>
                <w:webHidden/>
              </w:rPr>
              <w:instrText xml:space="preserve"> PAGEREF _Toc527990413 \h </w:instrText>
            </w:r>
            <w:r>
              <w:rPr>
                <w:noProof/>
                <w:webHidden/>
              </w:rPr>
            </w:r>
            <w:r>
              <w:rPr>
                <w:noProof/>
                <w:webHidden/>
              </w:rPr>
              <w:fldChar w:fldCharType="separate"/>
            </w:r>
            <w:r>
              <w:rPr>
                <w:noProof/>
                <w:webHidden/>
              </w:rPr>
              <w:t>50</w:t>
            </w:r>
            <w:r>
              <w:rPr>
                <w:noProof/>
                <w:webHidden/>
              </w:rPr>
              <w:fldChar w:fldCharType="end"/>
            </w:r>
          </w:hyperlink>
        </w:p>
        <w:p w14:paraId="1769ABE8" w14:textId="5F3FDD20" w:rsidR="009D286F" w:rsidRDefault="009D286F">
          <w:pPr>
            <w:pStyle w:val="Sumrio2"/>
            <w:tabs>
              <w:tab w:val="left" w:pos="1008"/>
              <w:tab w:val="right" w:leader="dot" w:pos="9060"/>
            </w:tabs>
            <w:rPr>
              <w:rFonts w:asciiTheme="minorHAnsi" w:hAnsiTheme="minorHAnsi"/>
              <w:b w:val="0"/>
              <w:bCs w:val="0"/>
              <w:smallCaps w:val="0"/>
              <w:noProof/>
            </w:rPr>
          </w:pPr>
          <w:hyperlink w:anchor="_Toc527990414" w:history="1">
            <w:r w:rsidRPr="000D5A57">
              <w:rPr>
                <w:rStyle w:val="Hyperlink"/>
                <w:noProof/>
              </w:rPr>
              <w:t>7.3.</w:t>
            </w:r>
            <w:r>
              <w:rPr>
                <w:rFonts w:asciiTheme="minorHAnsi" w:hAnsiTheme="minorHAnsi"/>
                <w:b w:val="0"/>
                <w:bCs w:val="0"/>
                <w:smallCaps w:val="0"/>
                <w:noProof/>
              </w:rPr>
              <w:tab/>
            </w:r>
            <w:r w:rsidRPr="000D5A57">
              <w:rPr>
                <w:rStyle w:val="Hyperlink"/>
                <w:noProof/>
              </w:rPr>
              <w:t>Procedimento para Gestão dos Recursos de Resposta</w:t>
            </w:r>
            <w:r>
              <w:rPr>
                <w:noProof/>
                <w:webHidden/>
              </w:rPr>
              <w:tab/>
            </w:r>
            <w:r>
              <w:rPr>
                <w:noProof/>
                <w:webHidden/>
              </w:rPr>
              <w:fldChar w:fldCharType="begin"/>
            </w:r>
            <w:r>
              <w:rPr>
                <w:noProof/>
                <w:webHidden/>
              </w:rPr>
              <w:instrText xml:space="preserve"> PAGEREF _Toc527990414 \h </w:instrText>
            </w:r>
            <w:r>
              <w:rPr>
                <w:noProof/>
                <w:webHidden/>
              </w:rPr>
            </w:r>
            <w:r>
              <w:rPr>
                <w:noProof/>
                <w:webHidden/>
              </w:rPr>
              <w:fldChar w:fldCharType="separate"/>
            </w:r>
            <w:r>
              <w:rPr>
                <w:noProof/>
                <w:webHidden/>
              </w:rPr>
              <w:t>53</w:t>
            </w:r>
            <w:r>
              <w:rPr>
                <w:noProof/>
                <w:webHidden/>
              </w:rPr>
              <w:fldChar w:fldCharType="end"/>
            </w:r>
          </w:hyperlink>
        </w:p>
        <w:p w14:paraId="4BF49F13" w14:textId="3AFFB338" w:rsidR="009D286F" w:rsidRDefault="009D286F">
          <w:pPr>
            <w:pStyle w:val="Sumrio3"/>
            <w:tabs>
              <w:tab w:val="left" w:pos="1331"/>
              <w:tab w:val="right" w:leader="dot" w:pos="9060"/>
            </w:tabs>
            <w:rPr>
              <w:rFonts w:asciiTheme="minorHAnsi" w:hAnsiTheme="minorHAnsi"/>
              <w:b w:val="0"/>
              <w:smallCaps w:val="0"/>
              <w:noProof/>
            </w:rPr>
          </w:pPr>
          <w:hyperlink w:anchor="_Toc527990415" w:history="1">
            <w:r w:rsidRPr="000D5A57">
              <w:rPr>
                <w:rStyle w:val="Hyperlink"/>
                <w:noProof/>
              </w:rPr>
              <w:t>7.3.1.</w:t>
            </w:r>
            <w:r>
              <w:rPr>
                <w:rFonts w:asciiTheme="minorHAnsi" w:hAnsiTheme="minorHAnsi"/>
                <w:b w:val="0"/>
                <w:smallCaps w:val="0"/>
                <w:noProof/>
              </w:rPr>
              <w:tab/>
            </w:r>
            <w:r w:rsidRPr="000D5A57">
              <w:rPr>
                <w:rStyle w:val="Hyperlink"/>
                <w:noProof/>
              </w:rPr>
              <w:t>Mobilização de recursos táticos e instalações</w:t>
            </w:r>
            <w:r>
              <w:rPr>
                <w:noProof/>
                <w:webHidden/>
              </w:rPr>
              <w:tab/>
            </w:r>
            <w:r>
              <w:rPr>
                <w:noProof/>
                <w:webHidden/>
              </w:rPr>
              <w:fldChar w:fldCharType="begin"/>
            </w:r>
            <w:r>
              <w:rPr>
                <w:noProof/>
                <w:webHidden/>
              </w:rPr>
              <w:instrText xml:space="preserve"> PAGEREF _Toc527990415 \h </w:instrText>
            </w:r>
            <w:r>
              <w:rPr>
                <w:noProof/>
                <w:webHidden/>
              </w:rPr>
            </w:r>
            <w:r>
              <w:rPr>
                <w:noProof/>
                <w:webHidden/>
              </w:rPr>
              <w:fldChar w:fldCharType="separate"/>
            </w:r>
            <w:r>
              <w:rPr>
                <w:noProof/>
                <w:webHidden/>
              </w:rPr>
              <w:t>55</w:t>
            </w:r>
            <w:r>
              <w:rPr>
                <w:noProof/>
                <w:webHidden/>
              </w:rPr>
              <w:fldChar w:fldCharType="end"/>
            </w:r>
          </w:hyperlink>
        </w:p>
        <w:p w14:paraId="028773CC" w14:textId="042017FD" w:rsidR="009D286F" w:rsidRDefault="009D286F">
          <w:pPr>
            <w:pStyle w:val="Sumrio3"/>
            <w:tabs>
              <w:tab w:val="left" w:pos="1331"/>
              <w:tab w:val="right" w:leader="dot" w:pos="9060"/>
            </w:tabs>
            <w:rPr>
              <w:rFonts w:asciiTheme="minorHAnsi" w:hAnsiTheme="minorHAnsi"/>
              <w:b w:val="0"/>
              <w:smallCaps w:val="0"/>
              <w:noProof/>
            </w:rPr>
          </w:pPr>
          <w:hyperlink w:anchor="_Toc527990416" w:history="1">
            <w:r w:rsidRPr="000D5A57">
              <w:rPr>
                <w:rStyle w:val="Hyperlink"/>
                <w:noProof/>
              </w:rPr>
              <w:t>7.3.2.</w:t>
            </w:r>
            <w:r>
              <w:rPr>
                <w:rFonts w:asciiTheme="minorHAnsi" w:hAnsiTheme="minorHAnsi"/>
                <w:b w:val="0"/>
                <w:smallCaps w:val="0"/>
                <w:noProof/>
              </w:rPr>
              <w:tab/>
            </w:r>
            <w:r w:rsidRPr="000D5A57">
              <w:rPr>
                <w:rStyle w:val="Hyperlink"/>
                <w:noProof/>
              </w:rPr>
              <w:t>Desmobilização de recursos e instalações</w:t>
            </w:r>
            <w:r>
              <w:rPr>
                <w:noProof/>
                <w:webHidden/>
              </w:rPr>
              <w:tab/>
            </w:r>
            <w:r>
              <w:rPr>
                <w:noProof/>
                <w:webHidden/>
              </w:rPr>
              <w:fldChar w:fldCharType="begin"/>
            </w:r>
            <w:r>
              <w:rPr>
                <w:noProof/>
                <w:webHidden/>
              </w:rPr>
              <w:instrText xml:space="preserve"> PAGEREF _Toc527990416 \h </w:instrText>
            </w:r>
            <w:r>
              <w:rPr>
                <w:noProof/>
                <w:webHidden/>
              </w:rPr>
            </w:r>
            <w:r>
              <w:rPr>
                <w:noProof/>
                <w:webHidden/>
              </w:rPr>
              <w:fldChar w:fldCharType="separate"/>
            </w:r>
            <w:r>
              <w:rPr>
                <w:noProof/>
                <w:webHidden/>
              </w:rPr>
              <w:t>57</w:t>
            </w:r>
            <w:r>
              <w:rPr>
                <w:noProof/>
                <w:webHidden/>
              </w:rPr>
              <w:fldChar w:fldCharType="end"/>
            </w:r>
          </w:hyperlink>
        </w:p>
        <w:p w14:paraId="21720F0F" w14:textId="247A96C8" w:rsidR="009D286F" w:rsidRDefault="009D286F">
          <w:pPr>
            <w:pStyle w:val="Sumrio3"/>
            <w:tabs>
              <w:tab w:val="left" w:pos="1331"/>
              <w:tab w:val="right" w:leader="dot" w:pos="9060"/>
            </w:tabs>
            <w:rPr>
              <w:rFonts w:asciiTheme="minorHAnsi" w:hAnsiTheme="minorHAnsi"/>
              <w:b w:val="0"/>
              <w:smallCaps w:val="0"/>
              <w:noProof/>
            </w:rPr>
          </w:pPr>
          <w:hyperlink w:anchor="_Toc527990417" w:history="1">
            <w:r w:rsidRPr="000D5A57">
              <w:rPr>
                <w:rStyle w:val="Hyperlink"/>
                <w:noProof/>
              </w:rPr>
              <w:t>7.3.3.</w:t>
            </w:r>
            <w:r>
              <w:rPr>
                <w:rFonts w:asciiTheme="minorHAnsi" w:hAnsiTheme="minorHAnsi"/>
                <w:b w:val="0"/>
                <w:smallCaps w:val="0"/>
                <w:noProof/>
              </w:rPr>
              <w:tab/>
            </w:r>
            <w:r w:rsidRPr="000D5A57">
              <w:rPr>
                <w:rStyle w:val="Hyperlink"/>
                <w:noProof/>
              </w:rPr>
              <w:t>Descontaminação de recursos e instalações</w:t>
            </w:r>
            <w:r>
              <w:rPr>
                <w:noProof/>
                <w:webHidden/>
              </w:rPr>
              <w:tab/>
            </w:r>
            <w:r>
              <w:rPr>
                <w:noProof/>
                <w:webHidden/>
              </w:rPr>
              <w:fldChar w:fldCharType="begin"/>
            </w:r>
            <w:r>
              <w:rPr>
                <w:noProof/>
                <w:webHidden/>
              </w:rPr>
              <w:instrText xml:space="preserve"> PAGEREF _Toc527990417 \h </w:instrText>
            </w:r>
            <w:r>
              <w:rPr>
                <w:noProof/>
                <w:webHidden/>
              </w:rPr>
            </w:r>
            <w:r>
              <w:rPr>
                <w:noProof/>
                <w:webHidden/>
              </w:rPr>
              <w:fldChar w:fldCharType="separate"/>
            </w:r>
            <w:r>
              <w:rPr>
                <w:noProof/>
                <w:webHidden/>
              </w:rPr>
              <w:t>58</w:t>
            </w:r>
            <w:r>
              <w:rPr>
                <w:noProof/>
                <w:webHidden/>
              </w:rPr>
              <w:fldChar w:fldCharType="end"/>
            </w:r>
          </w:hyperlink>
        </w:p>
        <w:p w14:paraId="2FB883E6" w14:textId="75A08718" w:rsidR="009D286F" w:rsidRDefault="009D286F">
          <w:pPr>
            <w:pStyle w:val="Sumrio1"/>
            <w:rPr>
              <w:rFonts w:asciiTheme="minorHAnsi" w:hAnsiTheme="minorHAnsi"/>
              <w:b w:val="0"/>
              <w:bCs w:val="0"/>
              <w:caps w:val="0"/>
              <w:lang w:val="pt-BR"/>
            </w:rPr>
          </w:pPr>
          <w:hyperlink w:anchor="_Toc527990418" w:history="1">
            <w:r w:rsidRPr="000D5A57">
              <w:rPr>
                <w:rStyle w:val="Hyperlink"/>
              </w:rPr>
              <w:t>8.</w:t>
            </w:r>
            <w:r>
              <w:rPr>
                <w:rFonts w:asciiTheme="minorHAnsi" w:hAnsiTheme="minorHAnsi"/>
                <w:b w:val="0"/>
                <w:bCs w:val="0"/>
                <w:caps w:val="0"/>
                <w:lang w:val="pt-BR"/>
              </w:rPr>
              <w:tab/>
            </w:r>
            <w:r w:rsidRPr="000D5A57">
              <w:rPr>
                <w:rStyle w:val="Hyperlink"/>
              </w:rPr>
              <w:t>PROCEDIMENTOS OPERACIONAIS DE RESPOSTA</w:t>
            </w:r>
            <w:r>
              <w:rPr>
                <w:webHidden/>
              </w:rPr>
              <w:tab/>
            </w:r>
            <w:r>
              <w:rPr>
                <w:webHidden/>
              </w:rPr>
              <w:fldChar w:fldCharType="begin"/>
            </w:r>
            <w:r>
              <w:rPr>
                <w:webHidden/>
              </w:rPr>
              <w:instrText xml:space="preserve"> PAGEREF _Toc527990418 \h </w:instrText>
            </w:r>
            <w:r>
              <w:rPr>
                <w:webHidden/>
              </w:rPr>
            </w:r>
            <w:r>
              <w:rPr>
                <w:webHidden/>
              </w:rPr>
              <w:fldChar w:fldCharType="separate"/>
            </w:r>
            <w:r>
              <w:rPr>
                <w:webHidden/>
              </w:rPr>
              <w:t>60</w:t>
            </w:r>
            <w:r>
              <w:rPr>
                <w:webHidden/>
              </w:rPr>
              <w:fldChar w:fldCharType="end"/>
            </w:r>
          </w:hyperlink>
        </w:p>
        <w:p w14:paraId="54A8EA0B" w14:textId="41423794" w:rsidR="009D286F" w:rsidRDefault="009D286F">
          <w:pPr>
            <w:pStyle w:val="Sumrio2"/>
            <w:tabs>
              <w:tab w:val="left" w:pos="1008"/>
              <w:tab w:val="right" w:leader="dot" w:pos="9060"/>
            </w:tabs>
            <w:rPr>
              <w:rFonts w:asciiTheme="minorHAnsi" w:hAnsiTheme="minorHAnsi"/>
              <w:b w:val="0"/>
              <w:bCs w:val="0"/>
              <w:smallCaps w:val="0"/>
              <w:noProof/>
            </w:rPr>
          </w:pPr>
          <w:hyperlink w:anchor="_Toc527990419" w:history="1">
            <w:r w:rsidRPr="000D5A57">
              <w:rPr>
                <w:rStyle w:val="Hyperlink"/>
                <w:noProof/>
              </w:rPr>
              <w:t>8.1.</w:t>
            </w:r>
            <w:r>
              <w:rPr>
                <w:rFonts w:asciiTheme="minorHAnsi" w:hAnsiTheme="minorHAnsi"/>
                <w:b w:val="0"/>
                <w:bCs w:val="0"/>
                <w:smallCaps w:val="0"/>
                <w:noProof/>
              </w:rPr>
              <w:tab/>
            </w:r>
            <w:r w:rsidRPr="000D5A57">
              <w:rPr>
                <w:rStyle w:val="Hyperlink"/>
                <w:noProof/>
              </w:rPr>
              <w:t>Saúde e Segurança Durante as Operações de Resposta</w:t>
            </w:r>
            <w:r>
              <w:rPr>
                <w:noProof/>
                <w:webHidden/>
              </w:rPr>
              <w:tab/>
            </w:r>
            <w:r>
              <w:rPr>
                <w:noProof/>
                <w:webHidden/>
              </w:rPr>
              <w:fldChar w:fldCharType="begin"/>
            </w:r>
            <w:r>
              <w:rPr>
                <w:noProof/>
                <w:webHidden/>
              </w:rPr>
              <w:instrText xml:space="preserve"> PAGEREF _Toc527990419 \h </w:instrText>
            </w:r>
            <w:r>
              <w:rPr>
                <w:noProof/>
                <w:webHidden/>
              </w:rPr>
            </w:r>
            <w:r>
              <w:rPr>
                <w:noProof/>
                <w:webHidden/>
              </w:rPr>
              <w:fldChar w:fldCharType="separate"/>
            </w:r>
            <w:r>
              <w:rPr>
                <w:noProof/>
                <w:webHidden/>
              </w:rPr>
              <w:t>71</w:t>
            </w:r>
            <w:r>
              <w:rPr>
                <w:noProof/>
                <w:webHidden/>
              </w:rPr>
              <w:fldChar w:fldCharType="end"/>
            </w:r>
          </w:hyperlink>
        </w:p>
        <w:p w14:paraId="6F277984" w14:textId="326E043D" w:rsidR="009D286F" w:rsidRDefault="009D286F">
          <w:pPr>
            <w:pStyle w:val="Sumrio2"/>
            <w:tabs>
              <w:tab w:val="left" w:pos="1008"/>
              <w:tab w:val="right" w:leader="dot" w:pos="9060"/>
            </w:tabs>
            <w:rPr>
              <w:rFonts w:asciiTheme="minorHAnsi" w:hAnsiTheme="minorHAnsi"/>
              <w:b w:val="0"/>
              <w:bCs w:val="0"/>
              <w:smallCaps w:val="0"/>
              <w:noProof/>
            </w:rPr>
          </w:pPr>
          <w:hyperlink w:anchor="_Toc527990420" w:history="1">
            <w:r w:rsidRPr="000D5A57">
              <w:rPr>
                <w:rStyle w:val="Hyperlink"/>
                <w:noProof/>
              </w:rPr>
              <w:t>8.2.</w:t>
            </w:r>
            <w:r>
              <w:rPr>
                <w:rFonts w:asciiTheme="minorHAnsi" w:hAnsiTheme="minorHAnsi"/>
                <w:b w:val="0"/>
                <w:bCs w:val="0"/>
                <w:smallCaps w:val="0"/>
                <w:noProof/>
              </w:rPr>
              <w:tab/>
            </w:r>
            <w:r w:rsidRPr="000D5A57">
              <w:rPr>
                <w:rStyle w:val="Hyperlink"/>
                <w:noProof/>
              </w:rPr>
              <w:t>Sistema de Alerta e Procedimento para a Interrupção da Descarga de Óleo</w:t>
            </w:r>
            <w:r>
              <w:rPr>
                <w:noProof/>
                <w:webHidden/>
              </w:rPr>
              <w:tab/>
            </w:r>
            <w:r>
              <w:rPr>
                <w:noProof/>
                <w:webHidden/>
              </w:rPr>
              <w:fldChar w:fldCharType="begin"/>
            </w:r>
            <w:r>
              <w:rPr>
                <w:noProof/>
                <w:webHidden/>
              </w:rPr>
              <w:instrText xml:space="preserve"> PAGEREF _Toc527990420 \h </w:instrText>
            </w:r>
            <w:r>
              <w:rPr>
                <w:noProof/>
                <w:webHidden/>
              </w:rPr>
            </w:r>
            <w:r>
              <w:rPr>
                <w:noProof/>
                <w:webHidden/>
              </w:rPr>
              <w:fldChar w:fldCharType="separate"/>
            </w:r>
            <w:r>
              <w:rPr>
                <w:noProof/>
                <w:webHidden/>
              </w:rPr>
              <w:t>72</w:t>
            </w:r>
            <w:r>
              <w:rPr>
                <w:noProof/>
                <w:webHidden/>
              </w:rPr>
              <w:fldChar w:fldCharType="end"/>
            </w:r>
          </w:hyperlink>
        </w:p>
        <w:p w14:paraId="586DAEC5" w14:textId="5A6DC8B7" w:rsidR="009D286F" w:rsidRDefault="009D286F">
          <w:pPr>
            <w:pStyle w:val="Sumrio2"/>
            <w:tabs>
              <w:tab w:val="left" w:pos="1008"/>
              <w:tab w:val="right" w:leader="dot" w:pos="9060"/>
            </w:tabs>
            <w:rPr>
              <w:rFonts w:asciiTheme="minorHAnsi" w:hAnsiTheme="minorHAnsi"/>
              <w:b w:val="0"/>
              <w:bCs w:val="0"/>
              <w:smallCaps w:val="0"/>
              <w:noProof/>
            </w:rPr>
          </w:pPr>
          <w:hyperlink w:anchor="_Toc527990421" w:history="1">
            <w:r w:rsidRPr="000D5A57">
              <w:rPr>
                <w:rStyle w:val="Hyperlink"/>
                <w:noProof/>
              </w:rPr>
              <w:t>8.3.</w:t>
            </w:r>
            <w:r>
              <w:rPr>
                <w:rFonts w:asciiTheme="minorHAnsi" w:hAnsiTheme="minorHAnsi"/>
                <w:b w:val="0"/>
                <w:bCs w:val="0"/>
                <w:smallCaps w:val="0"/>
                <w:noProof/>
              </w:rPr>
              <w:tab/>
            </w:r>
            <w:r w:rsidRPr="000D5A57">
              <w:rPr>
                <w:rStyle w:val="Hyperlink"/>
                <w:noProof/>
              </w:rPr>
              <w:t>Procedimentos para Avaliação e Monitoramento da Mancha de Óleo</w:t>
            </w:r>
            <w:r>
              <w:rPr>
                <w:noProof/>
                <w:webHidden/>
              </w:rPr>
              <w:tab/>
            </w:r>
            <w:r>
              <w:rPr>
                <w:noProof/>
                <w:webHidden/>
              </w:rPr>
              <w:fldChar w:fldCharType="begin"/>
            </w:r>
            <w:r>
              <w:rPr>
                <w:noProof/>
                <w:webHidden/>
              </w:rPr>
              <w:instrText xml:space="preserve"> PAGEREF _Toc527990421 \h </w:instrText>
            </w:r>
            <w:r>
              <w:rPr>
                <w:noProof/>
                <w:webHidden/>
              </w:rPr>
            </w:r>
            <w:r>
              <w:rPr>
                <w:noProof/>
                <w:webHidden/>
              </w:rPr>
              <w:fldChar w:fldCharType="separate"/>
            </w:r>
            <w:r>
              <w:rPr>
                <w:noProof/>
                <w:webHidden/>
              </w:rPr>
              <w:t>77</w:t>
            </w:r>
            <w:r>
              <w:rPr>
                <w:noProof/>
                <w:webHidden/>
              </w:rPr>
              <w:fldChar w:fldCharType="end"/>
            </w:r>
          </w:hyperlink>
        </w:p>
        <w:p w14:paraId="02D6921D" w14:textId="1C0B276C" w:rsidR="009D286F" w:rsidRDefault="009D286F">
          <w:pPr>
            <w:pStyle w:val="Sumrio3"/>
            <w:tabs>
              <w:tab w:val="left" w:pos="1331"/>
              <w:tab w:val="right" w:leader="dot" w:pos="9060"/>
            </w:tabs>
            <w:rPr>
              <w:rFonts w:asciiTheme="minorHAnsi" w:hAnsiTheme="minorHAnsi"/>
              <w:b w:val="0"/>
              <w:smallCaps w:val="0"/>
              <w:noProof/>
            </w:rPr>
          </w:pPr>
          <w:hyperlink w:anchor="_Toc527990422" w:history="1">
            <w:r w:rsidRPr="000D5A57">
              <w:rPr>
                <w:rStyle w:val="Hyperlink"/>
                <w:noProof/>
              </w:rPr>
              <w:t>8.3.1.</w:t>
            </w:r>
            <w:r>
              <w:rPr>
                <w:rFonts w:asciiTheme="minorHAnsi" w:hAnsiTheme="minorHAnsi"/>
                <w:b w:val="0"/>
                <w:smallCaps w:val="0"/>
                <w:noProof/>
              </w:rPr>
              <w:tab/>
            </w:r>
            <w:r w:rsidRPr="000D5A57">
              <w:rPr>
                <w:rStyle w:val="Hyperlink"/>
                <w:noProof/>
              </w:rPr>
              <w:t>Observação Visual por Embarcação</w:t>
            </w:r>
            <w:r>
              <w:rPr>
                <w:noProof/>
                <w:webHidden/>
              </w:rPr>
              <w:tab/>
            </w:r>
            <w:r>
              <w:rPr>
                <w:noProof/>
                <w:webHidden/>
              </w:rPr>
              <w:fldChar w:fldCharType="begin"/>
            </w:r>
            <w:r>
              <w:rPr>
                <w:noProof/>
                <w:webHidden/>
              </w:rPr>
              <w:instrText xml:space="preserve"> PAGEREF _Toc527990422 \h </w:instrText>
            </w:r>
            <w:r>
              <w:rPr>
                <w:noProof/>
                <w:webHidden/>
              </w:rPr>
            </w:r>
            <w:r>
              <w:rPr>
                <w:noProof/>
                <w:webHidden/>
              </w:rPr>
              <w:fldChar w:fldCharType="separate"/>
            </w:r>
            <w:r>
              <w:rPr>
                <w:noProof/>
                <w:webHidden/>
              </w:rPr>
              <w:t>82</w:t>
            </w:r>
            <w:r>
              <w:rPr>
                <w:noProof/>
                <w:webHidden/>
              </w:rPr>
              <w:fldChar w:fldCharType="end"/>
            </w:r>
          </w:hyperlink>
        </w:p>
        <w:p w14:paraId="7CB00E24" w14:textId="0ACC31A0" w:rsidR="009D286F" w:rsidRDefault="009D286F">
          <w:pPr>
            <w:pStyle w:val="Sumrio3"/>
            <w:tabs>
              <w:tab w:val="left" w:pos="1331"/>
              <w:tab w:val="right" w:leader="dot" w:pos="9060"/>
            </w:tabs>
            <w:rPr>
              <w:rFonts w:asciiTheme="minorHAnsi" w:hAnsiTheme="minorHAnsi"/>
              <w:b w:val="0"/>
              <w:smallCaps w:val="0"/>
              <w:noProof/>
            </w:rPr>
          </w:pPr>
          <w:hyperlink w:anchor="_Toc527990423" w:history="1">
            <w:r w:rsidRPr="000D5A57">
              <w:rPr>
                <w:rStyle w:val="Hyperlink"/>
                <w:noProof/>
              </w:rPr>
              <w:t>8.3.2.</w:t>
            </w:r>
            <w:r>
              <w:rPr>
                <w:rFonts w:asciiTheme="minorHAnsi" w:hAnsiTheme="minorHAnsi"/>
                <w:b w:val="0"/>
                <w:smallCaps w:val="0"/>
                <w:noProof/>
              </w:rPr>
              <w:tab/>
            </w:r>
            <w:r w:rsidRPr="000D5A57">
              <w:rPr>
                <w:rStyle w:val="Hyperlink"/>
                <w:noProof/>
              </w:rPr>
              <w:t>Observação Aérea (por sobrevôo)</w:t>
            </w:r>
            <w:r>
              <w:rPr>
                <w:noProof/>
                <w:webHidden/>
              </w:rPr>
              <w:tab/>
            </w:r>
            <w:r>
              <w:rPr>
                <w:noProof/>
                <w:webHidden/>
              </w:rPr>
              <w:fldChar w:fldCharType="begin"/>
            </w:r>
            <w:r>
              <w:rPr>
                <w:noProof/>
                <w:webHidden/>
              </w:rPr>
              <w:instrText xml:space="preserve"> PAGEREF _Toc527990423 \h </w:instrText>
            </w:r>
            <w:r>
              <w:rPr>
                <w:noProof/>
                <w:webHidden/>
              </w:rPr>
            </w:r>
            <w:r>
              <w:rPr>
                <w:noProof/>
                <w:webHidden/>
              </w:rPr>
              <w:fldChar w:fldCharType="separate"/>
            </w:r>
            <w:r>
              <w:rPr>
                <w:noProof/>
                <w:webHidden/>
              </w:rPr>
              <w:t>85</w:t>
            </w:r>
            <w:r>
              <w:rPr>
                <w:noProof/>
                <w:webHidden/>
              </w:rPr>
              <w:fldChar w:fldCharType="end"/>
            </w:r>
          </w:hyperlink>
        </w:p>
        <w:p w14:paraId="091B7059" w14:textId="5E6A2813" w:rsidR="009D286F" w:rsidRDefault="009D286F">
          <w:pPr>
            <w:pStyle w:val="Sumrio3"/>
            <w:tabs>
              <w:tab w:val="left" w:pos="1331"/>
              <w:tab w:val="right" w:leader="dot" w:pos="9060"/>
            </w:tabs>
            <w:rPr>
              <w:rFonts w:asciiTheme="minorHAnsi" w:hAnsiTheme="minorHAnsi"/>
              <w:b w:val="0"/>
              <w:smallCaps w:val="0"/>
              <w:noProof/>
            </w:rPr>
          </w:pPr>
          <w:hyperlink w:anchor="_Toc527990424" w:history="1">
            <w:r w:rsidRPr="000D5A57">
              <w:rPr>
                <w:rStyle w:val="Hyperlink"/>
                <w:noProof/>
              </w:rPr>
              <w:t>8.3.3.</w:t>
            </w:r>
            <w:r>
              <w:rPr>
                <w:rFonts w:asciiTheme="minorHAnsi" w:hAnsiTheme="minorHAnsi"/>
                <w:b w:val="0"/>
                <w:smallCaps w:val="0"/>
                <w:noProof/>
              </w:rPr>
              <w:tab/>
            </w:r>
            <w:r w:rsidRPr="000D5A57">
              <w:rPr>
                <w:rStyle w:val="Hyperlink"/>
                <w:noProof/>
              </w:rPr>
              <w:t>Sistemas de Detecção Automatizados de Óleo</w:t>
            </w:r>
            <w:r>
              <w:rPr>
                <w:noProof/>
                <w:webHidden/>
              </w:rPr>
              <w:tab/>
            </w:r>
            <w:r>
              <w:rPr>
                <w:noProof/>
                <w:webHidden/>
              </w:rPr>
              <w:fldChar w:fldCharType="begin"/>
            </w:r>
            <w:r>
              <w:rPr>
                <w:noProof/>
                <w:webHidden/>
              </w:rPr>
              <w:instrText xml:space="preserve"> PAGEREF _Toc527990424 \h </w:instrText>
            </w:r>
            <w:r>
              <w:rPr>
                <w:noProof/>
                <w:webHidden/>
              </w:rPr>
            </w:r>
            <w:r>
              <w:rPr>
                <w:noProof/>
                <w:webHidden/>
              </w:rPr>
              <w:fldChar w:fldCharType="separate"/>
            </w:r>
            <w:r>
              <w:rPr>
                <w:noProof/>
                <w:webHidden/>
              </w:rPr>
              <w:t>88</w:t>
            </w:r>
            <w:r>
              <w:rPr>
                <w:noProof/>
                <w:webHidden/>
              </w:rPr>
              <w:fldChar w:fldCharType="end"/>
            </w:r>
          </w:hyperlink>
        </w:p>
        <w:p w14:paraId="7CB1B4B6" w14:textId="6D00CE3E" w:rsidR="009D286F" w:rsidRDefault="009D286F">
          <w:pPr>
            <w:pStyle w:val="Sumrio3"/>
            <w:tabs>
              <w:tab w:val="left" w:pos="1331"/>
              <w:tab w:val="right" w:leader="dot" w:pos="9060"/>
            </w:tabs>
            <w:rPr>
              <w:rFonts w:asciiTheme="minorHAnsi" w:hAnsiTheme="minorHAnsi"/>
              <w:b w:val="0"/>
              <w:smallCaps w:val="0"/>
              <w:noProof/>
            </w:rPr>
          </w:pPr>
          <w:hyperlink w:anchor="_Toc527990425" w:history="1">
            <w:r w:rsidRPr="000D5A57">
              <w:rPr>
                <w:rStyle w:val="Hyperlink"/>
                <w:noProof/>
              </w:rPr>
              <w:t>8.3.4.</w:t>
            </w:r>
            <w:r>
              <w:rPr>
                <w:rFonts w:asciiTheme="minorHAnsi" w:hAnsiTheme="minorHAnsi"/>
                <w:b w:val="0"/>
                <w:smallCaps w:val="0"/>
                <w:noProof/>
              </w:rPr>
              <w:tab/>
            </w:r>
            <w:r w:rsidRPr="000D5A57">
              <w:rPr>
                <w:rStyle w:val="Hyperlink"/>
                <w:noProof/>
              </w:rPr>
              <w:t>Bóias de Deriva (Drifting Buoys)</w:t>
            </w:r>
            <w:r>
              <w:rPr>
                <w:noProof/>
                <w:webHidden/>
              </w:rPr>
              <w:tab/>
            </w:r>
            <w:r>
              <w:rPr>
                <w:noProof/>
                <w:webHidden/>
              </w:rPr>
              <w:fldChar w:fldCharType="begin"/>
            </w:r>
            <w:r>
              <w:rPr>
                <w:noProof/>
                <w:webHidden/>
              </w:rPr>
              <w:instrText xml:space="preserve"> PAGEREF _Toc527990425 \h </w:instrText>
            </w:r>
            <w:r>
              <w:rPr>
                <w:noProof/>
                <w:webHidden/>
              </w:rPr>
            </w:r>
            <w:r>
              <w:rPr>
                <w:noProof/>
                <w:webHidden/>
              </w:rPr>
              <w:fldChar w:fldCharType="separate"/>
            </w:r>
            <w:r>
              <w:rPr>
                <w:noProof/>
                <w:webHidden/>
              </w:rPr>
              <w:t>92</w:t>
            </w:r>
            <w:r>
              <w:rPr>
                <w:noProof/>
                <w:webHidden/>
              </w:rPr>
              <w:fldChar w:fldCharType="end"/>
            </w:r>
          </w:hyperlink>
        </w:p>
        <w:p w14:paraId="486E94AA" w14:textId="33FC0990" w:rsidR="009D286F" w:rsidRDefault="009D286F">
          <w:pPr>
            <w:pStyle w:val="Sumrio3"/>
            <w:tabs>
              <w:tab w:val="left" w:pos="1331"/>
              <w:tab w:val="right" w:leader="dot" w:pos="9060"/>
            </w:tabs>
            <w:rPr>
              <w:rFonts w:asciiTheme="minorHAnsi" w:hAnsiTheme="minorHAnsi"/>
              <w:b w:val="0"/>
              <w:smallCaps w:val="0"/>
              <w:noProof/>
            </w:rPr>
          </w:pPr>
          <w:hyperlink w:anchor="_Toc527990426" w:history="1">
            <w:r w:rsidRPr="000D5A57">
              <w:rPr>
                <w:rStyle w:val="Hyperlink"/>
                <w:noProof/>
              </w:rPr>
              <w:t>8.3.5.</w:t>
            </w:r>
            <w:r>
              <w:rPr>
                <w:rFonts w:asciiTheme="minorHAnsi" w:hAnsiTheme="minorHAnsi"/>
                <w:b w:val="0"/>
                <w:smallCaps w:val="0"/>
                <w:noProof/>
              </w:rPr>
              <w:tab/>
            </w:r>
            <w:r w:rsidRPr="000D5A57">
              <w:rPr>
                <w:rStyle w:val="Hyperlink"/>
                <w:noProof/>
              </w:rPr>
              <w:t>Sensoriamento Remoto por Imagens de Satélite</w:t>
            </w:r>
            <w:r>
              <w:rPr>
                <w:noProof/>
                <w:webHidden/>
              </w:rPr>
              <w:tab/>
            </w:r>
            <w:r>
              <w:rPr>
                <w:noProof/>
                <w:webHidden/>
              </w:rPr>
              <w:fldChar w:fldCharType="begin"/>
            </w:r>
            <w:r>
              <w:rPr>
                <w:noProof/>
                <w:webHidden/>
              </w:rPr>
              <w:instrText xml:space="preserve"> PAGEREF _Toc527990426 \h </w:instrText>
            </w:r>
            <w:r>
              <w:rPr>
                <w:noProof/>
                <w:webHidden/>
              </w:rPr>
            </w:r>
            <w:r>
              <w:rPr>
                <w:noProof/>
                <w:webHidden/>
              </w:rPr>
              <w:fldChar w:fldCharType="separate"/>
            </w:r>
            <w:r>
              <w:rPr>
                <w:noProof/>
                <w:webHidden/>
              </w:rPr>
              <w:t>94</w:t>
            </w:r>
            <w:r>
              <w:rPr>
                <w:noProof/>
                <w:webHidden/>
              </w:rPr>
              <w:fldChar w:fldCharType="end"/>
            </w:r>
          </w:hyperlink>
        </w:p>
        <w:p w14:paraId="554A22FC" w14:textId="6FDCAABF" w:rsidR="009D286F" w:rsidRDefault="009D286F">
          <w:pPr>
            <w:pStyle w:val="Sumrio3"/>
            <w:tabs>
              <w:tab w:val="left" w:pos="1331"/>
              <w:tab w:val="right" w:leader="dot" w:pos="9060"/>
            </w:tabs>
            <w:rPr>
              <w:rFonts w:asciiTheme="minorHAnsi" w:hAnsiTheme="minorHAnsi"/>
              <w:b w:val="0"/>
              <w:smallCaps w:val="0"/>
              <w:noProof/>
            </w:rPr>
          </w:pPr>
          <w:hyperlink w:anchor="_Toc527990427" w:history="1">
            <w:r w:rsidRPr="000D5A57">
              <w:rPr>
                <w:rStyle w:val="Hyperlink"/>
                <w:noProof/>
              </w:rPr>
              <w:t>8.3.6.</w:t>
            </w:r>
            <w:r>
              <w:rPr>
                <w:rFonts w:asciiTheme="minorHAnsi" w:hAnsiTheme="minorHAnsi"/>
                <w:b w:val="0"/>
                <w:smallCaps w:val="0"/>
                <w:noProof/>
              </w:rPr>
              <w:tab/>
            </w:r>
            <w:r w:rsidRPr="000D5A57">
              <w:rPr>
                <w:rStyle w:val="Hyperlink"/>
                <w:noProof/>
              </w:rPr>
              <w:t>Modelagem de Dispersão e Deriva de Óleo</w:t>
            </w:r>
            <w:r>
              <w:rPr>
                <w:noProof/>
                <w:webHidden/>
              </w:rPr>
              <w:tab/>
            </w:r>
            <w:r>
              <w:rPr>
                <w:noProof/>
                <w:webHidden/>
              </w:rPr>
              <w:fldChar w:fldCharType="begin"/>
            </w:r>
            <w:r>
              <w:rPr>
                <w:noProof/>
                <w:webHidden/>
              </w:rPr>
              <w:instrText xml:space="preserve"> PAGEREF _Toc527990427 \h </w:instrText>
            </w:r>
            <w:r>
              <w:rPr>
                <w:noProof/>
                <w:webHidden/>
              </w:rPr>
            </w:r>
            <w:r>
              <w:rPr>
                <w:noProof/>
                <w:webHidden/>
              </w:rPr>
              <w:fldChar w:fldCharType="separate"/>
            </w:r>
            <w:r>
              <w:rPr>
                <w:noProof/>
                <w:webHidden/>
              </w:rPr>
              <w:t>96</w:t>
            </w:r>
            <w:r>
              <w:rPr>
                <w:noProof/>
                <w:webHidden/>
              </w:rPr>
              <w:fldChar w:fldCharType="end"/>
            </w:r>
          </w:hyperlink>
        </w:p>
        <w:p w14:paraId="182D0699" w14:textId="37161211" w:rsidR="009D286F" w:rsidRDefault="009D286F">
          <w:pPr>
            <w:pStyle w:val="Sumrio3"/>
            <w:tabs>
              <w:tab w:val="left" w:pos="1331"/>
              <w:tab w:val="right" w:leader="dot" w:pos="9060"/>
            </w:tabs>
            <w:rPr>
              <w:rFonts w:asciiTheme="minorHAnsi" w:hAnsiTheme="minorHAnsi"/>
              <w:b w:val="0"/>
              <w:smallCaps w:val="0"/>
              <w:noProof/>
            </w:rPr>
          </w:pPr>
          <w:hyperlink w:anchor="_Toc527990428" w:history="1">
            <w:r w:rsidRPr="000D5A57">
              <w:rPr>
                <w:rStyle w:val="Hyperlink"/>
                <w:noProof/>
              </w:rPr>
              <w:t>8.3.7.</w:t>
            </w:r>
            <w:r>
              <w:rPr>
                <w:rFonts w:asciiTheme="minorHAnsi" w:hAnsiTheme="minorHAnsi"/>
                <w:b w:val="0"/>
                <w:smallCaps w:val="0"/>
                <w:noProof/>
              </w:rPr>
              <w:tab/>
            </w:r>
            <w:r w:rsidRPr="000D5A57">
              <w:rPr>
                <w:rStyle w:val="Hyperlink"/>
                <w:noProof/>
              </w:rPr>
              <w:t>Amostragem de Óleo</w:t>
            </w:r>
            <w:r>
              <w:rPr>
                <w:noProof/>
                <w:webHidden/>
              </w:rPr>
              <w:tab/>
            </w:r>
            <w:r>
              <w:rPr>
                <w:noProof/>
                <w:webHidden/>
              </w:rPr>
              <w:fldChar w:fldCharType="begin"/>
            </w:r>
            <w:r>
              <w:rPr>
                <w:noProof/>
                <w:webHidden/>
              </w:rPr>
              <w:instrText xml:space="preserve"> PAGEREF _Toc527990428 \h </w:instrText>
            </w:r>
            <w:r>
              <w:rPr>
                <w:noProof/>
                <w:webHidden/>
              </w:rPr>
            </w:r>
            <w:r>
              <w:rPr>
                <w:noProof/>
                <w:webHidden/>
              </w:rPr>
              <w:fldChar w:fldCharType="separate"/>
            </w:r>
            <w:r>
              <w:rPr>
                <w:noProof/>
                <w:webHidden/>
              </w:rPr>
              <w:t>99</w:t>
            </w:r>
            <w:r>
              <w:rPr>
                <w:noProof/>
                <w:webHidden/>
              </w:rPr>
              <w:fldChar w:fldCharType="end"/>
            </w:r>
          </w:hyperlink>
        </w:p>
        <w:p w14:paraId="1262E863" w14:textId="05A5C461" w:rsidR="009D286F" w:rsidRDefault="009D286F">
          <w:pPr>
            <w:pStyle w:val="Sumrio2"/>
            <w:tabs>
              <w:tab w:val="left" w:pos="1008"/>
              <w:tab w:val="right" w:leader="dot" w:pos="9060"/>
            </w:tabs>
            <w:rPr>
              <w:rFonts w:asciiTheme="minorHAnsi" w:hAnsiTheme="minorHAnsi"/>
              <w:b w:val="0"/>
              <w:bCs w:val="0"/>
              <w:smallCaps w:val="0"/>
              <w:noProof/>
            </w:rPr>
          </w:pPr>
          <w:hyperlink w:anchor="_Toc527990429" w:history="1">
            <w:r w:rsidRPr="000D5A57">
              <w:rPr>
                <w:rStyle w:val="Hyperlink"/>
                <w:noProof/>
              </w:rPr>
              <w:t>8.4.</w:t>
            </w:r>
            <w:r>
              <w:rPr>
                <w:rFonts w:asciiTheme="minorHAnsi" w:hAnsiTheme="minorHAnsi"/>
                <w:b w:val="0"/>
                <w:bCs w:val="0"/>
                <w:smallCaps w:val="0"/>
                <w:noProof/>
              </w:rPr>
              <w:tab/>
            </w:r>
            <w:r w:rsidRPr="000D5A57">
              <w:rPr>
                <w:rStyle w:val="Hyperlink"/>
                <w:noProof/>
              </w:rPr>
              <w:t>Procedimentos para Contenção e Recolhimento de Óleo Derramado</w:t>
            </w:r>
            <w:r>
              <w:rPr>
                <w:noProof/>
                <w:webHidden/>
              </w:rPr>
              <w:tab/>
            </w:r>
            <w:r>
              <w:rPr>
                <w:noProof/>
                <w:webHidden/>
              </w:rPr>
              <w:fldChar w:fldCharType="begin"/>
            </w:r>
            <w:r>
              <w:rPr>
                <w:noProof/>
                <w:webHidden/>
              </w:rPr>
              <w:instrText xml:space="preserve"> PAGEREF _Toc527990429 \h </w:instrText>
            </w:r>
            <w:r>
              <w:rPr>
                <w:noProof/>
                <w:webHidden/>
              </w:rPr>
            </w:r>
            <w:r>
              <w:rPr>
                <w:noProof/>
                <w:webHidden/>
              </w:rPr>
              <w:fldChar w:fldCharType="separate"/>
            </w:r>
            <w:r>
              <w:rPr>
                <w:noProof/>
                <w:webHidden/>
              </w:rPr>
              <w:t>99</w:t>
            </w:r>
            <w:r>
              <w:rPr>
                <w:noProof/>
                <w:webHidden/>
              </w:rPr>
              <w:fldChar w:fldCharType="end"/>
            </w:r>
          </w:hyperlink>
        </w:p>
        <w:p w14:paraId="7779D868" w14:textId="0828FA14" w:rsidR="009D286F" w:rsidRDefault="009D286F">
          <w:pPr>
            <w:pStyle w:val="Sumrio3"/>
            <w:tabs>
              <w:tab w:val="left" w:pos="1331"/>
              <w:tab w:val="right" w:leader="dot" w:pos="9060"/>
            </w:tabs>
            <w:rPr>
              <w:rFonts w:asciiTheme="minorHAnsi" w:hAnsiTheme="minorHAnsi"/>
              <w:b w:val="0"/>
              <w:smallCaps w:val="0"/>
              <w:noProof/>
            </w:rPr>
          </w:pPr>
          <w:hyperlink w:anchor="_Toc527990430" w:history="1">
            <w:r w:rsidRPr="000D5A57">
              <w:rPr>
                <w:rStyle w:val="Hyperlink"/>
                <w:noProof/>
              </w:rPr>
              <w:t>8.4.1.</w:t>
            </w:r>
            <w:r>
              <w:rPr>
                <w:rFonts w:asciiTheme="minorHAnsi" w:hAnsiTheme="minorHAnsi"/>
                <w:b w:val="0"/>
                <w:smallCaps w:val="0"/>
                <w:noProof/>
              </w:rPr>
              <w:tab/>
            </w:r>
            <w:r w:rsidRPr="000D5A57">
              <w:rPr>
                <w:rStyle w:val="Hyperlink"/>
                <w:noProof/>
              </w:rPr>
              <w:t>Decantação</w:t>
            </w:r>
            <w:r>
              <w:rPr>
                <w:noProof/>
                <w:webHidden/>
              </w:rPr>
              <w:tab/>
            </w:r>
            <w:r>
              <w:rPr>
                <w:noProof/>
                <w:webHidden/>
              </w:rPr>
              <w:fldChar w:fldCharType="begin"/>
            </w:r>
            <w:r>
              <w:rPr>
                <w:noProof/>
                <w:webHidden/>
              </w:rPr>
              <w:instrText xml:space="preserve"> PAGEREF _Toc527990430 \h </w:instrText>
            </w:r>
            <w:r>
              <w:rPr>
                <w:noProof/>
                <w:webHidden/>
              </w:rPr>
            </w:r>
            <w:r>
              <w:rPr>
                <w:noProof/>
                <w:webHidden/>
              </w:rPr>
              <w:fldChar w:fldCharType="separate"/>
            </w:r>
            <w:r>
              <w:rPr>
                <w:noProof/>
                <w:webHidden/>
              </w:rPr>
              <w:t>103</w:t>
            </w:r>
            <w:r>
              <w:rPr>
                <w:noProof/>
                <w:webHidden/>
              </w:rPr>
              <w:fldChar w:fldCharType="end"/>
            </w:r>
          </w:hyperlink>
        </w:p>
        <w:p w14:paraId="187001B3" w14:textId="27AE00AD" w:rsidR="009D286F" w:rsidRDefault="009D286F">
          <w:pPr>
            <w:pStyle w:val="Sumrio2"/>
            <w:tabs>
              <w:tab w:val="left" w:pos="1008"/>
              <w:tab w:val="right" w:leader="dot" w:pos="9060"/>
            </w:tabs>
            <w:rPr>
              <w:rFonts w:asciiTheme="minorHAnsi" w:hAnsiTheme="minorHAnsi"/>
              <w:b w:val="0"/>
              <w:bCs w:val="0"/>
              <w:smallCaps w:val="0"/>
              <w:noProof/>
            </w:rPr>
          </w:pPr>
          <w:hyperlink w:anchor="_Toc527990431" w:history="1">
            <w:r w:rsidRPr="000D5A57">
              <w:rPr>
                <w:rStyle w:val="Hyperlink"/>
                <w:noProof/>
              </w:rPr>
              <w:t>8.5.</w:t>
            </w:r>
            <w:r>
              <w:rPr>
                <w:rFonts w:asciiTheme="minorHAnsi" w:hAnsiTheme="minorHAnsi"/>
                <w:b w:val="0"/>
                <w:bCs w:val="0"/>
                <w:smallCaps w:val="0"/>
                <w:noProof/>
              </w:rPr>
              <w:tab/>
            </w:r>
            <w:r w:rsidRPr="000D5A57">
              <w:rPr>
                <w:rStyle w:val="Hyperlink"/>
                <w:noProof/>
              </w:rPr>
              <w:t>Procedimentos para Dispersão Mecânica</w:t>
            </w:r>
            <w:r>
              <w:rPr>
                <w:noProof/>
                <w:webHidden/>
              </w:rPr>
              <w:tab/>
            </w:r>
            <w:r>
              <w:rPr>
                <w:noProof/>
                <w:webHidden/>
              </w:rPr>
              <w:fldChar w:fldCharType="begin"/>
            </w:r>
            <w:r>
              <w:rPr>
                <w:noProof/>
                <w:webHidden/>
              </w:rPr>
              <w:instrText xml:space="preserve"> PAGEREF _Toc527990431 \h </w:instrText>
            </w:r>
            <w:r>
              <w:rPr>
                <w:noProof/>
                <w:webHidden/>
              </w:rPr>
            </w:r>
            <w:r>
              <w:rPr>
                <w:noProof/>
                <w:webHidden/>
              </w:rPr>
              <w:fldChar w:fldCharType="separate"/>
            </w:r>
            <w:r>
              <w:rPr>
                <w:noProof/>
                <w:webHidden/>
              </w:rPr>
              <w:t>107</w:t>
            </w:r>
            <w:r>
              <w:rPr>
                <w:noProof/>
                <w:webHidden/>
              </w:rPr>
              <w:fldChar w:fldCharType="end"/>
            </w:r>
          </w:hyperlink>
        </w:p>
        <w:p w14:paraId="1BFDE381" w14:textId="3A40DF96" w:rsidR="009D286F" w:rsidRDefault="009D286F">
          <w:pPr>
            <w:pStyle w:val="Sumrio2"/>
            <w:tabs>
              <w:tab w:val="left" w:pos="1008"/>
              <w:tab w:val="right" w:leader="dot" w:pos="9060"/>
            </w:tabs>
            <w:rPr>
              <w:rFonts w:asciiTheme="minorHAnsi" w:hAnsiTheme="minorHAnsi"/>
              <w:b w:val="0"/>
              <w:bCs w:val="0"/>
              <w:smallCaps w:val="0"/>
              <w:noProof/>
            </w:rPr>
          </w:pPr>
          <w:hyperlink w:anchor="_Toc527990432" w:history="1">
            <w:r w:rsidRPr="000D5A57">
              <w:rPr>
                <w:rStyle w:val="Hyperlink"/>
                <w:noProof/>
              </w:rPr>
              <w:t>8.6.</w:t>
            </w:r>
            <w:r>
              <w:rPr>
                <w:rFonts w:asciiTheme="minorHAnsi" w:hAnsiTheme="minorHAnsi"/>
                <w:b w:val="0"/>
                <w:bCs w:val="0"/>
                <w:smallCaps w:val="0"/>
                <w:noProof/>
              </w:rPr>
              <w:tab/>
            </w:r>
            <w:r w:rsidRPr="000D5A57">
              <w:rPr>
                <w:rStyle w:val="Hyperlink"/>
                <w:noProof/>
              </w:rPr>
              <w:t>Procedimentos para Dispersão Química</w:t>
            </w:r>
            <w:r>
              <w:rPr>
                <w:noProof/>
                <w:webHidden/>
              </w:rPr>
              <w:tab/>
            </w:r>
            <w:r>
              <w:rPr>
                <w:noProof/>
                <w:webHidden/>
              </w:rPr>
              <w:fldChar w:fldCharType="begin"/>
            </w:r>
            <w:r>
              <w:rPr>
                <w:noProof/>
                <w:webHidden/>
              </w:rPr>
              <w:instrText xml:space="preserve"> PAGEREF _Toc527990432 \h </w:instrText>
            </w:r>
            <w:r>
              <w:rPr>
                <w:noProof/>
                <w:webHidden/>
              </w:rPr>
            </w:r>
            <w:r>
              <w:rPr>
                <w:noProof/>
                <w:webHidden/>
              </w:rPr>
              <w:fldChar w:fldCharType="separate"/>
            </w:r>
            <w:r>
              <w:rPr>
                <w:noProof/>
                <w:webHidden/>
              </w:rPr>
              <w:t>108</w:t>
            </w:r>
            <w:r>
              <w:rPr>
                <w:noProof/>
                <w:webHidden/>
              </w:rPr>
              <w:fldChar w:fldCharType="end"/>
            </w:r>
          </w:hyperlink>
        </w:p>
        <w:p w14:paraId="760D9D88" w14:textId="05845473" w:rsidR="009D286F" w:rsidRDefault="009D286F">
          <w:pPr>
            <w:pStyle w:val="Sumrio3"/>
            <w:tabs>
              <w:tab w:val="left" w:pos="1331"/>
              <w:tab w:val="right" w:leader="dot" w:pos="9060"/>
            </w:tabs>
            <w:rPr>
              <w:rFonts w:asciiTheme="minorHAnsi" w:hAnsiTheme="minorHAnsi"/>
              <w:b w:val="0"/>
              <w:smallCaps w:val="0"/>
              <w:noProof/>
            </w:rPr>
          </w:pPr>
          <w:hyperlink w:anchor="_Toc527990433" w:history="1">
            <w:r w:rsidRPr="000D5A57">
              <w:rPr>
                <w:rStyle w:val="Hyperlink"/>
                <w:noProof/>
              </w:rPr>
              <w:t>8.6.1.</w:t>
            </w:r>
            <w:r>
              <w:rPr>
                <w:rFonts w:asciiTheme="minorHAnsi" w:hAnsiTheme="minorHAnsi"/>
                <w:b w:val="0"/>
                <w:smallCaps w:val="0"/>
                <w:noProof/>
              </w:rPr>
              <w:tab/>
            </w:r>
            <w:r w:rsidRPr="000D5A57">
              <w:rPr>
                <w:rStyle w:val="Hyperlink"/>
                <w:noProof/>
              </w:rPr>
              <w:t>Aplicação de Dispersantes por Via Marítima</w:t>
            </w:r>
            <w:r>
              <w:rPr>
                <w:noProof/>
                <w:webHidden/>
              </w:rPr>
              <w:tab/>
            </w:r>
            <w:r>
              <w:rPr>
                <w:noProof/>
                <w:webHidden/>
              </w:rPr>
              <w:fldChar w:fldCharType="begin"/>
            </w:r>
            <w:r>
              <w:rPr>
                <w:noProof/>
                <w:webHidden/>
              </w:rPr>
              <w:instrText xml:space="preserve"> PAGEREF _Toc527990433 \h </w:instrText>
            </w:r>
            <w:r>
              <w:rPr>
                <w:noProof/>
                <w:webHidden/>
              </w:rPr>
            </w:r>
            <w:r>
              <w:rPr>
                <w:noProof/>
                <w:webHidden/>
              </w:rPr>
              <w:fldChar w:fldCharType="separate"/>
            </w:r>
            <w:r>
              <w:rPr>
                <w:noProof/>
                <w:webHidden/>
              </w:rPr>
              <w:t>114</w:t>
            </w:r>
            <w:r>
              <w:rPr>
                <w:noProof/>
                <w:webHidden/>
              </w:rPr>
              <w:fldChar w:fldCharType="end"/>
            </w:r>
          </w:hyperlink>
        </w:p>
        <w:p w14:paraId="03616A2A" w14:textId="53CB288F" w:rsidR="009D286F" w:rsidRDefault="009D286F">
          <w:pPr>
            <w:pStyle w:val="Sumrio3"/>
            <w:tabs>
              <w:tab w:val="left" w:pos="1331"/>
              <w:tab w:val="right" w:leader="dot" w:pos="9060"/>
            </w:tabs>
            <w:rPr>
              <w:rFonts w:asciiTheme="minorHAnsi" w:hAnsiTheme="minorHAnsi"/>
              <w:b w:val="0"/>
              <w:smallCaps w:val="0"/>
              <w:noProof/>
            </w:rPr>
          </w:pPr>
          <w:hyperlink w:anchor="_Toc527990434" w:history="1">
            <w:r w:rsidRPr="000D5A57">
              <w:rPr>
                <w:rStyle w:val="Hyperlink"/>
                <w:noProof/>
              </w:rPr>
              <w:t>8.6.2.</w:t>
            </w:r>
            <w:r>
              <w:rPr>
                <w:rFonts w:asciiTheme="minorHAnsi" w:hAnsiTheme="minorHAnsi"/>
                <w:b w:val="0"/>
                <w:smallCaps w:val="0"/>
                <w:noProof/>
              </w:rPr>
              <w:tab/>
            </w:r>
            <w:r w:rsidRPr="000D5A57">
              <w:rPr>
                <w:rStyle w:val="Hyperlink"/>
                <w:noProof/>
              </w:rPr>
              <w:t>Aplicação de Dispersantes por Via Aérea</w:t>
            </w:r>
            <w:r>
              <w:rPr>
                <w:noProof/>
                <w:webHidden/>
              </w:rPr>
              <w:tab/>
            </w:r>
            <w:r>
              <w:rPr>
                <w:noProof/>
                <w:webHidden/>
              </w:rPr>
              <w:fldChar w:fldCharType="begin"/>
            </w:r>
            <w:r>
              <w:rPr>
                <w:noProof/>
                <w:webHidden/>
              </w:rPr>
              <w:instrText xml:space="preserve"> PAGEREF _Toc527990434 \h </w:instrText>
            </w:r>
            <w:r>
              <w:rPr>
                <w:noProof/>
                <w:webHidden/>
              </w:rPr>
            </w:r>
            <w:r>
              <w:rPr>
                <w:noProof/>
                <w:webHidden/>
              </w:rPr>
              <w:fldChar w:fldCharType="separate"/>
            </w:r>
            <w:r>
              <w:rPr>
                <w:noProof/>
                <w:webHidden/>
              </w:rPr>
              <w:t>120</w:t>
            </w:r>
            <w:r>
              <w:rPr>
                <w:noProof/>
                <w:webHidden/>
              </w:rPr>
              <w:fldChar w:fldCharType="end"/>
            </w:r>
          </w:hyperlink>
        </w:p>
        <w:p w14:paraId="4B327532" w14:textId="3223CB2E" w:rsidR="009D286F" w:rsidRDefault="009D286F">
          <w:pPr>
            <w:pStyle w:val="Sumrio3"/>
            <w:tabs>
              <w:tab w:val="left" w:pos="1331"/>
              <w:tab w:val="right" w:leader="dot" w:pos="9060"/>
            </w:tabs>
            <w:rPr>
              <w:rFonts w:asciiTheme="minorHAnsi" w:hAnsiTheme="minorHAnsi"/>
              <w:b w:val="0"/>
              <w:smallCaps w:val="0"/>
              <w:noProof/>
            </w:rPr>
          </w:pPr>
          <w:hyperlink w:anchor="_Toc527990435" w:history="1">
            <w:r w:rsidRPr="000D5A57">
              <w:rPr>
                <w:rStyle w:val="Hyperlink"/>
                <w:noProof/>
              </w:rPr>
              <w:t>8.6.3.</w:t>
            </w:r>
            <w:r>
              <w:rPr>
                <w:rFonts w:asciiTheme="minorHAnsi" w:hAnsiTheme="minorHAnsi"/>
                <w:b w:val="0"/>
                <w:smallCaps w:val="0"/>
                <w:noProof/>
              </w:rPr>
              <w:tab/>
            </w:r>
            <w:r w:rsidRPr="000D5A57">
              <w:rPr>
                <w:rStyle w:val="Hyperlink"/>
                <w:noProof/>
              </w:rPr>
              <w:t>Aplicação de Dispersantes em Profundidade</w:t>
            </w:r>
            <w:r>
              <w:rPr>
                <w:noProof/>
                <w:webHidden/>
              </w:rPr>
              <w:tab/>
            </w:r>
            <w:r>
              <w:rPr>
                <w:noProof/>
                <w:webHidden/>
              </w:rPr>
              <w:fldChar w:fldCharType="begin"/>
            </w:r>
            <w:r>
              <w:rPr>
                <w:noProof/>
                <w:webHidden/>
              </w:rPr>
              <w:instrText xml:space="preserve"> PAGEREF _Toc527990435 \h </w:instrText>
            </w:r>
            <w:r>
              <w:rPr>
                <w:noProof/>
                <w:webHidden/>
              </w:rPr>
            </w:r>
            <w:r>
              <w:rPr>
                <w:noProof/>
                <w:webHidden/>
              </w:rPr>
              <w:fldChar w:fldCharType="separate"/>
            </w:r>
            <w:r>
              <w:rPr>
                <w:noProof/>
                <w:webHidden/>
              </w:rPr>
              <w:t>124</w:t>
            </w:r>
            <w:r>
              <w:rPr>
                <w:noProof/>
                <w:webHidden/>
              </w:rPr>
              <w:fldChar w:fldCharType="end"/>
            </w:r>
          </w:hyperlink>
        </w:p>
        <w:p w14:paraId="69C6D1E2" w14:textId="3AC63C8A" w:rsidR="009D286F" w:rsidRDefault="009D286F">
          <w:pPr>
            <w:pStyle w:val="Sumrio2"/>
            <w:tabs>
              <w:tab w:val="left" w:pos="1008"/>
              <w:tab w:val="right" w:leader="dot" w:pos="9060"/>
            </w:tabs>
            <w:rPr>
              <w:rFonts w:asciiTheme="minorHAnsi" w:hAnsiTheme="minorHAnsi"/>
              <w:b w:val="0"/>
              <w:bCs w:val="0"/>
              <w:smallCaps w:val="0"/>
              <w:noProof/>
            </w:rPr>
          </w:pPr>
          <w:hyperlink w:anchor="_Toc527990436" w:history="1">
            <w:r w:rsidRPr="000D5A57">
              <w:rPr>
                <w:rStyle w:val="Hyperlink"/>
                <w:noProof/>
              </w:rPr>
              <w:t>8.7.</w:t>
            </w:r>
            <w:r>
              <w:rPr>
                <w:rFonts w:asciiTheme="minorHAnsi" w:hAnsiTheme="minorHAnsi"/>
                <w:b w:val="0"/>
                <w:bCs w:val="0"/>
                <w:smallCaps w:val="0"/>
                <w:noProof/>
              </w:rPr>
              <w:tab/>
            </w:r>
            <w:r w:rsidRPr="000D5A57">
              <w:rPr>
                <w:rStyle w:val="Hyperlink"/>
                <w:noProof/>
              </w:rPr>
              <w:t>Procedimentos para Proteção das Populações</w:t>
            </w:r>
            <w:r>
              <w:rPr>
                <w:noProof/>
                <w:webHidden/>
              </w:rPr>
              <w:tab/>
            </w:r>
            <w:r>
              <w:rPr>
                <w:noProof/>
                <w:webHidden/>
              </w:rPr>
              <w:fldChar w:fldCharType="begin"/>
            </w:r>
            <w:r>
              <w:rPr>
                <w:noProof/>
                <w:webHidden/>
              </w:rPr>
              <w:instrText xml:space="preserve"> PAGEREF _Toc527990436 \h </w:instrText>
            </w:r>
            <w:r>
              <w:rPr>
                <w:noProof/>
                <w:webHidden/>
              </w:rPr>
            </w:r>
            <w:r>
              <w:rPr>
                <w:noProof/>
                <w:webHidden/>
              </w:rPr>
              <w:fldChar w:fldCharType="separate"/>
            </w:r>
            <w:r>
              <w:rPr>
                <w:noProof/>
                <w:webHidden/>
              </w:rPr>
              <w:t>125</w:t>
            </w:r>
            <w:r>
              <w:rPr>
                <w:noProof/>
                <w:webHidden/>
              </w:rPr>
              <w:fldChar w:fldCharType="end"/>
            </w:r>
          </w:hyperlink>
        </w:p>
        <w:p w14:paraId="0B6EB953" w14:textId="5CBD752E" w:rsidR="009D286F" w:rsidRDefault="009D286F">
          <w:pPr>
            <w:pStyle w:val="Sumrio2"/>
            <w:tabs>
              <w:tab w:val="left" w:pos="1008"/>
              <w:tab w:val="right" w:leader="dot" w:pos="9060"/>
            </w:tabs>
            <w:rPr>
              <w:rFonts w:asciiTheme="minorHAnsi" w:hAnsiTheme="minorHAnsi"/>
              <w:b w:val="0"/>
              <w:bCs w:val="0"/>
              <w:smallCaps w:val="0"/>
              <w:noProof/>
            </w:rPr>
          </w:pPr>
          <w:hyperlink w:anchor="_Toc527990437" w:history="1">
            <w:r w:rsidRPr="000D5A57">
              <w:rPr>
                <w:rStyle w:val="Hyperlink"/>
                <w:noProof/>
              </w:rPr>
              <w:t>8.8.</w:t>
            </w:r>
            <w:r>
              <w:rPr>
                <w:rFonts w:asciiTheme="minorHAnsi" w:hAnsiTheme="minorHAnsi"/>
                <w:b w:val="0"/>
                <w:bCs w:val="0"/>
                <w:smallCaps w:val="0"/>
                <w:noProof/>
              </w:rPr>
              <w:tab/>
            </w:r>
            <w:r w:rsidRPr="000D5A57">
              <w:rPr>
                <w:rStyle w:val="Hyperlink"/>
                <w:noProof/>
              </w:rPr>
              <w:t>Procedimentos para a Proteção de Áreas Vulneráveis e Limpeza de Áreas Atingidas</w:t>
            </w:r>
            <w:r>
              <w:rPr>
                <w:noProof/>
                <w:webHidden/>
              </w:rPr>
              <w:tab/>
            </w:r>
            <w:r>
              <w:rPr>
                <w:noProof/>
                <w:webHidden/>
              </w:rPr>
              <w:fldChar w:fldCharType="begin"/>
            </w:r>
            <w:r>
              <w:rPr>
                <w:noProof/>
                <w:webHidden/>
              </w:rPr>
              <w:instrText xml:space="preserve"> PAGEREF _Toc527990437 \h </w:instrText>
            </w:r>
            <w:r>
              <w:rPr>
                <w:noProof/>
                <w:webHidden/>
              </w:rPr>
            </w:r>
            <w:r>
              <w:rPr>
                <w:noProof/>
                <w:webHidden/>
              </w:rPr>
              <w:fldChar w:fldCharType="separate"/>
            </w:r>
            <w:r>
              <w:rPr>
                <w:noProof/>
                <w:webHidden/>
              </w:rPr>
              <w:t>127</w:t>
            </w:r>
            <w:r>
              <w:rPr>
                <w:noProof/>
                <w:webHidden/>
              </w:rPr>
              <w:fldChar w:fldCharType="end"/>
            </w:r>
          </w:hyperlink>
        </w:p>
        <w:p w14:paraId="31C8600C" w14:textId="2E9CF001" w:rsidR="009D286F" w:rsidRDefault="009D286F">
          <w:pPr>
            <w:pStyle w:val="Sumrio2"/>
            <w:tabs>
              <w:tab w:val="left" w:pos="1008"/>
              <w:tab w:val="right" w:leader="dot" w:pos="9060"/>
            </w:tabs>
            <w:rPr>
              <w:rFonts w:asciiTheme="minorHAnsi" w:hAnsiTheme="minorHAnsi"/>
              <w:b w:val="0"/>
              <w:bCs w:val="0"/>
              <w:smallCaps w:val="0"/>
              <w:noProof/>
            </w:rPr>
          </w:pPr>
          <w:hyperlink w:anchor="_Toc527990438" w:history="1">
            <w:r w:rsidRPr="000D5A57">
              <w:rPr>
                <w:rStyle w:val="Hyperlink"/>
                <w:noProof/>
              </w:rPr>
              <w:t>8.9.</w:t>
            </w:r>
            <w:r>
              <w:rPr>
                <w:rFonts w:asciiTheme="minorHAnsi" w:hAnsiTheme="minorHAnsi"/>
                <w:b w:val="0"/>
                <w:bCs w:val="0"/>
                <w:smallCaps w:val="0"/>
                <w:noProof/>
              </w:rPr>
              <w:tab/>
            </w:r>
            <w:r w:rsidRPr="000D5A57">
              <w:rPr>
                <w:rStyle w:val="Hyperlink"/>
                <w:noProof/>
              </w:rPr>
              <w:t>Procedimentos para a Proteção à Fauna</w:t>
            </w:r>
            <w:r>
              <w:rPr>
                <w:noProof/>
                <w:webHidden/>
              </w:rPr>
              <w:tab/>
            </w:r>
            <w:r>
              <w:rPr>
                <w:noProof/>
                <w:webHidden/>
              </w:rPr>
              <w:fldChar w:fldCharType="begin"/>
            </w:r>
            <w:r>
              <w:rPr>
                <w:noProof/>
                <w:webHidden/>
              </w:rPr>
              <w:instrText xml:space="preserve"> PAGEREF _Toc527990438 \h </w:instrText>
            </w:r>
            <w:r>
              <w:rPr>
                <w:noProof/>
                <w:webHidden/>
              </w:rPr>
            </w:r>
            <w:r>
              <w:rPr>
                <w:noProof/>
                <w:webHidden/>
              </w:rPr>
              <w:fldChar w:fldCharType="separate"/>
            </w:r>
            <w:r>
              <w:rPr>
                <w:noProof/>
                <w:webHidden/>
              </w:rPr>
              <w:t>128</w:t>
            </w:r>
            <w:r>
              <w:rPr>
                <w:noProof/>
                <w:webHidden/>
              </w:rPr>
              <w:fldChar w:fldCharType="end"/>
            </w:r>
          </w:hyperlink>
        </w:p>
        <w:p w14:paraId="6F197D5B" w14:textId="31A297A9" w:rsidR="009D286F" w:rsidRDefault="009D286F">
          <w:pPr>
            <w:pStyle w:val="Sumrio2"/>
            <w:tabs>
              <w:tab w:val="left" w:pos="1138"/>
              <w:tab w:val="right" w:leader="dot" w:pos="9060"/>
            </w:tabs>
            <w:rPr>
              <w:rFonts w:asciiTheme="minorHAnsi" w:hAnsiTheme="minorHAnsi"/>
              <w:b w:val="0"/>
              <w:bCs w:val="0"/>
              <w:smallCaps w:val="0"/>
              <w:noProof/>
            </w:rPr>
          </w:pPr>
          <w:hyperlink w:anchor="_Toc527990439" w:history="1">
            <w:r w:rsidRPr="000D5A57">
              <w:rPr>
                <w:rStyle w:val="Hyperlink"/>
                <w:noProof/>
              </w:rPr>
              <w:t>8.10.</w:t>
            </w:r>
            <w:r>
              <w:rPr>
                <w:rFonts w:asciiTheme="minorHAnsi" w:hAnsiTheme="minorHAnsi"/>
                <w:b w:val="0"/>
                <w:bCs w:val="0"/>
                <w:smallCaps w:val="0"/>
                <w:noProof/>
              </w:rPr>
              <w:tab/>
            </w:r>
            <w:r w:rsidRPr="000D5A57">
              <w:rPr>
                <w:rStyle w:val="Hyperlink"/>
                <w:noProof/>
              </w:rPr>
              <w:t>Procedimento para Coleta e Destinação Final dos Resíduos Gerados</w:t>
            </w:r>
            <w:r>
              <w:rPr>
                <w:noProof/>
                <w:webHidden/>
              </w:rPr>
              <w:tab/>
            </w:r>
            <w:r>
              <w:rPr>
                <w:noProof/>
                <w:webHidden/>
              </w:rPr>
              <w:fldChar w:fldCharType="begin"/>
            </w:r>
            <w:r>
              <w:rPr>
                <w:noProof/>
                <w:webHidden/>
              </w:rPr>
              <w:instrText xml:space="preserve"> PAGEREF _Toc527990439 \h </w:instrText>
            </w:r>
            <w:r>
              <w:rPr>
                <w:noProof/>
                <w:webHidden/>
              </w:rPr>
            </w:r>
            <w:r>
              <w:rPr>
                <w:noProof/>
                <w:webHidden/>
              </w:rPr>
              <w:fldChar w:fldCharType="separate"/>
            </w:r>
            <w:r>
              <w:rPr>
                <w:noProof/>
                <w:webHidden/>
              </w:rPr>
              <w:t>128</w:t>
            </w:r>
            <w:r>
              <w:rPr>
                <w:noProof/>
                <w:webHidden/>
              </w:rPr>
              <w:fldChar w:fldCharType="end"/>
            </w:r>
          </w:hyperlink>
        </w:p>
        <w:p w14:paraId="3FEAF376" w14:textId="5324A554" w:rsidR="009D286F" w:rsidRDefault="009D286F">
          <w:pPr>
            <w:pStyle w:val="Sumrio1"/>
            <w:rPr>
              <w:rFonts w:asciiTheme="minorHAnsi" w:hAnsiTheme="minorHAnsi"/>
              <w:b w:val="0"/>
              <w:bCs w:val="0"/>
              <w:caps w:val="0"/>
              <w:lang w:val="pt-BR"/>
            </w:rPr>
          </w:pPr>
          <w:hyperlink w:anchor="_Toc527990440" w:history="1">
            <w:r w:rsidRPr="000D5A57">
              <w:rPr>
                <w:rStyle w:val="Hyperlink"/>
              </w:rPr>
              <w:t>9.</w:t>
            </w:r>
            <w:r>
              <w:rPr>
                <w:rFonts w:asciiTheme="minorHAnsi" w:hAnsiTheme="minorHAnsi"/>
                <w:b w:val="0"/>
                <w:bCs w:val="0"/>
                <w:caps w:val="0"/>
                <w:lang w:val="pt-BR"/>
              </w:rPr>
              <w:tab/>
            </w:r>
            <w:r w:rsidRPr="000D5A57">
              <w:rPr>
                <w:rStyle w:val="Hyperlink"/>
              </w:rPr>
              <w:t>MANUTENÇÃO DA RESPOSTA POR 30 DIAS</w:t>
            </w:r>
            <w:r>
              <w:rPr>
                <w:webHidden/>
              </w:rPr>
              <w:tab/>
            </w:r>
            <w:r>
              <w:rPr>
                <w:webHidden/>
              </w:rPr>
              <w:fldChar w:fldCharType="begin"/>
            </w:r>
            <w:r>
              <w:rPr>
                <w:webHidden/>
              </w:rPr>
              <w:instrText xml:space="preserve"> PAGEREF _Toc527990440 \h </w:instrText>
            </w:r>
            <w:r>
              <w:rPr>
                <w:webHidden/>
              </w:rPr>
            </w:r>
            <w:r>
              <w:rPr>
                <w:webHidden/>
              </w:rPr>
              <w:fldChar w:fldCharType="separate"/>
            </w:r>
            <w:r>
              <w:rPr>
                <w:webHidden/>
              </w:rPr>
              <w:t>135</w:t>
            </w:r>
            <w:r>
              <w:rPr>
                <w:webHidden/>
              </w:rPr>
              <w:fldChar w:fldCharType="end"/>
            </w:r>
          </w:hyperlink>
        </w:p>
        <w:p w14:paraId="338AC2D2" w14:textId="6F8C4298" w:rsidR="009D286F" w:rsidRDefault="009D286F">
          <w:pPr>
            <w:pStyle w:val="Sumrio2"/>
            <w:tabs>
              <w:tab w:val="left" w:pos="1008"/>
              <w:tab w:val="right" w:leader="dot" w:pos="9060"/>
            </w:tabs>
            <w:rPr>
              <w:rFonts w:asciiTheme="minorHAnsi" w:hAnsiTheme="minorHAnsi"/>
              <w:b w:val="0"/>
              <w:bCs w:val="0"/>
              <w:smallCaps w:val="0"/>
              <w:noProof/>
            </w:rPr>
          </w:pPr>
          <w:hyperlink w:anchor="_Toc527990441" w:history="1">
            <w:r w:rsidRPr="000D5A57">
              <w:rPr>
                <w:rStyle w:val="Hyperlink"/>
                <w:noProof/>
              </w:rPr>
              <w:t>9.1.</w:t>
            </w:r>
            <w:r>
              <w:rPr>
                <w:rFonts w:asciiTheme="minorHAnsi" w:hAnsiTheme="minorHAnsi"/>
                <w:b w:val="0"/>
                <w:bCs w:val="0"/>
                <w:smallCaps w:val="0"/>
                <w:noProof/>
              </w:rPr>
              <w:tab/>
            </w:r>
            <w:r w:rsidRPr="000D5A57">
              <w:rPr>
                <w:rStyle w:val="Hyperlink"/>
                <w:noProof/>
              </w:rPr>
              <w:t>Manutenção da Estrutura Organizacional de Resposta</w:t>
            </w:r>
            <w:r>
              <w:rPr>
                <w:noProof/>
                <w:webHidden/>
              </w:rPr>
              <w:tab/>
            </w:r>
            <w:r>
              <w:rPr>
                <w:noProof/>
                <w:webHidden/>
              </w:rPr>
              <w:fldChar w:fldCharType="begin"/>
            </w:r>
            <w:r>
              <w:rPr>
                <w:noProof/>
                <w:webHidden/>
              </w:rPr>
              <w:instrText xml:space="preserve"> PAGEREF _Toc527990441 \h </w:instrText>
            </w:r>
            <w:r>
              <w:rPr>
                <w:noProof/>
                <w:webHidden/>
              </w:rPr>
            </w:r>
            <w:r>
              <w:rPr>
                <w:noProof/>
                <w:webHidden/>
              </w:rPr>
              <w:fldChar w:fldCharType="separate"/>
            </w:r>
            <w:r>
              <w:rPr>
                <w:noProof/>
                <w:webHidden/>
              </w:rPr>
              <w:t>135</w:t>
            </w:r>
            <w:r>
              <w:rPr>
                <w:noProof/>
                <w:webHidden/>
              </w:rPr>
              <w:fldChar w:fldCharType="end"/>
            </w:r>
          </w:hyperlink>
        </w:p>
        <w:p w14:paraId="6D60BAAB" w14:textId="794591BE" w:rsidR="009D286F" w:rsidRDefault="009D286F">
          <w:pPr>
            <w:pStyle w:val="Sumrio2"/>
            <w:tabs>
              <w:tab w:val="left" w:pos="1008"/>
              <w:tab w:val="right" w:leader="dot" w:pos="9060"/>
            </w:tabs>
            <w:rPr>
              <w:rFonts w:asciiTheme="minorHAnsi" w:hAnsiTheme="minorHAnsi"/>
              <w:b w:val="0"/>
              <w:bCs w:val="0"/>
              <w:smallCaps w:val="0"/>
              <w:noProof/>
            </w:rPr>
          </w:pPr>
          <w:hyperlink w:anchor="_Toc527990442" w:history="1">
            <w:r w:rsidRPr="000D5A57">
              <w:rPr>
                <w:rStyle w:val="Hyperlink"/>
                <w:noProof/>
              </w:rPr>
              <w:t>9.2.</w:t>
            </w:r>
            <w:r>
              <w:rPr>
                <w:rFonts w:asciiTheme="minorHAnsi" w:hAnsiTheme="minorHAnsi"/>
                <w:b w:val="0"/>
                <w:bCs w:val="0"/>
                <w:smallCaps w:val="0"/>
                <w:noProof/>
              </w:rPr>
              <w:tab/>
            </w:r>
            <w:r w:rsidRPr="000D5A57">
              <w:rPr>
                <w:rStyle w:val="Hyperlink"/>
                <w:noProof/>
              </w:rPr>
              <w:t>Manutenção dos Recursos Táticos de Resposta e da Capacidade de Armazenamento Temporário</w:t>
            </w:r>
            <w:r>
              <w:rPr>
                <w:noProof/>
                <w:webHidden/>
              </w:rPr>
              <w:tab/>
            </w:r>
            <w:r>
              <w:rPr>
                <w:noProof/>
                <w:webHidden/>
              </w:rPr>
              <w:fldChar w:fldCharType="begin"/>
            </w:r>
            <w:r>
              <w:rPr>
                <w:noProof/>
                <w:webHidden/>
              </w:rPr>
              <w:instrText xml:space="preserve"> PAGEREF _Toc527990442 \h </w:instrText>
            </w:r>
            <w:r>
              <w:rPr>
                <w:noProof/>
                <w:webHidden/>
              </w:rPr>
            </w:r>
            <w:r>
              <w:rPr>
                <w:noProof/>
                <w:webHidden/>
              </w:rPr>
              <w:fldChar w:fldCharType="separate"/>
            </w:r>
            <w:r>
              <w:rPr>
                <w:noProof/>
                <w:webHidden/>
              </w:rPr>
              <w:t>136</w:t>
            </w:r>
            <w:r>
              <w:rPr>
                <w:noProof/>
                <w:webHidden/>
              </w:rPr>
              <w:fldChar w:fldCharType="end"/>
            </w:r>
          </w:hyperlink>
        </w:p>
        <w:p w14:paraId="32E61DCB" w14:textId="41B34F18" w:rsidR="009D286F" w:rsidRDefault="009D286F">
          <w:pPr>
            <w:pStyle w:val="Sumrio1"/>
            <w:rPr>
              <w:rFonts w:asciiTheme="minorHAnsi" w:hAnsiTheme="minorHAnsi"/>
              <w:b w:val="0"/>
              <w:bCs w:val="0"/>
              <w:caps w:val="0"/>
              <w:lang w:val="pt-BR"/>
            </w:rPr>
          </w:pPr>
          <w:hyperlink w:anchor="_Toc527990443" w:history="1">
            <w:r w:rsidRPr="000D5A57">
              <w:rPr>
                <w:rStyle w:val="Hyperlink"/>
                <w:lang w:val="pt-BR"/>
              </w:rPr>
              <w:t>10.</w:t>
            </w:r>
            <w:r>
              <w:rPr>
                <w:rFonts w:asciiTheme="minorHAnsi" w:hAnsiTheme="minorHAnsi"/>
                <w:b w:val="0"/>
                <w:bCs w:val="0"/>
                <w:caps w:val="0"/>
                <w:lang w:val="pt-BR"/>
              </w:rPr>
              <w:tab/>
            </w:r>
            <w:r w:rsidRPr="000D5A57">
              <w:rPr>
                <w:rStyle w:val="Hyperlink"/>
                <w:lang w:val="pt-BR"/>
              </w:rPr>
              <w:t>ENCERRAMENTO DAS AÇÕES DE RESPOSTA</w:t>
            </w:r>
            <w:r>
              <w:rPr>
                <w:webHidden/>
              </w:rPr>
              <w:tab/>
            </w:r>
            <w:r>
              <w:rPr>
                <w:webHidden/>
              </w:rPr>
              <w:fldChar w:fldCharType="begin"/>
            </w:r>
            <w:r>
              <w:rPr>
                <w:webHidden/>
              </w:rPr>
              <w:instrText xml:space="preserve"> PAGEREF _Toc527990443 \h </w:instrText>
            </w:r>
            <w:r>
              <w:rPr>
                <w:webHidden/>
              </w:rPr>
            </w:r>
            <w:r>
              <w:rPr>
                <w:webHidden/>
              </w:rPr>
              <w:fldChar w:fldCharType="separate"/>
            </w:r>
            <w:r>
              <w:rPr>
                <w:webHidden/>
              </w:rPr>
              <w:t>139</w:t>
            </w:r>
            <w:r>
              <w:rPr>
                <w:webHidden/>
              </w:rPr>
              <w:fldChar w:fldCharType="end"/>
            </w:r>
          </w:hyperlink>
        </w:p>
        <w:p w14:paraId="4111CF56" w14:textId="7CCD6584" w:rsidR="009D286F" w:rsidRDefault="009D286F">
          <w:pPr>
            <w:pStyle w:val="Sumrio2"/>
            <w:tabs>
              <w:tab w:val="left" w:pos="1138"/>
              <w:tab w:val="right" w:leader="dot" w:pos="9060"/>
            </w:tabs>
            <w:rPr>
              <w:rFonts w:asciiTheme="minorHAnsi" w:hAnsiTheme="minorHAnsi"/>
              <w:b w:val="0"/>
              <w:bCs w:val="0"/>
              <w:smallCaps w:val="0"/>
              <w:noProof/>
            </w:rPr>
          </w:pPr>
          <w:hyperlink w:anchor="_Toc527990444" w:history="1">
            <w:r w:rsidRPr="000D5A57">
              <w:rPr>
                <w:rStyle w:val="Hyperlink"/>
                <w:noProof/>
              </w:rPr>
              <w:t>10.1.</w:t>
            </w:r>
            <w:r>
              <w:rPr>
                <w:rFonts w:asciiTheme="minorHAnsi" w:hAnsiTheme="minorHAnsi"/>
                <w:b w:val="0"/>
                <w:bCs w:val="0"/>
                <w:smallCaps w:val="0"/>
                <w:noProof/>
              </w:rPr>
              <w:tab/>
            </w:r>
            <w:r w:rsidRPr="000D5A57">
              <w:rPr>
                <w:rStyle w:val="Hyperlink"/>
                <w:noProof/>
              </w:rPr>
              <w:t>Relatório de Encerramento das Ações de Resposta</w:t>
            </w:r>
            <w:r>
              <w:rPr>
                <w:noProof/>
                <w:webHidden/>
              </w:rPr>
              <w:tab/>
            </w:r>
            <w:r>
              <w:rPr>
                <w:noProof/>
                <w:webHidden/>
              </w:rPr>
              <w:fldChar w:fldCharType="begin"/>
            </w:r>
            <w:r>
              <w:rPr>
                <w:noProof/>
                <w:webHidden/>
              </w:rPr>
              <w:instrText xml:space="preserve"> PAGEREF _Toc527990444 \h </w:instrText>
            </w:r>
            <w:r>
              <w:rPr>
                <w:noProof/>
                <w:webHidden/>
              </w:rPr>
            </w:r>
            <w:r>
              <w:rPr>
                <w:noProof/>
                <w:webHidden/>
              </w:rPr>
              <w:fldChar w:fldCharType="separate"/>
            </w:r>
            <w:r>
              <w:rPr>
                <w:noProof/>
                <w:webHidden/>
              </w:rPr>
              <w:t>141</w:t>
            </w:r>
            <w:r>
              <w:rPr>
                <w:noProof/>
                <w:webHidden/>
              </w:rPr>
              <w:fldChar w:fldCharType="end"/>
            </w:r>
          </w:hyperlink>
        </w:p>
        <w:p w14:paraId="634BE0DE" w14:textId="78DC88D2" w:rsidR="009D286F" w:rsidRDefault="009D286F">
          <w:pPr>
            <w:pStyle w:val="Sumrio1"/>
            <w:rPr>
              <w:rFonts w:asciiTheme="minorHAnsi" w:hAnsiTheme="minorHAnsi"/>
              <w:b w:val="0"/>
              <w:bCs w:val="0"/>
              <w:caps w:val="0"/>
              <w:lang w:val="pt-BR"/>
            </w:rPr>
          </w:pPr>
          <w:hyperlink w:anchor="_Toc527990445" w:history="1">
            <w:r w:rsidRPr="000D5A57">
              <w:rPr>
                <w:rStyle w:val="Hyperlink"/>
                <w:lang w:val="pt-BR"/>
              </w:rPr>
              <w:t>11.</w:t>
            </w:r>
            <w:r>
              <w:rPr>
                <w:rFonts w:asciiTheme="minorHAnsi" w:hAnsiTheme="minorHAnsi"/>
                <w:b w:val="0"/>
                <w:bCs w:val="0"/>
                <w:caps w:val="0"/>
                <w:lang w:val="pt-BR"/>
              </w:rPr>
              <w:tab/>
            </w:r>
            <w:r w:rsidRPr="000D5A57">
              <w:rPr>
                <w:rStyle w:val="Hyperlink"/>
                <w:lang w:val="pt-BR"/>
              </w:rPr>
              <w:t>RESPONSÁVEIS TÉCNICOS PELA ELABORAÇÃO DO PEI</w:t>
            </w:r>
            <w:r>
              <w:rPr>
                <w:webHidden/>
              </w:rPr>
              <w:tab/>
            </w:r>
            <w:r>
              <w:rPr>
                <w:webHidden/>
              </w:rPr>
              <w:fldChar w:fldCharType="begin"/>
            </w:r>
            <w:r>
              <w:rPr>
                <w:webHidden/>
              </w:rPr>
              <w:instrText xml:space="preserve"> PAGEREF _Toc527990445 \h </w:instrText>
            </w:r>
            <w:r>
              <w:rPr>
                <w:webHidden/>
              </w:rPr>
            </w:r>
            <w:r>
              <w:rPr>
                <w:webHidden/>
              </w:rPr>
              <w:fldChar w:fldCharType="separate"/>
            </w:r>
            <w:r>
              <w:rPr>
                <w:webHidden/>
              </w:rPr>
              <w:t>141</w:t>
            </w:r>
            <w:r>
              <w:rPr>
                <w:webHidden/>
              </w:rPr>
              <w:fldChar w:fldCharType="end"/>
            </w:r>
          </w:hyperlink>
        </w:p>
        <w:p w14:paraId="70FEA18D" w14:textId="1784E160" w:rsidR="009D286F" w:rsidRDefault="009D286F">
          <w:pPr>
            <w:pStyle w:val="Sumrio1"/>
            <w:rPr>
              <w:rFonts w:asciiTheme="minorHAnsi" w:hAnsiTheme="minorHAnsi"/>
              <w:b w:val="0"/>
              <w:bCs w:val="0"/>
              <w:caps w:val="0"/>
              <w:lang w:val="pt-BR"/>
            </w:rPr>
          </w:pPr>
          <w:hyperlink w:anchor="_Toc527990446" w:history="1">
            <w:r w:rsidRPr="000D5A57">
              <w:rPr>
                <w:rStyle w:val="Hyperlink"/>
                <w:lang w:val="pt-BR"/>
              </w:rPr>
              <w:t>12.</w:t>
            </w:r>
            <w:r>
              <w:rPr>
                <w:rFonts w:asciiTheme="minorHAnsi" w:hAnsiTheme="minorHAnsi"/>
                <w:b w:val="0"/>
                <w:bCs w:val="0"/>
                <w:caps w:val="0"/>
                <w:lang w:val="pt-BR"/>
              </w:rPr>
              <w:tab/>
            </w:r>
            <w:r w:rsidRPr="000D5A57">
              <w:rPr>
                <w:rStyle w:val="Hyperlink"/>
                <w:lang w:val="pt-BR"/>
              </w:rPr>
              <w:t>RESPONSÁVEIS TÉCNICOS PELA EXECUÇÃO DO PEI</w:t>
            </w:r>
            <w:r>
              <w:rPr>
                <w:webHidden/>
              </w:rPr>
              <w:tab/>
            </w:r>
            <w:r>
              <w:rPr>
                <w:webHidden/>
              </w:rPr>
              <w:fldChar w:fldCharType="begin"/>
            </w:r>
            <w:r>
              <w:rPr>
                <w:webHidden/>
              </w:rPr>
              <w:instrText xml:space="preserve"> PAGEREF _Toc527990446 \h </w:instrText>
            </w:r>
            <w:r>
              <w:rPr>
                <w:webHidden/>
              </w:rPr>
            </w:r>
            <w:r>
              <w:rPr>
                <w:webHidden/>
              </w:rPr>
              <w:fldChar w:fldCharType="separate"/>
            </w:r>
            <w:r>
              <w:rPr>
                <w:webHidden/>
              </w:rPr>
              <w:t>142</w:t>
            </w:r>
            <w:r>
              <w:rPr>
                <w:webHidden/>
              </w:rPr>
              <w:fldChar w:fldCharType="end"/>
            </w:r>
          </w:hyperlink>
        </w:p>
        <w:p w14:paraId="7388968E" w14:textId="65C0F482" w:rsidR="009D286F" w:rsidRDefault="009D286F">
          <w:pPr>
            <w:pStyle w:val="Sumrio1"/>
            <w:rPr>
              <w:rFonts w:asciiTheme="minorHAnsi" w:hAnsiTheme="minorHAnsi"/>
              <w:b w:val="0"/>
              <w:bCs w:val="0"/>
              <w:caps w:val="0"/>
              <w:lang w:val="pt-BR"/>
            </w:rPr>
          </w:pPr>
          <w:hyperlink w:anchor="_Toc527990447" w:history="1">
            <w:r w:rsidRPr="000D5A57">
              <w:rPr>
                <w:rStyle w:val="Hyperlink"/>
              </w:rPr>
              <w:t>13.</w:t>
            </w:r>
            <w:r>
              <w:rPr>
                <w:rFonts w:asciiTheme="minorHAnsi" w:hAnsiTheme="minorHAnsi"/>
                <w:b w:val="0"/>
                <w:bCs w:val="0"/>
                <w:caps w:val="0"/>
                <w:lang w:val="pt-BR"/>
              </w:rPr>
              <w:tab/>
            </w:r>
            <w:r w:rsidRPr="000D5A57">
              <w:rPr>
                <w:rStyle w:val="Hyperlink"/>
              </w:rPr>
              <w:t>REFERÊNCIAS BIBLIOGRÁFICAS</w:t>
            </w:r>
            <w:r>
              <w:rPr>
                <w:webHidden/>
              </w:rPr>
              <w:tab/>
            </w:r>
            <w:r>
              <w:rPr>
                <w:webHidden/>
              </w:rPr>
              <w:fldChar w:fldCharType="begin"/>
            </w:r>
            <w:r>
              <w:rPr>
                <w:webHidden/>
              </w:rPr>
              <w:instrText xml:space="preserve"> PAGEREF _Toc527990447 \h </w:instrText>
            </w:r>
            <w:r>
              <w:rPr>
                <w:webHidden/>
              </w:rPr>
            </w:r>
            <w:r>
              <w:rPr>
                <w:webHidden/>
              </w:rPr>
              <w:fldChar w:fldCharType="separate"/>
            </w:r>
            <w:r>
              <w:rPr>
                <w:webHidden/>
              </w:rPr>
              <w:t>142</w:t>
            </w:r>
            <w:r>
              <w:rPr>
                <w:webHidden/>
              </w:rPr>
              <w:fldChar w:fldCharType="end"/>
            </w:r>
          </w:hyperlink>
        </w:p>
        <w:p w14:paraId="0AC1C54A" w14:textId="55DAAD9D" w:rsidR="005576DE" w:rsidRPr="00FC10A8" w:rsidRDefault="009B50F4" w:rsidP="005576DE">
          <w:pPr>
            <w:pStyle w:val="Texto"/>
            <w:rPr>
              <w:rFonts w:asciiTheme="majorHAnsi" w:hAnsiTheme="majorHAnsi"/>
              <w:b/>
              <w:szCs w:val="22"/>
              <w:lang w:val="en-GB"/>
            </w:rPr>
          </w:pPr>
          <w:r>
            <w:rPr>
              <w:rFonts w:asciiTheme="majorHAnsi" w:eastAsia="SimSun" w:hAnsiTheme="majorHAnsi" w:cs="Calibri"/>
              <w:bCs/>
              <w:caps/>
              <w:noProof/>
              <w:kern w:val="32"/>
              <w:szCs w:val="22"/>
              <w:lang w:val="en-GB" w:eastAsia="zh-CN"/>
            </w:rPr>
            <w:fldChar w:fldCharType="end"/>
          </w:r>
        </w:p>
      </w:sdtContent>
    </w:sdt>
    <w:p w14:paraId="46BA4D46" w14:textId="77777777" w:rsidR="00CC47FD" w:rsidRDefault="00CC47FD" w:rsidP="00C93479">
      <w:pPr>
        <w:pStyle w:val="tier1Itext"/>
        <w:rPr>
          <w:rStyle w:val="NegritoVersaleteChar"/>
          <w:i w:val="0"/>
          <w:color w:val="auto"/>
          <w:lang w:val="en-GB"/>
        </w:rPr>
      </w:pPr>
      <w:r>
        <w:rPr>
          <w:rStyle w:val="NegritoVersaleteChar"/>
          <w:i w:val="0"/>
          <w:color w:val="auto"/>
          <w:lang w:val="en-GB"/>
        </w:rPr>
        <w:br w:type="page"/>
      </w:r>
    </w:p>
    <w:p w14:paraId="74334267" w14:textId="77777777" w:rsidR="00D567ED" w:rsidRPr="005249F7" w:rsidRDefault="00641FD8" w:rsidP="00FC10A8">
      <w:pPr>
        <w:pStyle w:val="Indices"/>
        <w:rPr>
          <w:rStyle w:val="NegritoVersaleteChar"/>
          <w:b/>
          <w:i w:val="0"/>
          <w:smallCaps/>
          <w:color w:val="auto"/>
        </w:rPr>
      </w:pPr>
      <w:r w:rsidRPr="005249F7">
        <w:rPr>
          <w:rStyle w:val="NegritoVersaleteChar"/>
          <w:b/>
          <w:i w:val="0"/>
          <w:smallCaps/>
          <w:color w:val="auto"/>
        </w:rPr>
        <w:lastRenderedPageBreak/>
        <w:t>Índice de Figuras</w:t>
      </w:r>
    </w:p>
    <w:p w14:paraId="7F0D0A1B" w14:textId="4ABFD857" w:rsidR="009D286F" w:rsidRDefault="00FC10A8">
      <w:pPr>
        <w:pStyle w:val="ndicedeilustraes"/>
        <w:tabs>
          <w:tab w:val="right" w:leader="dot" w:pos="9060"/>
        </w:tabs>
        <w:rPr>
          <w:rFonts w:asciiTheme="minorHAnsi" w:hAnsiTheme="minorHAnsi"/>
          <w:i w:val="0"/>
          <w:iCs w:val="0"/>
          <w:noProof/>
          <w:szCs w:val="22"/>
        </w:rPr>
      </w:pPr>
      <w:r w:rsidRPr="00DB2BC5">
        <w:rPr>
          <w:iCs w:val="0"/>
          <w:sz w:val="20"/>
          <w:highlight w:val="yellow"/>
          <w:lang w:val="en-GB" w:eastAsia="zh-CN"/>
        </w:rPr>
        <w:fldChar w:fldCharType="begin"/>
      </w:r>
      <w:r w:rsidRPr="00DB2BC5">
        <w:rPr>
          <w:iCs w:val="0"/>
          <w:sz w:val="20"/>
          <w:highlight w:val="yellow"/>
          <w:lang w:val="en-GB" w:eastAsia="zh-CN"/>
        </w:rPr>
        <w:instrText xml:space="preserve"> TOC \h \z \c "Figura" </w:instrText>
      </w:r>
      <w:r w:rsidRPr="00DB2BC5">
        <w:rPr>
          <w:iCs w:val="0"/>
          <w:sz w:val="20"/>
          <w:highlight w:val="yellow"/>
          <w:lang w:val="en-GB" w:eastAsia="zh-CN"/>
        </w:rPr>
        <w:fldChar w:fldCharType="separate"/>
      </w:r>
      <w:hyperlink w:anchor="_Toc527990448" w:history="1">
        <w:r w:rsidR="009D286F" w:rsidRPr="00097860">
          <w:rPr>
            <w:rStyle w:val="Hyperlink"/>
            <w:noProof/>
          </w:rPr>
          <w:t>Figura 1: Bloco FZA-M-59, Bacia da Foz do Rio Amazonas (FZA) (Fonte: Witt|O’Brien’s).</w:t>
        </w:r>
        <w:r w:rsidR="009D286F">
          <w:rPr>
            <w:noProof/>
            <w:webHidden/>
          </w:rPr>
          <w:tab/>
        </w:r>
        <w:r w:rsidR="009D286F">
          <w:rPr>
            <w:noProof/>
            <w:webHidden/>
          </w:rPr>
          <w:fldChar w:fldCharType="begin"/>
        </w:r>
        <w:r w:rsidR="009D286F">
          <w:rPr>
            <w:noProof/>
            <w:webHidden/>
          </w:rPr>
          <w:instrText xml:space="preserve"> PAGEREF _Toc527990448 \h </w:instrText>
        </w:r>
        <w:r w:rsidR="009D286F">
          <w:rPr>
            <w:noProof/>
            <w:webHidden/>
          </w:rPr>
        </w:r>
        <w:r w:rsidR="009D286F">
          <w:rPr>
            <w:noProof/>
            <w:webHidden/>
          </w:rPr>
          <w:fldChar w:fldCharType="separate"/>
        </w:r>
        <w:r w:rsidR="009D286F">
          <w:rPr>
            <w:noProof/>
            <w:webHidden/>
          </w:rPr>
          <w:t>1</w:t>
        </w:r>
        <w:r w:rsidR="009D286F">
          <w:rPr>
            <w:noProof/>
            <w:webHidden/>
          </w:rPr>
          <w:fldChar w:fldCharType="end"/>
        </w:r>
      </w:hyperlink>
    </w:p>
    <w:p w14:paraId="3249B43B" w14:textId="10AAAC63" w:rsidR="009D286F" w:rsidRDefault="009D286F">
      <w:pPr>
        <w:pStyle w:val="ndicedeilustraes"/>
        <w:tabs>
          <w:tab w:val="right" w:leader="dot" w:pos="9060"/>
        </w:tabs>
        <w:rPr>
          <w:rFonts w:asciiTheme="minorHAnsi" w:hAnsiTheme="minorHAnsi"/>
          <w:i w:val="0"/>
          <w:iCs w:val="0"/>
          <w:noProof/>
          <w:szCs w:val="22"/>
        </w:rPr>
      </w:pPr>
      <w:hyperlink w:anchor="_Toc527990449" w:history="1">
        <w:r w:rsidRPr="00097860">
          <w:rPr>
            <w:rStyle w:val="Hyperlink"/>
            <w:noProof/>
          </w:rPr>
          <w:t>Figura 2: Localização do Bloco FZA-M-59, na Bacia da Foz do Amazonas, e suas respectivas distâncias máximas até as bases de apoio logístico e aéreo (Fonte: Witt|O’Brien’s).</w:t>
        </w:r>
        <w:r>
          <w:rPr>
            <w:noProof/>
            <w:webHidden/>
          </w:rPr>
          <w:tab/>
        </w:r>
        <w:r>
          <w:rPr>
            <w:noProof/>
            <w:webHidden/>
          </w:rPr>
          <w:fldChar w:fldCharType="begin"/>
        </w:r>
        <w:r>
          <w:rPr>
            <w:noProof/>
            <w:webHidden/>
          </w:rPr>
          <w:instrText xml:space="preserve"> PAGEREF _Toc527990449 \h </w:instrText>
        </w:r>
        <w:r>
          <w:rPr>
            <w:noProof/>
            <w:webHidden/>
          </w:rPr>
        </w:r>
        <w:r>
          <w:rPr>
            <w:noProof/>
            <w:webHidden/>
          </w:rPr>
          <w:fldChar w:fldCharType="separate"/>
        </w:r>
        <w:r>
          <w:rPr>
            <w:noProof/>
            <w:webHidden/>
          </w:rPr>
          <w:t>5</w:t>
        </w:r>
        <w:r>
          <w:rPr>
            <w:noProof/>
            <w:webHidden/>
          </w:rPr>
          <w:fldChar w:fldCharType="end"/>
        </w:r>
      </w:hyperlink>
    </w:p>
    <w:p w14:paraId="5094102D" w14:textId="630F54C9" w:rsidR="009D286F" w:rsidRDefault="009D286F">
      <w:pPr>
        <w:pStyle w:val="ndicedeilustraes"/>
        <w:tabs>
          <w:tab w:val="right" w:leader="dot" w:pos="9060"/>
        </w:tabs>
        <w:rPr>
          <w:rFonts w:asciiTheme="minorHAnsi" w:hAnsiTheme="minorHAnsi"/>
          <w:i w:val="0"/>
          <w:iCs w:val="0"/>
          <w:noProof/>
          <w:szCs w:val="22"/>
        </w:rPr>
      </w:pPr>
      <w:hyperlink w:anchor="_Toc527990450" w:history="1">
        <w:r w:rsidRPr="00097860">
          <w:rPr>
            <w:rStyle w:val="Hyperlink"/>
            <w:noProof/>
          </w:rPr>
          <w:t>Figura 3: Organograma da IMT, com indicação também da TRT (Fonte: Witt|O’Brien’s).</w:t>
        </w:r>
        <w:r>
          <w:rPr>
            <w:noProof/>
            <w:webHidden/>
          </w:rPr>
          <w:tab/>
        </w:r>
        <w:r>
          <w:rPr>
            <w:noProof/>
            <w:webHidden/>
          </w:rPr>
          <w:fldChar w:fldCharType="begin"/>
        </w:r>
        <w:r>
          <w:rPr>
            <w:noProof/>
            <w:webHidden/>
          </w:rPr>
          <w:instrText xml:space="preserve"> PAGEREF _Toc527990450 \h </w:instrText>
        </w:r>
        <w:r>
          <w:rPr>
            <w:noProof/>
            <w:webHidden/>
          </w:rPr>
        </w:r>
        <w:r>
          <w:rPr>
            <w:noProof/>
            <w:webHidden/>
          </w:rPr>
          <w:fldChar w:fldCharType="separate"/>
        </w:r>
        <w:r>
          <w:rPr>
            <w:noProof/>
            <w:webHidden/>
          </w:rPr>
          <w:t>15</w:t>
        </w:r>
        <w:r>
          <w:rPr>
            <w:noProof/>
            <w:webHidden/>
          </w:rPr>
          <w:fldChar w:fldCharType="end"/>
        </w:r>
      </w:hyperlink>
    </w:p>
    <w:p w14:paraId="5B3D78E5" w14:textId="0C457E40" w:rsidR="009D286F" w:rsidRDefault="009D286F">
      <w:pPr>
        <w:pStyle w:val="ndicedeilustraes"/>
        <w:tabs>
          <w:tab w:val="right" w:leader="dot" w:pos="9060"/>
        </w:tabs>
        <w:rPr>
          <w:rFonts w:asciiTheme="minorHAnsi" w:hAnsiTheme="minorHAnsi"/>
          <w:i w:val="0"/>
          <w:iCs w:val="0"/>
          <w:noProof/>
          <w:szCs w:val="22"/>
        </w:rPr>
      </w:pPr>
      <w:hyperlink w:anchor="_Toc527990451" w:history="1">
        <w:r w:rsidRPr="00097860">
          <w:rPr>
            <w:rStyle w:val="Hyperlink"/>
            <w:noProof/>
          </w:rPr>
          <w:t>Figura 4: Comunicação inicial e mobilização da EOR (Fonte: Witt|O’Brien’s).</w:t>
        </w:r>
        <w:r>
          <w:rPr>
            <w:noProof/>
            <w:webHidden/>
          </w:rPr>
          <w:tab/>
        </w:r>
        <w:r>
          <w:rPr>
            <w:noProof/>
            <w:webHidden/>
          </w:rPr>
          <w:fldChar w:fldCharType="begin"/>
        </w:r>
        <w:r>
          <w:rPr>
            <w:noProof/>
            <w:webHidden/>
          </w:rPr>
          <w:instrText xml:space="preserve"> PAGEREF _Toc527990451 \h </w:instrText>
        </w:r>
        <w:r>
          <w:rPr>
            <w:noProof/>
            <w:webHidden/>
          </w:rPr>
        </w:r>
        <w:r>
          <w:rPr>
            <w:noProof/>
            <w:webHidden/>
          </w:rPr>
          <w:fldChar w:fldCharType="separate"/>
        </w:r>
        <w:r>
          <w:rPr>
            <w:noProof/>
            <w:webHidden/>
          </w:rPr>
          <w:t>27</w:t>
        </w:r>
        <w:r>
          <w:rPr>
            <w:noProof/>
            <w:webHidden/>
          </w:rPr>
          <w:fldChar w:fldCharType="end"/>
        </w:r>
      </w:hyperlink>
    </w:p>
    <w:p w14:paraId="6053CE45" w14:textId="37B24F29" w:rsidR="009D286F" w:rsidRDefault="009D286F">
      <w:pPr>
        <w:pStyle w:val="ndicedeilustraes"/>
        <w:tabs>
          <w:tab w:val="right" w:leader="dot" w:pos="9060"/>
        </w:tabs>
        <w:rPr>
          <w:rFonts w:asciiTheme="minorHAnsi" w:hAnsiTheme="minorHAnsi"/>
          <w:i w:val="0"/>
          <w:iCs w:val="0"/>
          <w:noProof/>
          <w:szCs w:val="22"/>
        </w:rPr>
      </w:pPr>
      <w:hyperlink w:anchor="_Toc527990452" w:history="1">
        <w:r w:rsidRPr="00097860">
          <w:rPr>
            <w:rStyle w:val="Hyperlink"/>
            <w:noProof/>
          </w:rPr>
          <w:t>Figura 5: Processo de Planejamento “P” do ICS (Fonte: Adaptada de USCG, 2006).</w:t>
        </w:r>
        <w:r>
          <w:rPr>
            <w:noProof/>
            <w:webHidden/>
          </w:rPr>
          <w:tab/>
        </w:r>
        <w:r>
          <w:rPr>
            <w:noProof/>
            <w:webHidden/>
          </w:rPr>
          <w:fldChar w:fldCharType="begin"/>
        </w:r>
        <w:r>
          <w:rPr>
            <w:noProof/>
            <w:webHidden/>
          </w:rPr>
          <w:instrText xml:space="preserve"> PAGEREF _Toc527990452 \h </w:instrText>
        </w:r>
        <w:r>
          <w:rPr>
            <w:noProof/>
            <w:webHidden/>
          </w:rPr>
        </w:r>
        <w:r>
          <w:rPr>
            <w:noProof/>
            <w:webHidden/>
          </w:rPr>
          <w:fldChar w:fldCharType="separate"/>
        </w:r>
        <w:r>
          <w:rPr>
            <w:noProof/>
            <w:webHidden/>
          </w:rPr>
          <w:t>29</w:t>
        </w:r>
        <w:r>
          <w:rPr>
            <w:noProof/>
            <w:webHidden/>
          </w:rPr>
          <w:fldChar w:fldCharType="end"/>
        </w:r>
      </w:hyperlink>
    </w:p>
    <w:p w14:paraId="0A1D082F" w14:textId="5A0A25DB" w:rsidR="009D286F" w:rsidRDefault="009D286F">
      <w:pPr>
        <w:pStyle w:val="ndicedeilustraes"/>
        <w:tabs>
          <w:tab w:val="right" w:leader="dot" w:pos="9060"/>
        </w:tabs>
        <w:rPr>
          <w:rFonts w:asciiTheme="minorHAnsi" w:hAnsiTheme="minorHAnsi"/>
          <w:i w:val="0"/>
          <w:iCs w:val="0"/>
          <w:noProof/>
          <w:szCs w:val="22"/>
        </w:rPr>
      </w:pPr>
      <w:hyperlink w:anchor="_Toc527990453" w:history="1">
        <w:r w:rsidRPr="00097860">
          <w:rPr>
            <w:rStyle w:val="Hyperlink"/>
            <w:noProof/>
          </w:rPr>
          <w:t>Figura 6: Fluxo de Acionamento e notificações necessárias (Fonte: Modificado a partir do original em BP Energy, 2013).</w:t>
        </w:r>
        <w:r>
          <w:rPr>
            <w:noProof/>
            <w:webHidden/>
          </w:rPr>
          <w:tab/>
        </w:r>
        <w:r>
          <w:rPr>
            <w:noProof/>
            <w:webHidden/>
          </w:rPr>
          <w:fldChar w:fldCharType="begin"/>
        </w:r>
        <w:r>
          <w:rPr>
            <w:noProof/>
            <w:webHidden/>
          </w:rPr>
          <w:instrText xml:space="preserve"> PAGEREF _Toc527990453 \h </w:instrText>
        </w:r>
        <w:r>
          <w:rPr>
            <w:noProof/>
            <w:webHidden/>
          </w:rPr>
        </w:r>
        <w:r>
          <w:rPr>
            <w:noProof/>
            <w:webHidden/>
          </w:rPr>
          <w:fldChar w:fldCharType="separate"/>
        </w:r>
        <w:r>
          <w:rPr>
            <w:noProof/>
            <w:webHidden/>
          </w:rPr>
          <w:t>34</w:t>
        </w:r>
        <w:r>
          <w:rPr>
            <w:noProof/>
            <w:webHidden/>
          </w:rPr>
          <w:fldChar w:fldCharType="end"/>
        </w:r>
      </w:hyperlink>
    </w:p>
    <w:p w14:paraId="16CFA1C2" w14:textId="0B3CA522" w:rsidR="009D286F" w:rsidRDefault="009D286F">
      <w:pPr>
        <w:pStyle w:val="ndicedeilustraes"/>
        <w:tabs>
          <w:tab w:val="right" w:leader="dot" w:pos="9060"/>
        </w:tabs>
        <w:rPr>
          <w:rFonts w:asciiTheme="minorHAnsi" w:hAnsiTheme="minorHAnsi"/>
          <w:i w:val="0"/>
          <w:iCs w:val="0"/>
          <w:noProof/>
          <w:szCs w:val="22"/>
        </w:rPr>
      </w:pPr>
      <w:hyperlink w:anchor="_Toc527990454" w:history="1">
        <w:r w:rsidRPr="00097860">
          <w:rPr>
            <w:rStyle w:val="Hyperlink"/>
            <w:noProof/>
          </w:rPr>
          <w:t>Figura 7: Processo de mobilização de recursos táticos (Fonte: Witt|O’Brien’s).</w:t>
        </w:r>
        <w:r>
          <w:rPr>
            <w:noProof/>
            <w:webHidden/>
          </w:rPr>
          <w:tab/>
        </w:r>
        <w:r>
          <w:rPr>
            <w:noProof/>
            <w:webHidden/>
          </w:rPr>
          <w:fldChar w:fldCharType="begin"/>
        </w:r>
        <w:r>
          <w:rPr>
            <w:noProof/>
            <w:webHidden/>
          </w:rPr>
          <w:instrText xml:space="preserve"> PAGEREF _Toc527990454 \h </w:instrText>
        </w:r>
        <w:r>
          <w:rPr>
            <w:noProof/>
            <w:webHidden/>
          </w:rPr>
        </w:r>
        <w:r>
          <w:rPr>
            <w:noProof/>
            <w:webHidden/>
          </w:rPr>
          <w:fldChar w:fldCharType="separate"/>
        </w:r>
        <w:r>
          <w:rPr>
            <w:noProof/>
            <w:webHidden/>
          </w:rPr>
          <w:t>56</w:t>
        </w:r>
        <w:r>
          <w:rPr>
            <w:noProof/>
            <w:webHidden/>
          </w:rPr>
          <w:fldChar w:fldCharType="end"/>
        </w:r>
      </w:hyperlink>
    </w:p>
    <w:p w14:paraId="367D492C" w14:textId="369D2102" w:rsidR="009D286F" w:rsidRDefault="009D286F">
      <w:pPr>
        <w:pStyle w:val="ndicedeilustraes"/>
        <w:tabs>
          <w:tab w:val="right" w:leader="dot" w:pos="9060"/>
        </w:tabs>
        <w:rPr>
          <w:rFonts w:asciiTheme="minorHAnsi" w:hAnsiTheme="minorHAnsi"/>
          <w:i w:val="0"/>
          <w:iCs w:val="0"/>
          <w:noProof/>
          <w:szCs w:val="22"/>
        </w:rPr>
      </w:pPr>
      <w:hyperlink w:anchor="_Toc527990455" w:history="1">
        <w:r w:rsidRPr="00097860">
          <w:rPr>
            <w:rStyle w:val="Hyperlink"/>
            <w:noProof/>
          </w:rPr>
          <w:t>Figura 8: Processo de desmobilização de recursos táticos (Fonte: Witt|O’Brien’s).</w:t>
        </w:r>
        <w:r>
          <w:rPr>
            <w:noProof/>
            <w:webHidden/>
          </w:rPr>
          <w:tab/>
        </w:r>
        <w:r>
          <w:rPr>
            <w:noProof/>
            <w:webHidden/>
          </w:rPr>
          <w:fldChar w:fldCharType="begin"/>
        </w:r>
        <w:r>
          <w:rPr>
            <w:noProof/>
            <w:webHidden/>
          </w:rPr>
          <w:instrText xml:space="preserve"> PAGEREF _Toc527990455 \h </w:instrText>
        </w:r>
        <w:r>
          <w:rPr>
            <w:noProof/>
            <w:webHidden/>
          </w:rPr>
        </w:r>
        <w:r>
          <w:rPr>
            <w:noProof/>
            <w:webHidden/>
          </w:rPr>
          <w:fldChar w:fldCharType="separate"/>
        </w:r>
        <w:r>
          <w:rPr>
            <w:noProof/>
            <w:webHidden/>
          </w:rPr>
          <w:t>57</w:t>
        </w:r>
        <w:r>
          <w:rPr>
            <w:noProof/>
            <w:webHidden/>
          </w:rPr>
          <w:fldChar w:fldCharType="end"/>
        </w:r>
      </w:hyperlink>
    </w:p>
    <w:p w14:paraId="7F6CF193" w14:textId="2CC74825" w:rsidR="009D286F" w:rsidRDefault="009D286F">
      <w:pPr>
        <w:pStyle w:val="ndicedeilustraes"/>
        <w:tabs>
          <w:tab w:val="right" w:leader="dot" w:pos="9060"/>
        </w:tabs>
        <w:rPr>
          <w:rFonts w:asciiTheme="minorHAnsi" w:hAnsiTheme="minorHAnsi"/>
          <w:i w:val="0"/>
          <w:iCs w:val="0"/>
          <w:noProof/>
          <w:szCs w:val="22"/>
        </w:rPr>
      </w:pPr>
      <w:hyperlink w:anchor="_Toc527990456" w:history="1">
        <w:r w:rsidRPr="00097860">
          <w:rPr>
            <w:rStyle w:val="Hyperlink"/>
            <w:noProof/>
          </w:rPr>
          <w:t>Figura 9: Representação esquemática dos locais de descontaminação (situados na “Zona Morna”) no zoneamento das áreas de resposta à emergência (Fonte: Witt|O’Brien’s, 2014).</w:t>
        </w:r>
        <w:r>
          <w:rPr>
            <w:noProof/>
            <w:webHidden/>
          </w:rPr>
          <w:tab/>
        </w:r>
        <w:r>
          <w:rPr>
            <w:noProof/>
            <w:webHidden/>
          </w:rPr>
          <w:fldChar w:fldCharType="begin"/>
        </w:r>
        <w:r>
          <w:rPr>
            <w:noProof/>
            <w:webHidden/>
          </w:rPr>
          <w:instrText xml:space="preserve"> PAGEREF _Toc527990456 \h </w:instrText>
        </w:r>
        <w:r>
          <w:rPr>
            <w:noProof/>
            <w:webHidden/>
          </w:rPr>
        </w:r>
        <w:r>
          <w:rPr>
            <w:noProof/>
            <w:webHidden/>
          </w:rPr>
          <w:fldChar w:fldCharType="separate"/>
        </w:r>
        <w:r>
          <w:rPr>
            <w:noProof/>
            <w:webHidden/>
          </w:rPr>
          <w:t>59</w:t>
        </w:r>
        <w:r>
          <w:rPr>
            <w:noProof/>
            <w:webHidden/>
          </w:rPr>
          <w:fldChar w:fldCharType="end"/>
        </w:r>
      </w:hyperlink>
    </w:p>
    <w:p w14:paraId="117C9761" w14:textId="741C70D3" w:rsidR="009D286F" w:rsidRDefault="009D286F">
      <w:pPr>
        <w:pStyle w:val="ndicedeilustraes"/>
        <w:tabs>
          <w:tab w:val="right" w:leader="dot" w:pos="9060"/>
        </w:tabs>
        <w:rPr>
          <w:rFonts w:asciiTheme="minorHAnsi" w:hAnsiTheme="minorHAnsi"/>
          <w:i w:val="0"/>
          <w:iCs w:val="0"/>
          <w:noProof/>
          <w:szCs w:val="22"/>
        </w:rPr>
      </w:pPr>
      <w:hyperlink w:anchor="_Toc527990457" w:history="1">
        <w:r w:rsidRPr="00097860">
          <w:rPr>
            <w:rStyle w:val="Hyperlink"/>
            <w:noProof/>
          </w:rPr>
          <w:t>Figura 10: Condições limitantes de vazamentos para aplicação de cada técnica de resposta (Fonte: Modificado a partir de original em BP, 2012).</w:t>
        </w:r>
        <w:r>
          <w:rPr>
            <w:noProof/>
            <w:webHidden/>
          </w:rPr>
          <w:tab/>
        </w:r>
        <w:r>
          <w:rPr>
            <w:noProof/>
            <w:webHidden/>
          </w:rPr>
          <w:fldChar w:fldCharType="begin"/>
        </w:r>
        <w:r>
          <w:rPr>
            <w:noProof/>
            <w:webHidden/>
          </w:rPr>
          <w:instrText xml:space="preserve"> PAGEREF _Toc527990457 \h </w:instrText>
        </w:r>
        <w:r>
          <w:rPr>
            <w:noProof/>
            <w:webHidden/>
          </w:rPr>
        </w:r>
        <w:r>
          <w:rPr>
            <w:noProof/>
            <w:webHidden/>
          </w:rPr>
          <w:fldChar w:fldCharType="separate"/>
        </w:r>
        <w:r>
          <w:rPr>
            <w:noProof/>
            <w:webHidden/>
          </w:rPr>
          <w:t>69</w:t>
        </w:r>
        <w:r>
          <w:rPr>
            <w:noProof/>
            <w:webHidden/>
          </w:rPr>
          <w:fldChar w:fldCharType="end"/>
        </w:r>
      </w:hyperlink>
    </w:p>
    <w:p w14:paraId="73C82B31" w14:textId="0DA53976" w:rsidR="009D286F" w:rsidRDefault="009D286F">
      <w:pPr>
        <w:pStyle w:val="ndicedeilustraes"/>
        <w:tabs>
          <w:tab w:val="right" w:leader="dot" w:pos="9060"/>
        </w:tabs>
        <w:rPr>
          <w:rFonts w:asciiTheme="minorHAnsi" w:hAnsiTheme="minorHAnsi"/>
          <w:i w:val="0"/>
          <w:iCs w:val="0"/>
          <w:noProof/>
          <w:szCs w:val="22"/>
        </w:rPr>
      </w:pPr>
      <w:hyperlink w:anchor="_Toc527990458" w:history="1">
        <w:r w:rsidRPr="00097860">
          <w:rPr>
            <w:rStyle w:val="Hyperlink"/>
            <w:noProof/>
          </w:rPr>
          <w:t>Figura 11: Esquema de degradação de óleo dispersado quimicamente (Fonte: Modificado a partir do original em BP, 2012).</w:t>
        </w:r>
        <w:r>
          <w:rPr>
            <w:noProof/>
            <w:webHidden/>
          </w:rPr>
          <w:tab/>
        </w:r>
        <w:r>
          <w:rPr>
            <w:noProof/>
            <w:webHidden/>
          </w:rPr>
          <w:fldChar w:fldCharType="begin"/>
        </w:r>
        <w:r>
          <w:rPr>
            <w:noProof/>
            <w:webHidden/>
          </w:rPr>
          <w:instrText xml:space="preserve"> PAGEREF _Toc527990458 \h </w:instrText>
        </w:r>
        <w:r>
          <w:rPr>
            <w:noProof/>
            <w:webHidden/>
          </w:rPr>
        </w:r>
        <w:r>
          <w:rPr>
            <w:noProof/>
            <w:webHidden/>
          </w:rPr>
          <w:fldChar w:fldCharType="separate"/>
        </w:r>
        <w:r>
          <w:rPr>
            <w:noProof/>
            <w:webHidden/>
          </w:rPr>
          <w:t>71</w:t>
        </w:r>
        <w:r>
          <w:rPr>
            <w:noProof/>
            <w:webHidden/>
          </w:rPr>
          <w:fldChar w:fldCharType="end"/>
        </w:r>
      </w:hyperlink>
    </w:p>
    <w:p w14:paraId="612DF787" w14:textId="115621F7" w:rsidR="009D286F" w:rsidRDefault="009D286F">
      <w:pPr>
        <w:pStyle w:val="ndicedeilustraes"/>
        <w:tabs>
          <w:tab w:val="right" w:leader="dot" w:pos="9060"/>
        </w:tabs>
        <w:rPr>
          <w:rFonts w:asciiTheme="minorHAnsi" w:hAnsiTheme="minorHAnsi"/>
          <w:i w:val="0"/>
          <w:iCs w:val="0"/>
          <w:noProof/>
          <w:szCs w:val="22"/>
        </w:rPr>
      </w:pPr>
      <w:hyperlink w:anchor="_Toc527990459" w:history="1">
        <w:r w:rsidRPr="00097860">
          <w:rPr>
            <w:rStyle w:val="Hyperlink"/>
            <w:noProof/>
          </w:rPr>
          <w:t>Figura 12: Guia da ITOPF para estimar a porcentagem de cobertura de uma área (Fonte: ITOPF, 2009).</w:t>
        </w:r>
        <w:r>
          <w:rPr>
            <w:noProof/>
            <w:webHidden/>
          </w:rPr>
          <w:tab/>
        </w:r>
        <w:r>
          <w:rPr>
            <w:noProof/>
            <w:webHidden/>
          </w:rPr>
          <w:fldChar w:fldCharType="begin"/>
        </w:r>
        <w:r>
          <w:rPr>
            <w:noProof/>
            <w:webHidden/>
          </w:rPr>
          <w:instrText xml:space="preserve"> PAGEREF _Toc527990459 \h </w:instrText>
        </w:r>
        <w:r>
          <w:rPr>
            <w:noProof/>
            <w:webHidden/>
          </w:rPr>
        </w:r>
        <w:r>
          <w:rPr>
            <w:noProof/>
            <w:webHidden/>
          </w:rPr>
          <w:fldChar w:fldCharType="separate"/>
        </w:r>
        <w:r>
          <w:rPr>
            <w:noProof/>
            <w:webHidden/>
          </w:rPr>
          <w:t>81</w:t>
        </w:r>
        <w:r>
          <w:rPr>
            <w:noProof/>
            <w:webHidden/>
          </w:rPr>
          <w:fldChar w:fldCharType="end"/>
        </w:r>
      </w:hyperlink>
    </w:p>
    <w:p w14:paraId="3B7DD248" w14:textId="1C9C4714" w:rsidR="009D286F" w:rsidRDefault="009D286F">
      <w:pPr>
        <w:pStyle w:val="ndicedeilustraes"/>
        <w:tabs>
          <w:tab w:val="right" w:leader="dot" w:pos="9060"/>
        </w:tabs>
        <w:rPr>
          <w:rFonts w:asciiTheme="minorHAnsi" w:hAnsiTheme="minorHAnsi"/>
          <w:i w:val="0"/>
          <w:iCs w:val="0"/>
          <w:noProof/>
          <w:szCs w:val="22"/>
        </w:rPr>
      </w:pPr>
      <w:hyperlink w:anchor="_Toc527990460" w:history="1">
        <w:r w:rsidRPr="00097860">
          <w:rPr>
            <w:rStyle w:val="Hyperlink"/>
            <w:noProof/>
          </w:rPr>
          <w:t>Figura 13: Exemplo de Bóia de deriva (drifting buoy). (Fonte: Prooceano, 2015).</w:t>
        </w:r>
        <w:r>
          <w:rPr>
            <w:noProof/>
            <w:webHidden/>
          </w:rPr>
          <w:tab/>
        </w:r>
        <w:r>
          <w:rPr>
            <w:noProof/>
            <w:webHidden/>
          </w:rPr>
          <w:fldChar w:fldCharType="begin"/>
        </w:r>
        <w:r>
          <w:rPr>
            <w:noProof/>
            <w:webHidden/>
          </w:rPr>
          <w:instrText xml:space="preserve"> PAGEREF _Toc527990460 \h </w:instrText>
        </w:r>
        <w:r>
          <w:rPr>
            <w:noProof/>
            <w:webHidden/>
          </w:rPr>
        </w:r>
        <w:r>
          <w:rPr>
            <w:noProof/>
            <w:webHidden/>
          </w:rPr>
          <w:fldChar w:fldCharType="separate"/>
        </w:r>
        <w:r>
          <w:rPr>
            <w:noProof/>
            <w:webHidden/>
          </w:rPr>
          <w:t>92</w:t>
        </w:r>
        <w:r>
          <w:rPr>
            <w:noProof/>
            <w:webHidden/>
          </w:rPr>
          <w:fldChar w:fldCharType="end"/>
        </w:r>
      </w:hyperlink>
    </w:p>
    <w:p w14:paraId="64F8DEA2" w14:textId="6F6D3021" w:rsidR="009D286F" w:rsidRDefault="009D286F">
      <w:pPr>
        <w:pStyle w:val="ndicedeilustraes"/>
        <w:tabs>
          <w:tab w:val="right" w:leader="dot" w:pos="9060"/>
        </w:tabs>
        <w:rPr>
          <w:rFonts w:asciiTheme="minorHAnsi" w:hAnsiTheme="minorHAnsi"/>
          <w:i w:val="0"/>
          <w:iCs w:val="0"/>
          <w:noProof/>
          <w:szCs w:val="22"/>
        </w:rPr>
      </w:pPr>
      <w:hyperlink w:anchor="_Toc527990461" w:history="1">
        <w:r w:rsidRPr="00097860">
          <w:rPr>
            <w:rStyle w:val="Hyperlink"/>
            <w:noProof/>
          </w:rPr>
          <w:t>Figura 14: Amostras de resultados de saída do modelo (Fonte: Prooceano, 2015).</w:t>
        </w:r>
        <w:r>
          <w:rPr>
            <w:noProof/>
            <w:webHidden/>
          </w:rPr>
          <w:tab/>
        </w:r>
        <w:r>
          <w:rPr>
            <w:noProof/>
            <w:webHidden/>
          </w:rPr>
          <w:fldChar w:fldCharType="begin"/>
        </w:r>
        <w:r>
          <w:rPr>
            <w:noProof/>
            <w:webHidden/>
          </w:rPr>
          <w:instrText xml:space="preserve"> PAGEREF _Toc527990461 \h </w:instrText>
        </w:r>
        <w:r>
          <w:rPr>
            <w:noProof/>
            <w:webHidden/>
          </w:rPr>
        </w:r>
        <w:r>
          <w:rPr>
            <w:noProof/>
            <w:webHidden/>
          </w:rPr>
          <w:fldChar w:fldCharType="separate"/>
        </w:r>
        <w:r>
          <w:rPr>
            <w:noProof/>
            <w:webHidden/>
          </w:rPr>
          <w:t>97</w:t>
        </w:r>
        <w:r>
          <w:rPr>
            <w:noProof/>
            <w:webHidden/>
          </w:rPr>
          <w:fldChar w:fldCharType="end"/>
        </w:r>
      </w:hyperlink>
    </w:p>
    <w:p w14:paraId="3A81DBD2" w14:textId="0A7BEACB" w:rsidR="009D286F" w:rsidRDefault="009D286F">
      <w:pPr>
        <w:pStyle w:val="ndicedeilustraes"/>
        <w:tabs>
          <w:tab w:val="right" w:leader="dot" w:pos="9060"/>
        </w:tabs>
        <w:rPr>
          <w:rFonts w:asciiTheme="minorHAnsi" w:hAnsiTheme="minorHAnsi"/>
          <w:i w:val="0"/>
          <w:iCs w:val="0"/>
          <w:noProof/>
          <w:szCs w:val="22"/>
        </w:rPr>
      </w:pPr>
      <w:hyperlink w:anchor="_Toc527990462" w:history="1">
        <w:r w:rsidRPr="00097860">
          <w:rPr>
            <w:rStyle w:val="Hyperlink"/>
            <w:noProof/>
          </w:rPr>
          <w:t>Figura 15: Sistema com tecnologia inovadora de contenção e recolhimento – Current Buster lançado com Boom Vane (Fonte: adaptado de NOFI Current Buster®, 2014).</w:t>
        </w:r>
        <w:r>
          <w:rPr>
            <w:noProof/>
            <w:webHidden/>
          </w:rPr>
          <w:tab/>
        </w:r>
        <w:r>
          <w:rPr>
            <w:noProof/>
            <w:webHidden/>
          </w:rPr>
          <w:fldChar w:fldCharType="begin"/>
        </w:r>
        <w:r>
          <w:rPr>
            <w:noProof/>
            <w:webHidden/>
          </w:rPr>
          <w:instrText xml:space="preserve"> PAGEREF _Toc527990462 \h </w:instrText>
        </w:r>
        <w:r>
          <w:rPr>
            <w:noProof/>
            <w:webHidden/>
          </w:rPr>
        </w:r>
        <w:r>
          <w:rPr>
            <w:noProof/>
            <w:webHidden/>
          </w:rPr>
          <w:fldChar w:fldCharType="separate"/>
        </w:r>
        <w:r>
          <w:rPr>
            <w:noProof/>
            <w:webHidden/>
          </w:rPr>
          <w:t>101</w:t>
        </w:r>
        <w:r>
          <w:rPr>
            <w:noProof/>
            <w:webHidden/>
          </w:rPr>
          <w:fldChar w:fldCharType="end"/>
        </w:r>
      </w:hyperlink>
    </w:p>
    <w:p w14:paraId="22DAE181" w14:textId="33337CE6" w:rsidR="009D286F" w:rsidRDefault="009D286F">
      <w:pPr>
        <w:pStyle w:val="ndicedeilustraes"/>
        <w:tabs>
          <w:tab w:val="right" w:leader="dot" w:pos="9060"/>
        </w:tabs>
        <w:rPr>
          <w:rFonts w:asciiTheme="minorHAnsi" w:hAnsiTheme="minorHAnsi"/>
          <w:i w:val="0"/>
          <w:iCs w:val="0"/>
          <w:noProof/>
          <w:szCs w:val="22"/>
        </w:rPr>
      </w:pPr>
      <w:hyperlink w:anchor="_Toc527990463" w:history="1">
        <w:r w:rsidRPr="00097860">
          <w:rPr>
            <w:rStyle w:val="Hyperlink"/>
            <w:noProof/>
          </w:rPr>
          <w:t>Figura 16: Regiões da mancha onde a dispersão mecânica pode apresentar maior eficiência – áreas com aparência rainbow (arco-íris) e sheen (brilhosa) (Fonte: Adaptado de BAOAC PHOTO ATLAS, 2011).</w:t>
        </w:r>
        <w:r>
          <w:rPr>
            <w:noProof/>
            <w:webHidden/>
          </w:rPr>
          <w:tab/>
        </w:r>
        <w:r>
          <w:rPr>
            <w:noProof/>
            <w:webHidden/>
          </w:rPr>
          <w:fldChar w:fldCharType="begin"/>
        </w:r>
        <w:r>
          <w:rPr>
            <w:noProof/>
            <w:webHidden/>
          </w:rPr>
          <w:instrText xml:space="preserve"> PAGEREF _Toc527990463 \h </w:instrText>
        </w:r>
        <w:r>
          <w:rPr>
            <w:noProof/>
            <w:webHidden/>
          </w:rPr>
        </w:r>
        <w:r>
          <w:rPr>
            <w:noProof/>
            <w:webHidden/>
          </w:rPr>
          <w:fldChar w:fldCharType="separate"/>
        </w:r>
        <w:r>
          <w:rPr>
            <w:noProof/>
            <w:webHidden/>
          </w:rPr>
          <w:t>108</w:t>
        </w:r>
        <w:r>
          <w:rPr>
            <w:noProof/>
            <w:webHidden/>
          </w:rPr>
          <w:fldChar w:fldCharType="end"/>
        </w:r>
      </w:hyperlink>
    </w:p>
    <w:p w14:paraId="4209E004" w14:textId="3E41AB4C" w:rsidR="009D286F" w:rsidRDefault="009D286F">
      <w:pPr>
        <w:pStyle w:val="ndicedeilustraes"/>
        <w:tabs>
          <w:tab w:val="right" w:leader="dot" w:pos="9060"/>
        </w:tabs>
        <w:rPr>
          <w:rFonts w:asciiTheme="minorHAnsi" w:hAnsiTheme="minorHAnsi"/>
          <w:i w:val="0"/>
          <w:iCs w:val="0"/>
          <w:noProof/>
          <w:szCs w:val="22"/>
        </w:rPr>
      </w:pPr>
      <w:hyperlink w:anchor="_Toc527990464" w:history="1">
        <w:r w:rsidRPr="00097860">
          <w:rPr>
            <w:rStyle w:val="Hyperlink"/>
            <w:noProof/>
          </w:rPr>
          <w:t xml:space="preserve">Figura 17: Área com restrição ao uso de dispersantes químicos, considerando os critérios </w:t>
        </w:r>
        <w:r w:rsidRPr="00097860">
          <w:rPr>
            <w:rStyle w:val="Hyperlink"/>
            <w:noProof/>
            <w:highlight w:val="lightGray"/>
          </w:rPr>
          <w:t>da Resolução Conama 472/15 – Art 8º</w:t>
        </w:r>
        <w:r w:rsidRPr="00097860">
          <w:rPr>
            <w:rStyle w:val="Hyperlink"/>
            <w:noProof/>
          </w:rPr>
          <w:t xml:space="preserve">. (Fonte: </w:t>
        </w:r>
        <w:r w:rsidRPr="00097860">
          <w:rPr>
            <w:rStyle w:val="Hyperlink"/>
            <w:noProof/>
            <w:highlight w:val="lightGray"/>
          </w:rPr>
          <w:t>Alterado a partir de</w:t>
        </w:r>
        <w:r w:rsidRPr="00097860">
          <w:rPr>
            <w:rStyle w:val="Hyperlink"/>
            <w:noProof/>
          </w:rPr>
          <w:t xml:space="preserve"> Witt|O’Brien’s).</w:t>
        </w:r>
        <w:r>
          <w:rPr>
            <w:noProof/>
            <w:webHidden/>
          </w:rPr>
          <w:tab/>
        </w:r>
        <w:r>
          <w:rPr>
            <w:noProof/>
            <w:webHidden/>
          </w:rPr>
          <w:fldChar w:fldCharType="begin"/>
        </w:r>
        <w:r>
          <w:rPr>
            <w:noProof/>
            <w:webHidden/>
          </w:rPr>
          <w:instrText xml:space="preserve"> PAGEREF _Toc527990464 \h </w:instrText>
        </w:r>
        <w:r>
          <w:rPr>
            <w:noProof/>
            <w:webHidden/>
          </w:rPr>
        </w:r>
        <w:r>
          <w:rPr>
            <w:noProof/>
            <w:webHidden/>
          </w:rPr>
          <w:fldChar w:fldCharType="separate"/>
        </w:r>
        <w:r>
          <w:rPr>
            <w:noProof/>
            <w:webHidden/>
          </w:rPr>
          <w:t>110</w:t>
        </w:r>
        <w:r>
          <w:rPr>
            <w:noProof/>
            <w:webHidden/>
          </w:rPr>
          <w:fldChar w:fldCharType="end"/>
        </w:r>
      </w:hyperlink>
    </w:p>
    <w:p w14:paraId="0FE3BE3E" w14:textId="5E2A5E89" w:rsidR="009D286F" w:rsidRDefault="009D286F">
      <w:pPr>
        <w:pStyle w:val="ndicedeilustraes"/>
        <w:tabs>
          <w:tab w:val="right" w:leader="dot" w:pos="9060"/>
        </w:tabs>
        <w:rPr>
          <w:rFonts w:asciiTheme="minorHAnsi" w:hAnsiTheme="minorHAnsi"/>
          <w:i w:val="0"/>
          <w:iCs w:val="0"/>
          <w:noProof/>
          <w:szCs w:val="22"/>
        </w:rPr>
      </w:pPr>
      <w:hyperlink w:anchor="_Toc527990465" w:history="1">
        <w:r w:rsidRPr="00097860">
          <w:rPr>
            <w:rStyle w:val="Hyperlink"/>
            <w:b/>
            <w:noProof/>
          </w:rPr>
          <w:t xml:space="preserve">Figura 18: </w:t>
        </w:r>
        <w:r w:rsidRPr="00097860">
          <w:rPr>
            <w:rStyle w:val="Hyperlink"/>
            <w:rFonts w:cstheme="majorHAnsi"/>
            <w:b/>
            <w:noProof/>
          </w:rPr>
          <w:t>Sub-dosagem – aplicação de menos dispersante que o requerido, significa que a pulverização foi ineficaz. O óleo permanecerá na superfície no seu estado normal (Fonte: OSRL, 2011).</w:t>
        </w:r>
        <w:r>
          <w:rPr>
            <w:noProof/>
            <w:webHidden/>
          </w:rPr>
          <w:tab/>
        </w:r>
        <w:r>
          <w:rPr>
            <w:noProof/>
            <w:webHidden/>
          </w:rPr>
          <w:fldChar w:fldCharType="begin"/>
        </w:r>
        <w:r>
          <w:rPr>
            <w:noProof/>
            <w:webHidden/>
          </w:rPr>
          <w:instrText xml:space="preserve"> PAGEREF _Toc527990465 \h </w:instrText>
        </w:r>
        <w:r>
          <w:rPr>
            <w:noProof/>
            <w:webHidden/>
          </w:rPr>
        </w:r>
        <w:r>
          <w:rPr>
            <w:noProof/>
            <w:webHidden/>
          </w:rPr>
          <w:fldChar w:fldCharType="separate"/>
        </w:r>
        <w:r>
          <w:rPr>
            <w:noProof/>
            <w:webHidden/>
          </w:rPr>
          <w:t>112</w:t>
        </w:r>
        <w:r>
          <w:rPr>
            <w:noProof/>
            <w:webHidden/>
          </w:rPr>
          <w:fldChar w:fldCharType="end"/>
        </w:r>
      </w:hyperlink>
    </w:p>
    <w:p w14:paraId="2F05FA43" w14:textId="14823C35" w:rsidR="009D286F" w:rsidRDefault="009D286F">
      <w:pPr>
        <w:pStyle w:val="ndicedeilustraes"/>
        <w:tabs>
          <w:tab w:val="right" w:leader="dot" w:pos="9060"/>
        </w:tabs>
        <w:rPr>
          <w:rFonts w:asciiTheme="minorHAnsi" w:hAnsiTheme="minorHAnsi"/>
          <w:i w:val="0"/>
          <w:iCs w:val="0"/>
          <w:noProof/>
          <w:szCs w:val="22"/>
        </w:rPr>
      </w:pPr>
      <w:hyperlink w:anchor="_Toc527990466" w:history="1">
        <w:r w:rsidRPr="00097860">
          <w:rPr>
            <w:rStyle w:val="Hyperlink"/>
            <w:b/>
            <w:noProof/>
          </w:rPr>
          <w:t xml:space="preserve">Figura 19: </w:t>
        </w:r>
        <w:r w:rsidRPr="00097860">
          <w:rPr>
            <w:rStyle w:val="Hyperlink"/>
            <w:rFonts w:cstheme="majorHAnsi"/>
            <w:b/>
            <w:noProof/>
          </w:rPr>
          <w:t>Concentração efetiva – quando o dispersante é eficientemente aplicado, uma pluma colorida na cor cinza ou café será visível na água. Também pode haver um movimento perceptível de óleo na superfície (Fonte: OSRL, 2011).</w:t>
        </w:r>
        <w:r>
          <w:rPr>
            <w:noProof/>
            <w:webHidden/>
          </w:rPr>
          <w:tab/>
        </w:r>
        <w:r>
          <w:rPr>
            <w:noProof/>
            <w:webHidden/>
          </w:rPr>
          <w:fldChar w:fldCharType="begin"/>
        </w:r>
        <w:r>
          <w:rPr>
            <w:noProof/>
            <w:webHidden/>
          </w:rPr>
          <w:instrText xml:space="preserve"> PAGEREF _Toc527990466 \h </w:instrText>
        </w:r>
        <w:r>
          <w:rPr>
            <w:noProof/>
            <w:webHidden/>
          </w:rPr>
        </w:r>
        <w:r>
          <w:rPr>
            <w:noProof/>
            <w:webHidden/>
          </w:rPr>
          <w:fldChar w:fldCharType="separate"/>
        </w:r>
        <w:r>
          <w:rPr>
            <w:noProof/>
            <w:webHidden/>
          </w:rPr>
          <w:t>112</w:t>
        </w:r>
        <w:r>
          <w:rPr>
            <w:noProof/>
            <w:webHidden/>
          </w:rPr>
          <w:fldChar w:fldCharType="end"/>
        </w:r>
      </w:hyperlink>
    </w:p>
    <w:p w14:paraId="135E967D" w14:textId="0F2FBA52" w:rsidR="009D286F" w:rsidRDefault="009D286F">
      <w:pPr>
        <w:pStyle w:val="ndicedeilustraes"/>
        <w:tabs>
          <w:tab w:val="right" w:leader="dot" w:pos="9060"/>
        </w:tabs>
        <w:rPr>
          <w:rFonts w:asciiTheme="minorHAnsi" w:hAnsiTheme="minorHAnsi"/>
          <w:i w:val="0"/>
          <w:iCs w:val="0"/>
          <w:noProof/>
          <w:szCs w:val="22"/>
        </w:rPr>
      </w:pPr>
      <w:hyperlink w:anchor="_Toc527990467" w:history="1">
        <w:r w:rsidRPr="00097860">
          <w:rPr>
            <w:rStyle w:val="Hyperlink"/>
            <w:noProof/>
          </w:rPr>
          <w:t xml:space="preserve">Figura 20: Sobredosagem – a aplicação em excesso de dispersante em águas claras irá resultar em uma pluma branca nebulosa aparecendo na água </w:t>
        </w:r>
        <w:r w:rsidRPr="00097860">
          <w:rPr>
            <w:rStyle w:val="Hyperlink"/>
            <w:rFonts w:cstheme="majorHAnsi"/>
            <w:noProof/>
          </w:rPr>
          <w:t>(</w:t>
        </w:r>
        <w:r w:rsidRPr="00097860">
          <w:rPr>
            <w:rStyle w:val="Hyperlink"/>
            <w:noProof/>
          </w:rPr>
          <w:t>Fonte: OSRL, 2011).</w:t>
        </w:r>
        <w:r>
          <w:rPr>
            <w:noProof/>
            <w:webHidden/>
          </w:rPr>
          <w:tab/>
        </w:r>
        <w:r>
          <w:rPr>
            <w:noProof/>
            <w:webHidden/>
          </w:rPr>
          <w:fldChar w:fldCharType="begin"/>
        </w:r>
        <w:r>
          <w:rPr>
            <w:noProof/>
            <w:webHidden/>
          </w:rPr>
          <w:instrText xml:space="preserve"> PAGEREF _Toc527990467 \h </w:instrText>
        </w:r>
        <w:r>
          <w:rPr>
            <w:noProof/>
            <w:webHidden/>
          </w:rPr>
        </w:r>
        <w:r>
          <w:rPr>
            <w:noProof/>
            <w:webHidden/>
          </w:rPr>
          <w:fldChar w:fldCharType="separate"/>
        </w:r>
        <w:r>
          <w:rPr>
            <w:noProof/>
            <w:webHidden/>
          </w:rPr>
          <w:t>112</w:t>
        </w:r>
        <w:r>
          <w:rPr>
            <w:noProof/>
            <w:webHidden/>
          </w:rPr>
          <w:fldChar w:fldCharType="end"/>
        </w:r>
      </w:hyperlink>
    </w:p>
    <w:p w14:paraId="2EBFEB17" w14:textId="08997CBA" w:rsidR="009D286F" w:rsidRDefault="009D286F">
      <w:pPr>
        <w:pStyle w:val="ndicedeilustraes"/>
        <w:tabs>
          <w:tab w:val="right" w:leader="dot" w:pos="9060"/>
        </w:tabs>
        <w:rPr>
          <w:rFonts w:asciiTheme="minorHAnsi" w:hAnsiTheme="minorHAnsi"/>
          <w:i w:val="0"/>
          <w:iCs w:val="0"/>
          <w:noProof/>
          <w:szCs w:val="22"/>
        </w:rPr>
      </w:pPr>
      <w:hyperlink w:anchor="_Toc527990468" w:history="1">
        <w:r w:rsidRPr="00097860">
          <w:rPr>
            <w:rStyle w:val="Hyperlink"/>
            <w:noProof/>
          </w:rPr>
          <w:t xml:space="preserve">Figura 21: Esquema do sistema de pulverização NeatSweep (Fonte: </w:t>
        </w:r>
        <w:r w:rsidRPr="00097860">
          <w:rPr>
            <w:rStyle w:val="Hyperlink"/>
            <w:rFonts w:cstheme="majorHAnsi"/>
            <w:noProof/>
          </w:rPr>
          <w:t>Elastec American Marine, 2012).</w:t>
        </w:r>
        <w:r>
          <w:rPr>
            <w:noProof/>
            <w:webHidden/>
          </w:rPr>
          <w:tab/>
        </w:r>
        <w:r>
          <w:rPr>
            <w:noProof/>
            <w:webHidden/>
          </w:rPr>
          <w:fldChar w:fldCharType="begin"/>
        </w:r>
        <w:r>
          <w:rPr>
            <w:noProof/>
            <w:webHidden/>
          </w:rPr>
          <w:instrText xml:space="preserve"> PAGEREF _Toc527990468 \h </w:instrText>
        </w:r>
        <w:r>
          <w:rPr>
            <w:noProof/>
            <w:webHidden/>
          </w:rPr>
        </w:r>
        <w:r>
          <w:rPr>
            <w:noProof/>
            <w:webHidden/>
          </w:rPr>
          <w:fldChar w:fldCharType="separate"/>
        </w:r>
        <w:r>
          <w:rPr>
            <w:noProof/>
            <w:webHidden/>
          </w:rPr>
          <w:t>116</w:t>
        </w:r>
        <w:r>
          <w:rPr>
            <w:noProof/>
            <w:webHidden/>
          </w:rPr>
          <w:fldChar w:fldCharType="end"/>
        </w:r>
      </w:hyperlink>
    </w:p>
    <w:p w14:paraId="13AA953E" w14:textId="462B1DE0" w:rsidR="009D286F" w:rsidRDefault="009D286F">
      <w:pPr>
        <w:pStyle w:val="ndicedeilustraes"/>
        <w:tabs>
          <w:tab w:val="right" w:leader="dot" w:pos="9060"/>
        </w:tabs>
        <w:rPr>
          <w:rFonts w:asciiTheme="minorHAnsi" w:hAnsiTheme="minorHAnsi"/>
          <w:i w:val="0"/>
          <w:iCs w:val="0"/>
          <w:noProof/>
          <w:szCs w:val="22"/>
        </w:rPr>
      </w:pPr>
      <w:hyperlink w:anchor="_Toc527990469" w:history="1">
        <w:r w:rsidRPr="00097860">
          <w:rPr>
            <w:rStyle w:val="Hyperlink"/>
            <w:noProof/>
          </w:rPr>
          <w:t xml:space="preserve">Figura 22: Sistema NeatSweep – dispositivo de aplicação de dispersante </w:t>
        </w:r>
        <w:r w:rsidRPr="00097860">
          <w:rPr>
            <w:rStyle w:val="Hyperlink"/>
            <w:rFonts w:cstheme="majorHAnsi"/>
            <w:noProof/>
          </w:rPr>
          <w:t>(Fonte: Elastec American Marine, 2012).</w:t>
        </w:r>
        <w:r>
          <w:rPr>
            <w:noProof/>
            <w:webHidden/>
          </w:rPr>
          <w:tab/>
        </w:r>
        <w:r>
          <w:rPr>
            <w:noProof/>
            <w:webHidden/>
          </w:rPr>
          <w:fldChar w:fldCharType="begin"/>
        </w:r>
        <w:r>
          <w:rPr>
            <w:noProof/>
            <w:webHidden/>
          </w:rPr>
          <w:instrText xml:space="preserve"> PAGEREF _Toc527990469 \h </w:instrText>
        </w:r>
        <w:r>
          <w:rPr>
            <w:noProof/>
            <w:webHidden/>
          </w:rPr>
        </w:r>
        <w:r>
          <w:rPr>
            <w:noProof/>
            <w:webHidden/>
          </w:rPr>
          <w:fldChar w:fldCharType="separate"/>
        </w:r>
        <w:r>
          <w:rPr>
            <w:noProof/>
            <w:webHidden/>
          </w:rPr>
          <w:t>117</w:t>
        </w:r>
        <w:r>
          <w:rPr>
            <w:noProof/>
            <w:webHidden/>
          </w:rPr>
          <w:fldChar w:fldCharType="end"/>
        </w:r>
      </w:hyperlink>
    </w:p>
    <w:p w14:paraId="122C34BB" w14:textId="63A42B03" w:rsidR="009D286F" w:rsidRDefault="009D286F">
      <w:pPr>
        <w:pStyle w:val="ndicedeilustraes"/>
        <w:tabs>
          <w:tab w:val="right" w:leader="dot" w:pos="9060"/>
        </w:tabs>
        <w:rPr>
          <w:rFonts w:asciiTheme="minorHAnsi" w:hAnsiTheme="minorHAnsi"/>
          <w:i w:val="0"/>
          <w:iCs w:val="0"/>
          <w:noProof/>
          <w:szCs w:val="22"/>
        </w:rPr>
      </w:pPr>
      <w:hyperlink w:anchor="_Toc527990470" w:history="1">
        <w:r w:rsidRPr="00097860">
          <w:rPr>
            <w:rStyle w:val="Hyperlink"/>
            <w:noProof/>
          </w:rPr>
          <w:t xml:space="preserve">Figura 23: </w:t>
        </w:r>
        <w:r w:rsidRPr="00097860">
          <w:rPr>
            <w:rStyle w:val="Hyperlink"/>
            <w:rFonts w:cstheme="majorHAnsi"/>
            <w:noProof/>
          </w:rPr>
          <w:t>Sistema NeatSweep montado (Fonte: Elastec American Marine, 2012).</w:t>
        </w:r>
        <w:r>
          <w:rPr>
            <w:noProof/>
            <w:webHidden/>
          </w:rPr>
          <w:tab/>
        </w:r>
        <w:r>
          <w:rPr>
            <w:noProof/>
            <w:webHidden/>
          </w:rPr>
          <w:fldChar w:fldCharType="begin"/>
        </w:r>
        <w:r>
          <w:rPr>
            <w:noProof/>
            <w:webHidden/>
          </w:rPr>
          <w:instrText xml:space="preserve"> PAGEREF _Toc527990470 \h </w:instrText>
        </w:r>
        <w:r>
          <w:rPr>
            <w:noProof/>
            <w:webHidden/>
          </w:rPr>
        </w:r>
        <w:r>
          <w:rPr>
            <w:noProof/>
            <w:webHidden/>
          </w:rPr>
          <w:fldChar w:fldCharType="separate"/>
        </w:r>
        <w:r>
          <w:rPr>
            <w:noProof/>
            <w:webHidden/>
          </w:rPr>
          <w:t>117</w:t>
        </w:r>
        <w:r>
          <w:rPr>
            <w:noProof/>
            <w:webHidden/>
          </w:rPr>
          <w:fldChar w:fldCharType="end"/>
        </w:r>
      </w:hyperlink>
    </w:p>
    <w:p w14:paraId="44EFAF2B" w14:textId="5ED3286B" w:rsidR="009D286F" w:rsidRDefault="009D286F">
      <w:pPr>
        <w:pStyle w:val="ndicedeilustraes"/>
        <w:tabs>
          <w:tab w:val="right" w:leader="dot" w:pos="9060"/>
        </w:tabs>
        <w:rPr>
          <w:rFonts w:asciiTheme="minorHAnsi" w:hAnsiTheme="minorHAnsi"/>
          <w:i w:val="0"/>
          <w:iCs w:val="0"/>
          <w:noProof/>
          <w:szCs w:val="22"/>
        </w:rPr>
      </w:pPr>
      <w:hyperlink w:anchor="_Toc527990471" w:history="1">
        <w:r w:rsidRPr="00097860">
          <w:rPr>
            <w:rStyle w:val="Hyperlink"/>
            <w:noProof/>
          </w:rPr>
          <w:t xml:space="preserve">Figura 24: </w:t>
        </w:r>
        <w:r w:rsidRPr="00097860">
          <w:rPr>
            <w:rStyle w:val="Hyperlink"/>
            <w:rFonts w:cstheme="majorHAnsi"/>
            <w:noProof/>
          </w:rPr>
          <w:t>Detalhe no aplicador e agitador (Fonte: Elastec American Marine, 2012).</w:t>
        </w:r>
        <w:r>
          <w:rPr>
            <w:noProof/>
            <w:webHidden/>
          </w:rPr>
          <w:tab/>
        </w:r>
        <w:r>
          <w:rPr>
            <w:noProof/>
            <w:webHidden/>
          </w:rPr>
          <w:fldChar w:fldCharType="begin"/>
        </w:r>
        <w:r>
          <w:rPr>
            <w:noProof/>
            <w:webHidden/>
          </w:rPr>
          <w:instrText xml:space="preserve"> PAGEREF _Toc527990471 \h </w:instrText>
        </w:r>
        <w:r>
          <w:rPr>
            <w:noProof/>
            <w:webHidden/>
          </w:rPr>
        </w:r>
        <w:r>
          <w:rPr>
            <w:noProof/>
            <w:webHidden/>
          </w:rPr>
          <w:fldChar w:fldCharType="separate"/>
        </w:r>
        <w:r>
          <w:rPr>
            <w:noProof/>
            <w:webHidden/>
          </w:rPr>
          <w:t>117</w:t>
        </w:r>
        <w:r>
          <w:rPr>
            <w:noProof/>
            <w:webHidden/>
          </w:rPr>
          <w:fldChar w:fldCharType="end"/>
        </w:r>
      </w:hyperlink>
    </w:p>
    <w:p w14:paraId="3A1FD82B" w14:textId="4173A013" w:rsidR="009D286F" w:rsidRDefault="009D286F">
      <w:pPr>
        <w:pStyle w:val="ndicedeilustraes"/>
        <w:tabs>
          <w:tab w:val="right" w:leader="dot" w:pos="9060"/>
        </w:tabs>
        <w:rPr>
          <w:rFonts w:asciiTheme="minorHAnsi" w:hAnsiTheme="minorHAnsi"/>
          <w:i w:val="0"/>
          <w:iCs w:val="0"/>
          <w:noProof/>
          <w:szCs w:val="22"/>
        </w:rPr>
      </w:pPr>
      <w:hyperlink w:anchor="_Toc527990472" w:history="1">
        <w:r w:rsidRPr="00097860">
          <w:rPr>
            <w:rStyle w:val="Hyperlink"/>
            <w:noProof/>
          </w:rPr>
          <w:t xml:space="preserve">Figura 25: Unidade de aplicação em funcionamento </w:t>
        </w:r>
        <w:r w:rsidRPr="00097860">
          <w:rPr>
            <w:rStyle w:val="Hyperlink"/>
            <w:rFonts w:cstheme="majorHAnsi"/>
            <w:noProof/>
          </w:rPr>
          <w:t>(Fonte: Elastec American Marine, 2012).</w:t>
        </w:r>
        <w:r>
          <w:rPr>
            <w:noProof/>
            <w:webHidden/>
          </w:rPr>
          <w:tab/>
        </w:r>
        <w:r>
          <w:rPr>
            <w:noProof/>
            <w:webHidden/>
          </w:rPr>
          <w:fldChar w:fldCharType="begin"/>
        </w:r>
        <w:r>
          <w:rPr>
            <w:noProof/>
            <w:webHidden/>
          </w:rPr>
          <w:instrText xml:space="preserve"> PAGEREF _Toc527990472 \h </w:instrText>
        </w:r>
        <w:r>
          <w:rPr>
            <w:noProof/>
            <w:webHidden/>
          </w:rPr>
        </w:r>
        <w:r>
          <w:rPr>
            <w:noProof/>
            <w:webHidden/>
          </w:rPr>
          <w:fldChar w:fldCharType="separate"/>
        </w:r>
        <w:r>
          <w:rPr>
            <w:noProof/>
            <w:webHidden/>
          </w:rPr>
          <w:t>117</w:t>
        </w:r>
        <w:r>
          <w:rPr>
            <w:noProof/>
            <w:webHidden/>
          </w:rPr>
          <w:fldChar w:fldCharType="end"/>
        </w:r>
      </w:hyperlink>
    </w:p>
    <w:p w14:paraId="72B4B166" w14:textId="4E8D280B" w:rsidR="009D286F" w:rsidRDefault="009D286F">
      <w:pPr>
        <w:pStyle w:val="ndicedeilustraes"/>
        <w:tabs>
          <w:tab w:val="right" w:leader="dot" w:pos="9060"/>
        </w:tabs>
        <w:rPr>
          <w:rFonts w:asciiTheme="minorHAnsi" w:hAnsiTheme="minorHAnsi"/>
          <w:i w:val="0"/>
          <w:iCs w:val="0"/>
          <w:noProof/>
          <w:szCs w:val="22"/>
        </w:rPr>
      </w:pPr>
      <w:hyperlink w:anchor="_Toc527990473" w:history="1">
        <w:r w:rsidRPr="00097860">
          <w:rPr>
            <w:rStyle w:val="Hyperlink"/>
            <w:noProof/>
          </w:rPr>
          <w:t>Figura 26: Tipos de navios e equipamentos que podem ser considerados em uma operação de aplicação de dispersante por via marítima (Fonte: Modificado a partir do original em BP, 2012).</w:t>
        </w:r>
        <w:r>
          <w:rPr>
            <w:noProof/>
            <w:webHidden/>
          </w:rPr>
          <w:tab/>
        </w:r>
        <w:r>
          <w:rPr>
            <w:noProof/>
            <w:webHidden/>
          </w:rPr>
          <w:fldChar w:fldCharType="begin"/>
        </w:r>
        <w:r>
          <w:rPr>
            <w:noProof/>
            <w:webHidden/>
          </w:rPr>
          <w:instrText xml:space="preserve"> PAGEREF _Toc527990473 \h </w:instrText>
        </w:r>
        <w:r>
          <w:rPr>
            <w:noProof/>
            <w:webHidden/>
          </w:rPr>
        </w:r>
        <w:r>
          <w:rPr>
            <w:noProof/>
            <w:webHidden/>
          </w:rPr>
          <w:fldChar w:fldCharType="separate"/>
        </w:r>
        <w:r>
          <w:rPr>
            <w:noProof/>
            <w:webHidden/>
          </w:rPr>
          <w:t>118</w:t>
        </w:r>
        <w:r>
          <w:rPr>
            <w:noProof/>
            <w:webHidden/>
          </w:rPr>
          <w:fldChar w:fldCharType="end"/>
        </w:r>
      </w:hyperlink>
    </w:p>
    <w:p w14:paraId="190696B6" w14:textId="0CE5603D" w:rsidR="009D286F" w:rsidRDefault="009D286F">
      <w:pPr>
        <w:pStyle w:val="ndicedeilustraes"/>
        <w:tabs>
          <w:tab w:val="right" w:leader="dot" w:pos="9060"/>
        </w:tabs>
        <w:rPr>
          <w:rFonts w:asciiTheme="minorHAnsi" w:hAnsiTheme="minorHAnsi"/>
          <w:i w:val="0"/>
          <w:iCs w:val="0"/>
          <w:noProof/>
          <w:szCs w:val="22"/>
        </w:rPr>
      </w:pPr>
      <w:hyperlink w:anchor="_Toc527990474" w:history="1">
        <w:r w:rsidRPr="00097860">
          <w:rPr>
            <w:rStyle w:val="Hyperlink"/>
            <w:noProof/>
          </w:rPr>
          <w:t>Figura 27: Alternativas para aplicação de dispersantes e monitoramento das operações (Fonte: Adaptado de Spill Tactics for Alaska Responders, 2014).</w:t>
        </w:r>
        <w:r>
          <w:rPr>
            <w:noProof/>
            <w:webHidden/>
          </w:rPr>
          <w:tab/>
        </w:r>
        <w:r>
          <w:rPr>
            <w:noProof/>
            <w:webHidden/>
          </w:rPr>
          <w:fldChar w:fldCharType="begin"/>
        </w:r>
        <w:r>
          <w:rPr>
            <w:noProof/>
            <w:webHidden/>
          </w:rPr>
          <w:instrText xml:space="preserve"> PAGEREF _Toc527990474 \h </w:instrText>
        </w:r>
        <w:r>
          <w:rPr>
            <w:noProof/>
            <w:webHidden/>
          </w:rPr>
        </w:r>
        <w:r>
          <w:rPr>
            <w:noProof/>
            <w:webHidden/>
          </w:rPr>
          <w:fldChar w:fldCharType="separate"/>
        </w:r>
        <w:r>
          <w:rPr>
            <w:noProof/>
            <w:webHidden/>
          </w:rPr>
          <w:t>121</w:t>
        </w:r>
        <w:r>
          <w:rPr>
            <w:noProof/>
            <w:webHidden/>
          </w:rPr>
          <w:fldChar w:fldCharType="end"/>
        </w:r>
      </w:hyperlink>
    </w:p>
    <w:p w14:paraId="2CD072F3" w14:textId="1953A6BA" w:rsidR="009D286F" w:rsidRDefault="009D286F">
      <w:pPr>
        <w:pStyle w:val="ndicedeilustraes"/>
        <w:tabs>
          <w:tab w:val="right" w:leader="dot" w:pos="9060"/>
        </w:tabs>
        <w:rPr>
          <w:rFonts w:asciiTheme="minorHAnsi" w:hAnsiTheme="minorHAnsi"/>
          <w:i w:val="0"/>
          <w:iCs w:val="0"/>
          <w:noProof/>
          <w:szCs w:val="22"/>
        </w:rPr>
      </w:pPr>
      <w:hyperlink w:anchor="_Toc527990475" w:history="1">
        <w:r w:rsidRPr="00097860">
          <w:rPr>
            <w:rStyle w:val="Hyperlink"/>
            <w:noProof/>
          </w:rPr>
          <w:t>Figura 28: Esquema de aplicação aérea de dispersantes com aeronaves de asa fixa (Fonte: Modificado a partir do original em BP, 2012).</w:t>
        </w:r>
        <w:r>
          <w:rPr>
            <w:noProof/>
            <w:webHidden/>
          </w:rPr>
          <w:tab/>
        </w:r>
        <w:r>
          <w:rPr>
            <w:noProof/>
            <w:webHidden/>
          </w:rPr>
          <w:fldChar w:fldCharType="begin"/>
        </w:r>
        <w:r>
          <w:rPr>
            <w:noProof/>
            <w:webHidden/>
          </w:rPr>
          <w:instrText xml:space="preserve"> PAGEREF _Toc527990475 \h </w:instrText>
        </w:r>
        <w:r>
          <w:rPr>
            <w:noProof/>
            <w:webHidden/>
          </w:rPr>
        </w:r>
        <w:r>
          <w:rPr>
            <w:noProof/>
            <w:webHidden/>
          </w:rPr>
          <w:fldChar w:fldCharType="separate"/>
        </w:r>
        <w:r>
          <w:rPr>
            <w:noProof/>
            <w:webHidden/>
          </w:rPr>
          <w:t>121</w:t>
        </w:r>
        <w:r>
          <w:rPr>
            <w:noProof/>
            <w:webHidden/>
          </w:rPr>
          <w:fldChar w:fldCharType="end"/>
        </w:r>
      </w:hyperlink>
    </w:p>
    <w:p w14:paraId="17F31A71" w14:textId="08F37646" w:rsidR="00CC47FD" w:rsidRPr="00CC47FD" w:rsidRDefault="00FC10A8" w:rsidP="00BC431A">
      <w:pPr>
        <w:pStyle w:val="ndicedeilustraes"/>
        <w:tabs>
          <w:tab w:val="right" w:leader="dot" w:pos="9060"/>
        </w:tabs>
        <w:rPr>
          <w:iCs w:val="0"/>
          <w:sz w:val="20"/>
          <w:highlight w:val="yellow"/>
          <w:lang w:val="en-GB" w:eastAsia="zh-CN"/>
        </w:rPr>
      </w:pPr>
      <w:r w:rsidRPr="00DB2BC5">
        <w:rPr>
          <w:iCs w:val="0"/>
          <w:sz w:val="20"/>
          <w:highlight w:val="yellow"/>
          <w:lang w:val="en-GB" w:eastAsia="zh-CN"/>
        </w:rPr>
        <w:fldChar w:fldCharType="end"/>
      </w:r>
      <w:r w:rsidR="00CC47FD">
        <w:rPr>
          <w:sz w:val="20"/>
          <w:highlight w:val="yellow"/>
          <w:lang w:val="en-GB" w:eastAsia="zh-CN"/>
        </w:rPr>
        <w:br w:type="page"/>
      </w:r>
    </w:p>
    <w:p w14:paraId="644A1D97" w14:textId="77777777" w:rsidR="00626D9A" w:rsidRPr="005249F7" w:rsidRDefault="00641FD8" w:rsidP="005249F7">
      <w:pPr>
        <w:pStyle w:val="Indices"/>
        <w:rPr>
          <w:rStyle w:val="NegritoVersaleteChar"/>
          <w:b/>
          <w:i w:val="0"/>
          <w:smallCaps/>
          <w:color w:val="auto"/>
        </w:rPr>
      </w:pPr>
      <w:r w:rsidRPr="005249F7">
        <w:rPr>
          <w:rStyle w:val="NegritoVersaleteChar"/>
          <w:b/>
          <w:i w:val="0"/>
          <w:smallCaps/>
          <w:color w:val="auto"/>
        </w:rPr>
        <w:lastRenderedPageBreak/>
        <w:t>Índice de Tabelas</w:t>
      </w:r>
    </w:p>
    <w:p w14:paraId="43C82B5C" w14:textId="7A9D7FDC" w:rsidR="009D286F" w:rsidRDefault="005B5638">
      <w:pPr>
        <w:pStyle w:val="ndicedeilustraes"/>
        <w:tabs>
          <w:tab w:val="right" w:leader="dot" w:pos="9060"/>
        </w:tabs>
        <w:rPr>
          <w:rFonts w:asciiTheme="minorHAnsi" w:hAnsiTheme="minorHAnsi"/>
          <w:i w:val="0"/>
          <w:iCs w:val="0"/>
          <w:noProof/>
          <w:szCs w:val="22"/>
        </w:rPr>
      </w:pPr>
      <w:r w:rsidRPr="00DB2BC5">
        <w:rPr>
          <w:rStyle w:val="NegritoVersaleteChar"/>
          <w:b w:val="0"/>
          <w:i/>
          <w:color w:val="auto"/>
          <w:sz w:val="20"/>
        </w:rPr>
        <w:fldChar w:fldCharType="begin"/>
      </w:r>
      <w:r w:rsidRPr="00DB2BC5">
        <w:rPr>
          <w:rStyle w:val="NegritoVersaleteChar"/>
          <w:b w:val="0"/>
          <w:i/>
          <w:color w:val="auto"/>
          <w:sz w:val="20"/>
        </w:rPr>
        <w:instrText xml:space="preserve"> TOC \h \z \c "Tabela" </w:instrText>
      </w:r>
      <w:r w:rsidRPr="00DB2BC5">
        <w:rPr>
          <w:rStyle w:val="NegritoVersaleteChar"/>
          <w:b w:val="0"/>
          <w:i/>
          <w:color w:val="auto"/>
          <w:sz w:val="20"/>
        </w:rPr>
        <w:fldChar w:fldCharType="separate"/>
      </w:r>
      <w:hyperlink w:anchor="_Toc527990476" w:history="1">
        <w:r w:rsidR="009D286F" w:rsidRPr="00D52404">
          <w:rPr>
            <w:rStyle w:val="Hyperlink"/>
            <w:noProof/>
          </w:rPr>
          <w:t>Tabela 1: Informações da empresa operadora.</w:t>
        </w:r>
        <w:r w:rsidR="009D286F">
          <w:rPr>
            <w:noProof/>
            <w:webHidden/>
          </w:rPr>
          <w:tab/>
        </w:r>
        <w:r w:rsidR="009D286F">
          <w:rPr>
            <w:noProof/>
            <w:webHidden/>
          </w:rPr>
          <w:fldChar w:fldCharType="begin"/>
        </w:r>
        <w:r w:rsidR="009D286F">
          <w:rPr>
            <w:noProof/>
            <w:webHidden/>
          </w:rPr>
          <w:instrText xml:space="preserve"> PAGEREF _Toc527990476 \h </w:instrText>
        </w:r>
        <w:r w:rsidR="009D286F">
          <w:rPr>
            <w:noProof/>
            <w:webHidden/>
          </w:rPr>
        </w:r>
        <w:r w:rsidR="009D286F">
          <w:rPr>
            <w:noProof/>
            <w:webHidden/>
          </w:rPr>
          <w:fldChar w:fldCharType="separate"/>
        </w:r>
        <w:r w:rsidR="009D286F">
          <w:rPr>
            <w:noProof/>
            <w:webHidden/>
          </w:rPr>
          <w:t>2</w:t>
        </w:r>
        <w:r w:rsidR="009D286F">
          <w:rPr>
            <w:noProof/>
            <w:webHidden/>
          </w:rPr>
          <w:fldChar w:fldCharType="end"/>
        </w:r>
      </w:hyperlink>
    </w:p>
    <w:p w14:paraId="71343C0A" w14:textId="277676EA" w:rsidR="009D286F" w:rsidRDefault="009D286F">
      <w:pPr>
        <w:pStyle w:val="ndicedeilustraes"/>
        <w:tabs>
          <w:tab w:val="right" w:leader="dot" w:pos="9060"/>
        </w:tabs>
        <w:rPr>
          <w:rFonts w:asciiTheme="minorHAnsi" w:hAnsiTheme="minorHAnsi"/>
          <w:i w:val="0"/>
          <w:iCs w:val="0"/>
          <w:noProof/>
          <w:szCs w:val="22"/>
        </w:rPr>
      </w:pPr>
      <w:hyperlink w:anchor="_Toc527990477" w:history="1">
        <w:r w:rsidRPr="00D52404">
          <w:rPr>
            <w:rStyle w:val="Hyperlink"/>
            <w:noProof/>
          </w:rPr>
          <w:t>Tabela 2: Informações do Representante Legal e do Responsável Técnico.</w:t>
        </w:r>
        <w:r>
          <w:rPr>
            <w:noProof/>
            <w:webHidden/>
          </w:rPr>
          <w:tab/>
        </w:r>
        <w:r>
          <w:rPr>
            <w:noProof/>
            <w:webHidden/>
          </w:rPr>
          <w:fldChar w:fldCharType="begin"/>
        </w:r>
        <w:r>
          <w:rPr>
            <w:noProof/>
            <w:webHidden/>
          </w:rPr>
          <w:instrText xml:space="preserve"> PAGEREF _Toc527990477 \h </w:instrText>
        </w:r>
        <w:r>
          <w:rPr>
            <w:noProof/>
            <w:webHidden/>
          </w:rPr>
        </w:r>
        <w:r>
          <w:rPr>
            <w:noProof/>
            <w:webHidden/>
          </w:rPr>
          <w:fldChar w:fldCharType="separate"/>
        </w:r>
        <w:r>
          <w:rPr>
            <w:noProof/>
            <w:webHidden/>
          </w:rPr>
          <w:t>3</w:t>
        </w:r>
        <w:r>
          <w:rPr>
            <w:noProof/>
            <w:webHidden/>
          </w:rPr>
          <w:fldChar w:fldCharType="end"/>
        </w:r>
      </w:hyperlink>
    </w:p>
    <w:p w14:paraId="7BF040BE" w14:textId="11C3CEB6" w:rsidR="009D286F" w:rsidRDefault="009D286F">
      <w:pPr>
        <w:pStyle w:val="ndicedeilustraes"/>
        <w:tabs>
          <w:tab w:val="right" w:leader="dot" w:pos="9060"/>
        </w:tabs>
        <w:rPr>
          <w:rFonts w:asciiTheme="minorHAnsi" w:hAnsiTheme="minorHAnsi"/>
          <w:i w:val="0"/>
          <w:iCs w:val="0"/>
          <w:noProof/>
          <w:szCs w:val="22"/>
        </w:rPr>
      </w:pPr>
      <w:hyperlink w:anchor="_Toc527990478" w:history="1">
        <w:r w:rsidRPr="00D52404">
          <w:rPr>
            <w:rStyle w:val="Hyperlink"/>
            <w:noProof/>
          </w:rPr>
          <w:t>Tabela 3: Coordenadas do Bloco FZA-M-59 (DATUM: SIRGAS 2000).</w:t>
        </w:r>
        <w:r>
          <w:rPr>
            <w:noProof/>
            <w:webHidden/>
          </w:rPr>
          <w:tab/>
        </w:r>
        <w:r>
          <w:rPr>
            <w:noProof/>
            <w:webHidden/>
          </w:rPr>
          <w:fldChar w:fldCharType="begin"/>
        </w:r>
        <w:r>
          <w:rPr>
            <w:noProof/>
            <w:webHidden/>
          </w:rPr>
          <w:instrText xml:space="preserve"> PAGEREF _Toc527990478 \h </w:instrText>
        </w:r>
        <w:r>
          <w:rPr>
            <w:noProof/>
            <w:webHidden/>
          </w:rPr>
        </w:r>
        <w:r>
          <w:rPr>
            <w:noProof/>
            <w:webHidden/>
          </w:rPr>
          <w:fldChar w:fldCharType="separate"/>
        </w:r>
        <w:r>
          <w:rPr>
            <w:noProof/>
            <w:webHidden/>
          </w:rPr>
          <w:t>3</w:t>
        </w:r>
        <w:r>
          <w:rPr>
            <w:noProof/>
            <w:webHidden/>
          </w:rPr>
          <w:fldChar w:fldCharType="end"/>
        </w:r>
      </w:hyperlink>
    </w:p>
    <w:p w14:paraId="4AF0B5A1" w14:textId="55200E74" w:rsidR="009D286F" w:rsidRDefault="009D286F">
      <w:pPr>
        <w:pStyle w:val="ndicedeilustraes"/>
        <w:tabs>
          <w:tab w:val="right" w:leader="dot" w:pos="9060"/>
        </w:tabs>
        <w:rPr>
          <w:rFonts w:asciiTheme="minorHAnsi" w:hAnsiTheme="minorHAnsi"/>
          <w:i w:val="0"/>
          <w:iCs w:val="0"/>
          <w:noProof/>
          <w:szCs w:val="22"/>
        </w:rPr>
      </w:pPr>
      <w:hyperlink w:anchor="_Toc527990479" w:history="1">
        <w:r w:rsidRPr="00D52404">
          <w:rPr>
            <w:rStyle w:val="Hyperlink"/>
            <w:noProof/>
          </w:rPr>
          <w:t>Tabela 4: Informações do poço a ser perfurado pela BP Energy no Bloco FZA-M-59.</w:t>
        </w:r>
        <w:r>
          <w:rPr>
            <w:noProof/>
            <w:webHidden/>
          </w:rPr>
          <w:tab/>
        </w:r>
        <w:r>
          <w:rPr>
            <w:noProof/>
            <w:webHidden/>
          </w:rPr>
          <w:fldChar w:fldCharType="begin"/>
        </w:r>
        <w:r>
          <w:rPr>
            <w:noProof/>
            <w:webHidden/>
          </w:rPr>
          <w:instrText xml:space="preserve"> PAGEREF _Toc527990479 \h </w:instrText>
        </w:r>
        <w:r>
          <w:rPr>
            <w:noProof/>
            <w:webHidden/>
          </w:rPr>
        </w:r>
        <w:r>
          <w:rPr>
            <w:noProof/>
            <w:webHidden/>
          </w:rPr>
          <w:fldChar w:fldCharType="separate"/>
        </w:r>
        <w:r>
          <w:rPr>
            <w:noProof/>
            <w:webHidden/>
          </w:rPr>
          <w:t>4</w:t>
        </w:r>
        <w:r>
          <w:rPr>
            <w:noProof/>
            <w:webHidden/>
          </w:rPr>
          <w:fldChar w:fldCharType="end"/>
        </w:r>
      </w:hyperlink>
    </w:p>
    <w:p w14:paraId="0F74BE07" w14:textId="3E4BAC98" w:rsidR="009D286F" w:rsidRDefault="009D286F">
      <w:pPr>
        <w:pStyle w:val="ndicedeilustraes"/>
        <w:tabs>
          <w:tab w:val="right" w:leader="dot" w:pos="9060"/>
        </w:tabs>
        <w:rPr>
          <w:rFonts w:asciiTheme="minorHAnsi" w:hAnsiTheme="minorHAnsi"/>
          <w:i w:val="0"/>
          <w:iCs w:val="0"/>
          <w:noProof/>
          <w:szCs w:val="22"/>
        </w:rPr>
      </w:pPr>
      <w:hyperlink w:anchor="_Toc527990480" w:history="1">
        <w:r w:rsidRPr="00D52404">
          <w:rPr>
            <w:rStyle w:val="Hyperlink"/>
            <w:noProof/>
          </w:rPr>
          <w:t xml:space="preserve">Tabela 5: Dados da </w:t>
        </w:r>
        <w:r w:rsidRPr="00D52404">
          <w:rPr>
            <w:rStyle w:val="Hyperlink"/>
            <w:rFonts w:cs="TT1D8t00"/>
            <w:noProof/>
          </w:rPr>
          <w:t>ENSCO DS-9.</w:t>
        </w:r>
        <w:r>
          <w:rPr>
            <w:noProof/>
            <w:webHidden/>
          </w:rPr>
          <w:tab/>
        </w:r>
        <w:r>
          <w:rPr>
            <w:noProof/>
            <w:webHidden/>
          </w:rPr>
          <w:fldChar w:fldCharType="begin"/>
        </w:r>
        <w:r>
          <w:rPr>
            <w:noProof/>
            <w:webHidden/>
          </w:rPr>
          <w:instrText xml:space="preserve"> PAGEREF _Toc527990480 \h </w:instrText>
        </w:r>
        <w:r>
          <w:rPr>
            <w:noProof/>
            <w:webHidden/>
          </w:rPr>
        </w:r>
        <w:r>
          <w:rPr>
            <w:noProof/>
            <w:webHidden/>
          </w:rPr>
          <w:fldChar w:fldCharType="separate"/>
        </w:r>
        <w:r>
          <w:rPr>
            <w:noProof/>
            <w:webHidden/>
          </w:rPr>
          <w:t>4</w:t>
        </w:r>
        <w:r>
          <w:rPr>
            <w:noProof/>
            <w:webHidden/>
          </w:rPr>
          <w:fldChar w:fldCharType="end"/>
        </w:r>
      </w:hyperlink>
    </w:p>
    <w:p w14:paraId="0CAAD289" w14:textId="640E4D79" w:rsidR="009D286F" w:rsidRDefault="009D286F">
      <w:pPr>
        <w:pStyle w:val="ndicedeilustraes"/>
        <w:tabs>
          <w:tab w:val="right" w:leader="dot" w:pos="9060"/>
        </w:tabs>
        <w:rPr>
          <w:rFonts w:asciiTheme="minorHAnsi" w:hAnsiTheme="minorHAnsi"/>
          <w:i w:val="0"/>
          <w:iCs w:val="0"/>
          <w:noProof/>
          <w:szCs w:val="22"/>
        </w:rPr>
      </w:pPr>
      <w:hyperlink w:anchor="_Toc527990481" w:history="1">
        <w:r w:rsidRPr="00D52404">
          <w:rPr>
            <w:rStyle w:val="Hyperlink"/>
            <w:noProof/>
          </w:rPr>
          <w:t>Tabela 6: Sumário dos cenários acidentais com potencial de derramamento de produto oleoso, identificados na Análise Preliminar de Riscos (APR).</w:t>
        </w:r>
        <w:r>
          <w:rPr>
            <w:noProof/>
            <w:webHidden/>
          </w:rPr>
          <w:tab/>
        </w:r>
        <w:r>
          <w:rPr>
            <w:noProof/>
            <w:webHidden/>
          </w:rPr>
          <w:fldChar w:fldCharType="begin"/>
        </w:r>
        <w:r>
          <w:rPr>
            <w:noProof/>
            <w:webHidden/>
          </w:rPr>
          <w:instrText xml:space="preserve"> PAGEREF _Toc527990481 \h </w:instrText>
        </w:r>
        <w:r>
          <w:rPr>
            <w:noProof/>
            <w:webHidden/>
          </w:rPr>
        </w:r>
        <w:r>
          <w:rPr>
            <w:noProof/>
            <w:webHidden/>
          </w:rPr>
          <w:fldChar w:fldCharType="separate"/>
        </w:r>
        <w:r>
          <w:rPr>
            <w:noProof/>
            <w:webHidden/>
          </w:rPr>
          <w:t>7</w:t>
        </w:r>
        <w:r>
          <w:rPr>
            <w:noProof/>
            <w:webHidden/>
          </w:rPr>
          <w:fldChar w:fldCharType="end"/>
        </w:r>
      </w:hyperlink>
    </w:p>
    <w:p w14:paraId="105B89E5" w14:textId="444D1D94" w:rsidR="009D286F" w:rsidRDefault="009D286F">
      <w:pPr>
        <w:pStyle w:val="ndicedeilustraes"/>
        <w:tabs>
          <w:tab w:val="right" w:leader="dot" w:pos="9060"/>
        </w:tabs>
        <w:rPr>
          <w:rFonts w:asciiTheme="minorHAnsi" w:hAnsiTheme="minorHAnsi"/>
          <w:i w:val="0"/>
          <w:iCs w:val="0"/>
          <w:noProof/>
          <w:szCs w:val="22"/>
        </w:rPr>
      </w:pPr>
      <w:hyperlink w:anchor="_Toc527990482" w:history="1">
        <w:r w:rsidRPr="00D52404">
          <w:rPr>
            <w:rStyle w:val="Hyperlink"/>
            <w:noProof/>
          </w:rPr>
          <w:t>Tabela 7: Proporção de cenários acidentais envolvendo descargas pequena, média e grande de produto oleoso.</w:t>
        </w:r>
        <w:r>
          <w:rPr>
            <w:noProof/>
            <w:webHidden/>
          </w:rPr>
          <w:tab/>
        </w:r>
        <w:r>
          <w:rPr>
            <w:noProof/>
            <w:webHidden/>
          </w:rPr>
          <w:fldChar w:fldCharType="begin"/>
        </w:r>
        <w:r>
          <w:rPr>
            <w:noProof/>
            <w:webHidden/>
          </w:rPr>
          <w:instrText xml:space="preserve"> PAGEREF _Toc527990482 \h </w:instrText>
        </w:r>
        <w:r>
          <w:rPr>
            <w:noProof/>
            <w:webHidden/>
          </w:rPr>
        </w:r>
        <w:r>
          <w:rPr>
            <w:noProof/>
            <w:webHidden/>
          </w:rPr>
          <w:fldChar w:fldCharType="separate"/>
        </w:r>
        <w:r>
          <w:rPr>
            <w:noProof/>
            <w:webHidden/>
          </w:rPr>
          <w:t>10</w:t>
        </w:r>
        <w:r>
          <w:rPr>
            <w:noProof/>
            <w:webHidden/>
          </w:rPr>
          <w:fldChar w:fldCharType="end"/>
        </w:r>
      </w:hyperlink>
    </w:p>
    <w:p w14:paraId="22C5CB8B" w14:textId="53ADA585" w:rsidR="009D286F" w:rsidRDefault="009D286F">
      <w:pPr>
        <w:pStyle w:val="ndicedeilustraes"/>
        <w:tabs>
          <w:tab w:val="right" w:leader="dot" w:pos="9060"/>
        </w:tabs>
        <w:rPr>
          <w:rFonts w:asciiTheme="minorHAnsi" w:hAnsiTheme="minorHAnsi"/>
          <w:i w:val="0"/>
          <w:iCs w:val="0"/>
          <w:noProof/>
          <w:szCs w:val="22"/>
        </w:rPr>
      </w:pPr>
      <w:hyperlink w:anchor="_Toc527990483" w:history="1">
        <w:r w:rsidRPr="00D52404">
          <w:rPr>
            <w:rStyle w:val="Hyperlink"/>
            <w:b/>
            <w:noProof/>
          </w:rPr>
          <w:t>Tabela 8: Critérios para a avaliação da vulnerabilidade ambiental.</w:t>
        </w:r>
        <w:r>
          <w:rPr>
            <w:noProof/>
            <w:webHidden/>
          </w:rPr>
          <w:tab/>
        </w:r>
        <w:r>
          <w:rPr>
            <w:noProof/>
            <w:webHidden/>
          </w:rPr>
          <w:fldChar w:fldCharType="begin"/>
        </w:r>
        <w:r>
          <w:rPr>
            <w:noProof/>
            <w:webHidden/>
          </w:rPr>
          <w:instrText xml:space="preserve"> PAGEREF _Toc527990483 \h </w:instrText>
        </w:r>
        <w:r>
          <w:rPr>
            <w:noProof/>
            <w:webHidden/>
          </w:rPr>
        </w:r>
        <w:r>
          <w:rPr>
            <w:noProof/>
            <w:webHidden/>
          </w:rPr>
          <w:fldChar w:fldCharType="separate"/>
        </w:r>
        <w:r>
          <w:rPr>
            <w:noProof/>
            <w:webHidden/>
          </w:rPr>
          <w:t>11</w:t>
        </w:r>
        <w:r>
          <w:rPr>
            <w:noProof/>
            <w:webHidden/>
          </w:rPr>
          <w:fldChar w:fldCharType="end"/>
        </w:r>
      </w:hyperlink>
    </w:p>
    <w:p w14:paraId="191E5390" w14:textId="3FBACE69" w:rsidR="009D286F" w:rsidRDefault="009D286F">
      <w:pPr>
        <w:pStyle w:val="ndicedeilustraes"/>
        <w:tabs>
          <w:tab w:val="right" w:leader="dot" w:pos="9060"/>
        </w:tabs>
        <w:rPr>
          <w:rFonts w:asciiTheme="minorHAnsi" w:hAnsiTheme="minorHAnsi"/>
          <w:i w:val="0"/>
          <w:iCs w:val="0"/>
          <w:noProof/>
          <w:szCs w:val="22"/>
        </w:rPr>
      </w:pPr>
      <w:hyperlink w:anchor="_Toc527990484" w:history="1">
        <w:r w:rsidRPr="00D52404">
          <w:rPr>
            <w:rStyle w:val="Hyperlink"/>
            <w:b/>
            <w:noProof/>
          </w:rPr>
          <w:t>Tabela 9: Vulnerabilidade dos componentes ambientais potencialmente impactados no caso de um derramamento de óleo de pior caso em decorrência das atividades no Bloco FZA-M-59.</w:t>
        </w:r>
        <w:r>
          <w:rPr>
            <w:noProof/>
            <w:webHidden/>
          </w:rPr>
          <w:tab/>
        </w:r>
        <w:r>
          <w:rPr>
            <w:noProof/>
            <w:webHidden/>
          </w:rPr>
          <w:fldChar w:fldCharType="begin"/>
        </w:r>
        <w:r>
          <w:rPr>
            <w:noProof/>
            <w:webHidden/>
          </w:rPr>
          <w:instrText xml:space="preserve"> PAGEREF _Toc527990484 \h </w:instrText>
        </w:r>
        <w:r>
          <w:rPr>
            <w:noProof/>
            <w:webHidden/>
          </w:rPr>
        </w:r>
        <w:r>
          <w:rPr>
            <w:noProof/>
            <w:webHidden/>
          </w:rPr>
          <w:fldChar w:fldCharType="separate"/>
        </w:r>
        <w:r>
          <w:rPr>
            <w:noProof/>
            <w:webHidden/>
          </w:rPr>
          <w:t>13</w:t>
        </w:r>
        <w:r>
          <w:rPr>
            <w:noProof/>
            <w:webHidden/>
          </w:rPr>
          <w:fldChar w:fldCharType="end"/>
        </w:r>
      </w:hyperlink>
    </w:p>
    <w:p w14:paraId="3B787A67" w14:textId="0FED252B" w:rsidR="009D286F" w:rsidRDefault="009D286F">
      <w:pPr>
        <w:pStyle w:val="ndicedeilustraes"/>
        <w:tabs>
          <w:tab w:val="right" w:leader="dot" w:pos="9060"/>
        </w:tabs>
        <w:rPr>
          <w:rFonts w:asciiTheme="minorHAnsi" w:hAnsiTheme="minorHAnsi"/>
          <w:i w:val="0"/>
          <w:iCs w:val="0"/>
          <w:noProof/>
          <w:szCs w:val="22"/>
        </w:rPr>
      </w:pPr>
      <w:hyperlink w:anchor="_Toc527990485" w:history="1">
        <w:r w:rsidRPr="00D52404">
          <w:rPr>
            <w:rStyle w:val="Hyperlink"/>
            <w:b/>
            <w:noProof/>
          </w:rPr>
          <w:t>Tabela 10: Formulários ICS usados pela BP Energy do Brasil em seu sistema de gerenciamento de emergências.</w:t>
        </w:r>
        <w:r>
          <w:rPr>
            <w:noProof/>
            <w:webHidden/>
          </w:rPr>
          <w:tab/>
        </w:r>
        <w:r>
          <w:rPr>
            <w:noProof/>
            <w:webHidden/>
          </w:rPr>
          <w:fldChar w:fldCharType="begin"/>
        </w:r>
        <w:r>
          <w:rPr>
            <w:noProof/>
            <w:webHidden/>
          </w:rPr>
          <w:instrText xml:space="preserve"> PAGEREF _Toc527990485 \h </w:instrText>
        </w:r>
        <w:r>
          <w:rPr>
            <w:noProof/>
            <w:webHidden/>
          </w:rPr>
        </w:r>
        <w:r>
          <w:rPr>
            <w:noProof/>
            <w:webHidden/>
          </w:rPr>
          <w:fldChar w:fldCharType="separate"/>
        </w:r>
        <w:r>
          <w:rPr>
            <w:noProof/>
            <w:webHidden/>
          </w:rPr>
          <w:t>36</w:t>
        </w:r>
        <w:r>
          <w:rPr>
            <w:noProof/>
            <w:webHidden/>
          </w:rPr>
          <w:fldChar w:fldCharType="end"/>
        </w:r>
      </w:hyperlink>
    </w:p>
    <w:p w14:paraId="17FC9903" w14:textId="769D31C5" w:rsidR="009D286F" w:rsidRDefault="009D286F">
      <w:pPr>
        <w:pStyle w:val="ndicedeilustraes"/>
        <w:tabs>
          <w:tab w:val="right" w:leader="dot" w:pos="9060"/>
        </w:tabs>
        <w:rPr>
          <w:rFonts w:asciiTheme="minorHAnsi" w:hAnsiTheme="minorHAnsi"/>
          <w:i w:val="0"/>
          <w:iCs w:val="0"/>
          <w:noProof/>
          <w:szCs w:val="22"/>
        </w:rPr>
      </w:pPr>
      <w:hyperlink w:anchor="_Toc527990486" w:history="1">
        <w:r w:rsidRPr="00D52404">
          <w:rPr>
            <w:rStyle w:val="Hyperlink"/>
            <w:b/>
            <w:noProof/>
          </w:rPr>
          <w:t>Tabela 11: Notificações externas para agências ambientais.</w:t>
        </w:r>
        <w:r>
          <w:rPr>
            <w:noProof/>
            <w:webHidden/>
          </w:rPr>
          <w:tab/>
        </w:r>
        <w:r>
          <w:rPr>
            <w:noProof/>
            <w:webHidden/>
          </w:rPr>
          <w:fldChar w:fldCharType="begin"/>
        </w:r>
        <w:r>
          <w:rPr>
            <w:noProof/>
            <w:webHidden/>
          </w:rPr>
          <w:instrText xml:space="preserve"> PAGEREF _Toc527990486 \h </w:instrText>
        </w:r>
        <w:r>
          <w:rPr>
            <w:noProof/>
            <w:webHidden/>
          </w:rPr>
        </w:r>
        <w:r>
          <w:rPr>
            <w:noProof/>
            <w:webHidden/>
          </w:rPr>
          <w:fldChar w:fldCharType="separate"/>
        </w:r>
        <w:r>
          <w:rPr>
            <w:noProof/>
            <w:webHidden/>
          </w:rPr>
          <w:t>43</w:t>
        </w:r>
        <w:r>
          <w:rPr>
            <w:noProof/>
            <w:webHidden/>
          </w:rPr>
          <w:fldChar w:fldCharType="end"/>
        </w:r>
      </w:hyperlink>
    </w:p>
    <w:p w14:paraId="5086C887" w14:textId="0F08C0F3" w:rsidR="009D286F" w:rsidRDefault="009D286F">
      <w:pPr>
        <w:pStyle w:val="ndicedeilustraes"/>
        <w:tabs>
          <w:tab w:val="right" w:leader="dot" w:pos="9060"/>
        </w:tabs>
        <w:rPr>
          <w:rFonts w:asciiTheme="minorHAnsi" w:hAnsiTheme="minorHAnsi"/>
          <w:i w:val="0"/>
          <w:iCs w:val="0"/>
          <w:noProof/>
          <w:szCs w:val="22"/>
        </w:rPr>
      </w:pPr>
      <w:hyperlink w:anchor="_Toc527990487" w:history="1">
        <w:r w:rsidRPr="00D52404">
          <w:rPr>
            <w:rStyle w:val="Hyperlink"/>
            <w:b/>
            <w:noProof/>
            <w:highlight w:val="lightGray"/>
          </w:rPr>
          <w:t>Tabela 12 (Continuação): Notificações externas para agências ambientais.</w:t>
        </w:r>
        <w:r>
          <w:rPr>
            <w:noProof/>
            <w:webHidden/>
          </w:rPr>
          <w:tab/>
        </w:r>
        <w:r>
          <w:rPr>
            <w:noProof/>
            <w:webHidden/>
          </w:rPr>
          <w:fldChar w:fldCharType="begin"/>
        </w:r>
        <w:r>
          <w:rPr>
            <w:noProof/>
            <w:webHidden/>
          </w:rPr>
          <w:instrText xml:space="preserve"> PAGEREF _Toc527990487 \h </w:instrText>
        </w:r>
        <w:r>
          <w:rPr>
            <w:noProof/>
            <w:webHidden/>
          </w:rPr>
        </w:r>
        <w:r>
          <w:rPr>
            <w:noProof/>
            <w:webHidden/>
          </w:rPr>
          <w:fldChar w:fldCharType="separate"/>
        </w:r>
        <w:r>
          <w:rPr>
            <w:noProof/>
            <w:webHidden/>
          </w:rPr>
          <w:t>45</w:t>
        </w:r>
        <w:r>
          <w:rPr>
            <w:noProof/>
            <w:webHidden/>
          </w:rPr>
          <w:fldChar w:fldCharType="end"/>
        </w:r>
      </w:hyperlink>
    </w:p>
    <w:p w14:paraId="5DC7C4F9" w14:textId="6F8BAF7E" w:rsidR="009D286F" w:rsidRDefault="009D286F">
      <w:pPr>
        <w:pStyle w:val="ndicedeilustraes"/>
        <w:tabs>
          <w:tab w:val="right" w:leader="dot" w:pos="9060"/>
        </w:tabs>
        <w:rPr>
          <w:rFonts w:asciiTheme="minorHAnsi" w:hAnsiTheme="minorHAnsi"/>
          <w:i w:val="0"/>
          <w:iCs w:val="0"/>
          <w:noProof/>
          <w:szCs w:val="22"/>
        </w:rPr>
      </w:pPr>
      <w:hyperlink w:anchor="_Toc527990488" w:history="1">
        <w:r w:rsidRPr="00D52404">
          <w:rPr>
            <w:rStyle w:val="Hyperlink"/>
            <w:noProof/>
          </w:rPr>
          <w:t xml:space="preserve">Tabela </w:t>
        </w:r>
        <w:r w:rsidRPr="00D52404">
          <w:rPr>
            <w:rStyle w:val="Hyperlink"/>
            <w:noProof/>
            <w:highlight w:val="lightGray"/>
          </w:rPr>
          <w:t>13</w:t>
        </w:r>
        <w:r w:rsidRPr="00D52404">
          <w:rPr>
            <w:rStyle w:val="Hyperlink"/>
            <w:noProof/>
          </w:rPr>
          <w:t>: Algumas partes interessadas específicas e seus interlocutores.</w:t>
        </w:r>
        <w:r>
          <w:rPr>
            <w:noProof/>
            <w:webHidden/>
          </w:rPr>
          <w:tab/>
        </w:r>
        <w:r>
          <w:rPr>
            <w:noProof/>
            <w:webHidden/>
          </w:rPr>
          <w:fldChar w:fldCharType="begin"/>
        </w:r>
        <w:r>
          <w:rPr>
            <w:noProof/>
            <w:webHidden/>
          </w:rPr>
          <w:instrText xml:space="preserve"> PAGEREF _Toc527990488 \h </w:instrText>
        </w:r>
        <w:r>
          <w:rPr>
            <w:noProof/>
            <w:webHidden/>
          </w:rPr>
        </w:r>
        <w:r>
          <w:rPr>
            <w:noProof/>
            <w:webHidden/>
          </w:rPr>
          <w:fldChar w:fldCharType="separate"/>
        </w:r>
        <w:r>
          <w:rPr>
            <w:noProof/>
            <w:webHidden/>
          </w:rPr>
          <w:t>47</w:t>
        </w:r>
        <w:r>
          <w:rPr>
            <w:noProof/>
            <w:webHidden/>
          </w:rPr>
          <w:fldChar w:fldCharType="end"/>
        </w:r>
      </w:hyperlink>
    </w:p>
    <w:p w14:paraId="53DC6DCE" w14:textId="1D2AD0EA" w:rsidR="009D286F" w:rsidRDefault="009D286F">
      <w:pPr>
        <w:pStyle w:val="ndicedeilustraes"/>
        <w:tabs>
          <w:tab w:val="right" w:leader="dot" w:pos="9060"/>
        </w:tabs>
        <w:rPr>
          <w:rFonts w:asciiTheme="minorHAnsi" w:hAnsiTheme="minorHAnsi"/>
          <w:i w:val="0"/>
          <w:iCs w:val="0"/>
          <w:noProof/>
          <w:szCs w:val="22"/>
        </w:rPr>
      </w:pPr>
      <w:hyperlink w:anchor="_Toc527990489" w:history="1">
        <w:r w:rsidRPr="00D52404">
          <w:rPr>
            <w:rStyle w:val="Hyperlink"/>
            <w:noProof/>
            <w:highlight w:val="lightGray"/>
          </w:rPr>
          <w:t>Tabela 14: Lista de contatos de organizações competentes citadas na resposta no caso de deriva transfronteiriça.</w:t>
        </w:r>
        <w:r>
          <w:rPr>
            <w:noProof/>
            <w:webHidden/>
          </w:rPr>
          <w:tab/>
        </w:r>
        <w:r>
          <w:rPr>
            <w:noProof/>
            <w:webHidden/>
          </w:rPr>
          <w:fldChar w:fldCharType="begin"/>
        </w:r>
        <w:r>
          <w:rPr>
            <w:noProof/>
            <w:webHidden/>
          </w:rPr>
          <w:instrText xml:space="preserve"> PAGEREF _Toc527990489 \h </w:instrText>
        </w:r>
        <w:r>
          <w:rPr>
            <w:noProof/>
            <w:webHidden/>
          </w:rPr>
        </w:r>
        <w:r>
          <w:rPr>
            <w:noProof/>
            <w:webHidden/>
          </w:rPr>
          <w:fldChar w:fldCharType="separate"/>
        </w:r>
        <w:r>
          <w:rPr>
            <w:noProof/>
            <w:webHidden/>
          </w:rPr>
          <w:t>52</w:t>
        </w:r>
        <w:r>
          <w:rPr>
            <w:noProof/>
            <w:webHidden/>
          </w:rPr>
          <w:fldChar w:fldCharType="end"/>
        </w:r>
      </w:hyperlink>
    </w:p>
    <w:p w14:paraId="4A6D6083" w14:textId="2074A78E" w:rsidR="009D286F" w:rsidRDefault="009D286F">
      <w:pPr>
        <w:pStyle w:val="ndicedeilustraes"/>
        <w:tabs>
          <w:tab w:val="right" w:leader="dot" w:pos="9060"/>
        </w:tabs>
        <w:rPr>
          <w:rFonts w:asciiTheme="minorHAnsi" w:hAnsiTheme="minorHAnsi"/>
          <w:i w:val="0"/>
          <w:iCs w:val="0"/>
          <w:noProof/>
          <w:szCs w:val="22"/>
        </w:rPr>
      </w:pPr>
      <w:hyperlink w:anchor="_Toc527990490" w:history="1">
        <w:r w:rsidRPr="00D52404">
          <w:rPr>
            <w:rStyle w:val="Hyperlink"/>
            <w:noProof/>
          </w:rPr>
          <w:t>Tabela 15: Características da estratégia adotada.</w:t>
        </w:r>
        <w:r>
          <w:rPr>
            <w:noProof/>
            <w:webHidden/>
          </w:rPr>
          <w:tab/>
        </w:r>
        <w:r>
          <w:rPr>
            <w:noProof/>
            <w:webHidden/>
          </w:rPr>
          <w:fldChar w:fldCharType="begin"/>
        </w:r>
        <w:r>
          <w:rPr>
            <w:noProof/>
            <w:webHidden/>
          </w:rPr>
          <w:instrText xml:space="preserve"> PAGEREF _Toc527990490 \h </w:instrText>
        </w:r>
        <w:r>
          <w:rPr>
            <w:noProof/>
            <w:webHidden/>
          </w:rPr>
        </w:r>
        <w:r>
          <w:rPr>
            <w:noProof/>
            <w:webHidden/>
          </w:rPr>
          <w:fldChar w:fldCharType="separate"/>
        </w:r>
        <w:r>
          <w:rPr>
            <w:noProof/>
            <w:webHidden/>
          </w:rPr>
          <w:t>100</w:t>
        </w:r>
        <w:r>
          <w:rPr>
            <w:noProof/>
            <w:webHidden/>
          </w:rPr>
          <w:fldChar w:fldCharType="end"/>
        </w:r>
      </w:hyperlink>
    </w:p>
    <w:p w14:paraId="611C51E9" w14:textId="2F7E0D74" w:rsidR="009D286F" w:rsidRDefault="009D286F">
      <w:pPr>
        <w:pStyle w:val="ndicedeilustraes"/>
        <w:tabs>
          <w:tab w:val="right" w:leader="dot" w:pos="9060"/>
        </w:tabs>
        <w:rPr>
          <w:rFonts w:asciiTheme="minorHAnsi" w:hAnsiTheme="minorHAnsi"/>
          <w:i w:val="0"/>
          <w:iCs w:val="0"/>
          <w:noProof/>
          <w:szCs w:val="22"/>
        </w:rPr>
      </w:pPr>
      <w:hyperlink w:anchor="_Toc527990491" w:history="1">
        <w:r w:rsidRPr="00D52404">
          <w:rPr>
            <w:rStyle w:val="Hyperlink"/>
            <w:noProof/>
          </w:rPr>
          <w:t xml:space="preserve">Tabela </w:t>
        </w:r>
        <w:r w:rsidRPr="00D52404">
          <w:rPr>
            <w:rStyle w:val="Hyperlink"/>
            <w:noProof/>
            <w:highlight w:val="lightGray"/>
          </w:rPr>
          <w:t>16</w:t>
        </w:r>
        <w:r w:rsidRPr="00D52404">
          <w:rPr>
            <w:rStyle w:val="Hyperlink"/>
            <w:noProof/>
          </w:rPr>
          <w:t>: Recursos disponíveis para a operacionalização da estratégia de contenção e recolhimento.</w:t>
        </w:r>
        <w:r>
          <w:rPr>
            <w:noProof/>
            <w:webHidden/>
          </w:rPr>
          <w:tab/>
        </w:r>
        <w:r>
          <w:rPr>
            <w:noProof/>
            <w:webHidden/>
          </w:rPr>
          <w:fldChar w:fldCharType="begin"/>
        </w:r>
        <w:r>
          <w:rPr>
            <w:noProof/>
            <w:webHidden/>
          </w:rPr>
          <w:instrText xml:space="preserve"> PAGEREF _Toc527990491 \h </w:instrText>
        </w:r>
        <w:r>
          <w:rPr>
            <w:noProof/>
            <w:webHidden/>
          </w:rPr>
        </w:r>
        <w:r>
          <w:rPr>
            <w:noProof/>
            <w:webHidden/>
          </w:rPr>
          <w:fldChar w:fldCharType="separate"/>
        </w:r>
        <w:r>
          <w:rPr>
            <w:noProof/>
            <w:webHidden/>
          </w:rPr>
          <w:t>102</w:t>
        </w:r>
        <w:r>
          <w:rPr>
            <w:noProof/>
            <w:webHidden/>
          </w:rPr>
          <w:fldChar w:fldCharType="end"/>
        </w:r>
      </w:hyperlink>
    </w:p>
    <w:p w14:paraId="167F4D0F" w14:textId="0AFC2405" w:rsidR="009D286F" w:rsidRDefault="009D286F">
      <w:pPr>
        <w:pStyle w:val="ndicedeilustraes"/>
        <w:tabs>
          <w:tab w:val="right" w:leader="dot" w:pos="9060"/>
        </w:tabs>
        <w:rPr>
          <w:rFonts w:asciiTheme="minorHAnsi" w:hAnsiTheme="minorHAnsi"/>
          <w:i w:val="0"/>
          <w:iCs w:val="0"/>
          <w:noProof/>
          <w:szCs w:val="22"/>
        </w:rPr>
      </w:pPr>
      <w:hyperlink w:anchor="_Toc527990492" w:history="1">
        <w:r w:rsidRPr="00D52404">
          <w:rPr>
            <w:rStyle w:val="Hyperlink"/>
            <w:b/>
            <w:noProof/>
          </w:rPr>
          <w:t xml:space="preserve">Tabela </w:t>
        </w:r>
        <w:r w:rsidRPr="00D52404">
          <w:rPr>
            <w:rStyle w:val="Hyperlink"/>
            <w:b/>
            <w:noProof/>
            <w:highlight w:val="lightGray"/>
          </w:rPr>
          <w:t>17</w:t>
        </w:r>
        <w:r w:rsidRPr="00D52404">
          <w:rPr>
            <w:rStyle w:val="Hyperlink"/>
            <w:b/>
            <w:noProof/>
          </w:rPr>
          <w:t>: Formulários para comunicação e relatório sobre a aplicação de dispersantes.</w:t>
        </w:r>
        <w:r>
          <w:rPr>
            <w:noProof/>
            <w:webHidden/>
          </w:rPr>
          <w:tab/>
        </w:r>
        <w:r>
          <w:rPr>
            <w:noProof/>
            <w:webHidden/>
          </w:rPr>
          <w:fldChar w:fldCharType="begin"/>
        </w:r>
        <w:r>
          <w:rPr>
            <w:noProof/>
            <w:webHidden/>
          </w:rPr>
          <w:instrText xml:space="preserve"> PAGEREF _Toc527990492 \h </w:instrText>
        </w:r>
        <w:r>
          <w:rPr>
            <w:noProof/>
            <w:webHidden/>
          </w:rPr>
        </w:r>
        <w:r>
          <w:rPr>
            <w:noProof/>
            <w:webHidden/>
          </w:rPr>
          <w:fldChar w:fldCharType="separate"/>
        </w:r>
        <w:r>
          <w:rPr>
            <w:noProof/>
            <w:webHidden/>
          </w:rPr>
          <w:t>113</w:t>
        </w:r>
        <w:r>
          <w:rPr>
            <w:noProof/>
            <w:webHidden/>
          </w:rPr>
          <w:fldChar w:fldCharType="end"/>
        </w:r>
      </w:hyperlink>
    </w:p>
    <w:p w14:paraId="2CBC0421" w14:textId="5318718D" w:rsidR="009D286F" w:rsidRDefault="009D286F">
      <w:pPr>
        <w:pStyle w:val="ndicedeilustraes"/>
        <w:tabs>
          <w:tab w:val="right" w:leader="dot" w:pos="9060"/>
        </w:tabs>
        <w:rPr>
          <w:rFonts w:asciiTheme="minorHAnsi" w:hAnsiTheme="minorHAnsi"/>
          <w:i w:val="0"/>
          <w:iCs w:val="0"/>
          <w:noProof/>
          <w:szCs w:val="22"/>
        </w:rPr>
      </w:pPr>
      <w:hyperlink w:anchor="_Toc527990493" w:history="1">
        <w:r w:rsidRPr="00D52404">
          <w:rPr>
            <w:rStyle w:val="Hyperlink"/>
            <w:noProof/>
          </w:rPr>
          <w:t xml:space="preserve">Tabela </w:t>
        </w:r>
        <w:r w:rsidRPr="00D52404">
          <w:rPr>
            <w:rStyle w:val="Hyperlink"/>
            <w:noProof/>
            <w:highlight w:val="lightGray"/>
          </w:rPr>
          <w:t>18</w:t>
        </w:r>
        <w:r w:rsidRPr="00D52404">
          <w:rPr>
            <w:rStyle w:val="Hyperlink"/>
            <w:noProof/>
          </w:rPr>
          <w:t>: Recursos disponíveis para operacionalização da estratégia de dispersão química.</w:t>
        </w:r>
        <w:r>
          <w:rPr>
            <w:noProof/>
            <w:webHidden/>
          </w:rPr>
          <w:tab/>
        </w:r>
        <w:r>
          <w:rPr>
            <w:noProof/>
            <w:webHidden/>
          </w:rPr>
          <w:fldChar w:fldCharType="begin"/>
        </w:r>
        <w:r>
          <w:rPr>
            <w:noProof/>
            <w:webHidden/>
          </w:rPr>
          <w:instrText xml:space="preserve"> PAGEREF _Toc527990493 \h </w:instrText>
        </w:r>
        <w:r>
          <w:rPr>
            <w:noProof/>
            <w:webHidden/>
          </w:rPr>
        </w:r>
        <w:r>
          <w:rPr>
            <w:noProof/>
            <w:webHidden/>
          </w:rPr>
          <w:fldChar w:fldCharType="separate"/>
        </w:r>
        <w:r>
          <w:rPr>
            <w:noProof/>
            <w:webHidden/>
          </w:rPr>
          <w:t>123</w:t>
        </w:r>
        <w:r>
          <w:rPr>
            <w:noProof/>
            <w:webHidden/>
          </w:rPr>
          <w:fldChar w:fldCharType="end"/>
        </w:r>
      </w:hyperlink>
    </w:p>
    <w:p w14:paraId="43F72AFF" w14:textId="09168628" w:rsidR="009D286F" w:rsidRDefault="009D286F">
      <w:pPr>
        <w:pStyle w:val="ndicedeilustraes"/>
        <w:tabs>
          <w:tab w:val="right" w:leader="dot" w:pos="9060"/>
        </w:tabs>
        <w:rPr>
          <w:rFonts w:asciiTheme="minorHAnsi" w:hAnsiTheme="minorHAnsi"/>
          <w:i w:val="0"/>
          <w:iCs w:val="0"/>
          <w:noProof/>
          <w:szCs w:val="22"/>
        </w:rPr>
      </w:pPr>
      <w:hyperlink w:anchor="_Toc527990494" w:history="1">
        <w:r w:rsidRPr="00D52404">
          <w:rPr>
            <w:rStyle w:val="Hyperlink"/>
            <w:noProof/>
          </w:rPr>
          <w:t xml:space="preserve">Tabela </w:t>
        </w:r>
        <w:r w:rsidRPr="00D52404">
          <w:rPr>
            <w:rStyle w:val="Hyperlink"/>
            <w:noProof/>
            <w:highlight w:val="lightGray"/>
          </w:rPr>
          <w:t>19</w:t>
        </w:r>
        <w:r w:rsidRPr="00D52404">
          <w:rPr>
            <w:rStyle w:val="Hyperlink"/>
            <w:noProof/>
          </w:rPr>
          <w:t>: Descrição dos requisitos da embarcação utilizada na aplicação submarina de dispersantes (com recursos de monitoramento).</w:t>
        </w:r>
        <w:r>
          <w:rPr>
            <w:noProof/>
            <w:webHidden/>
          </w:rPr>
          <w:tab/>
        </w:r>
        <w:r>
          <w:rPr>
            <w:noProof/>
            <w:webHidden/>
          </w:rPr>
          <w:fldChar w:fldCharType="begin"/>
        </w:r>
        <w:r>
          <w:rPr>
            <w:noProof/>
            <w:webHidden/>
          </w:rPr>
          <w:instrText xml:space="preserve"> PAGEREF _Toc527990494 \h </w:instrText>
        </w:r>
        <w:r>
          <w:rPr>
            <w:noProof/>
            <w:webHidden/>
          </w:rPr>
        </w:r>
        <w:r>
          <w:rPr>
            <w:noProof/>
            <w:webHidden/>
          </w:rPr>
          <w:fldChar w:fldCharType="separate"/>
        </w:r>
        <w:r>
          <w:rPr>
            <w:noProof/>
            <w:webHidden/>
          </w:rPr>
          <w:t>124</w:t>
        </w:r>
        <w:r>
          <w:rPr>
            <w:noProof/>
            <w:webHidden/>
          </w:rPr>
          <w:fldChar w:fldCharType="end"/>
        </w:r>
      </w:hyperlink>
    </w:p>
    <w:p w14:paraId="7C395DA3" w14:textId="23791DEE" w:rsidR="009D286F" w:rsidRDefault="009D286F">
      <w:pPr>
        <w:pStyle w:val="ndicedeilustraes"/>
        <w:tabs>
          <w:tab w:val="right" w:leader="dot" w:pos="9060"/>
        </w:tabs>
        <w:rPr>
          <w:rFonts w:asciiTheme="minorHAnsi" w:hAnsiTheme="minorHAnsi"/>
          <w:i w:val="0"/>
          <w:iCs w:val="0"/>
          <w:noProof/>
          <w:szCs w:val="22"/>
        </w:rPr>
      </w:pPr>
      <w:hyperlink w:anchor="_Toc527990495" w:history="1">
        <w:r w:rsidRPr="00D52404">
          <w:rPr>
            <w:rStyle w:val="Hyperlink"/>
            <w:noProof/>
          </w:rPr>
          <w:t xml:space="preserve">Tabela </w:t>
        </w:r>
        <w:r w:rsidRPr="00D52404">
          <w:rPr>
            <w:rStyle w:val="Hyperlink"/>
            <w:noProof/>
            <w:highlight w:val="lightGray"/>
          </w:rPr>
          <w:t>20</w:t>
        </w:r>
        <w:r w:rsidRPr="00D52404">
          <w:rPr>
            <w:rStyle w:val="Hyperlink"/>
            <w:noProof/>
          </w:rPr>
          <w:t>: Tipos típicos de resíduos gerados durante uma operação de resposta a derramamentos de óleo e limpeza.</w:t>
        </w:r>
        <w:r>
          <w:rPr>
            <w:noProof/>
            <w:webHidden/>
          </w:rPr>
          <w:tab/>
        </w:r>
        <w:r>
          <w:rPr>
            <w:noProof/>
            <w:webHidden/>
          </w:rPr>
          <w:fldChar w:fldCharType="begin"/>
        </w:r>
        <w:r>
          <w:rPr>
            <w:noProof/>
            <w:webHidden/>
          </w:rPr>
          <w:instrText xml:space="preserve"> PAGEREF _Toc527990495 \h </w:instrText>
        </w:r>
        <w:r>
          <w:rPr>
            <w:noProof/>
            <w:webHidden/>
          </w:rPr>
        </w:r>
        <w:r>
          <w:rPr>
            <w:noProof/>
            <w:webHidden/>
          </w:rPr>
          <w:fldChar w:fldCharType="separate"/>
        </w:r>
        <w:r>
          <w:rPr>
            <w:noProof/>
            <w:webHidden/>
          </w:rPr>
          <w:t>132</w:t>
        </w:r>
        <w:r>
          <w:rPr>
            <w:noProof/>
            <w:webHidden/>
          </w:rPr>
          <w:fldChar w:fldCharType="end"/>
        </w:r>
      </w:hyperlink>
    </w:p>
    <w:p w14:paraId="3FCA30B9" w14:textId="56C796A5" w:rsidR="009D286F" w:rsidRDefault="009D286F">
      <w:pPr>
        <w:pStyle w:val="ndicedeilustraes"/>
        <w:tabs>
          <w:tab w:val="right" w:leader="dot" w:pos="9060"/>
        </w:tabs>
        <w:rPr>
          <w:rFonts w:asciiTheme="minorHAnsi" w:hAnsiTheme="minorHAnsi"/>
          <w:i w:val="0"/>
          <w:iCs w:val="0"/>
          <w:noProof/>
          <w:szCs w:val="22"/>
        </w:rPr>
      </w:pPr>
      <w:hyperlink w:anchor="_Toc527990496" w:history="1">
        <w:r w:rsidRPr="00D52404">
          <w:rPr>
            <w:rStyle w:val="Hyperlink"/>
            <w:b/>
            <w:noProof/>
          </w:rPr>
          <w:t xml:space="preserve">Tabela </w:t>
        </w:r>
        <w:r w:rsidRPr="00D52404">
          <w:rPr>
            <w:rStyle w:val="Hyperlink"/>
            <w:b/>
            <w:noProof/>
            <w:highlight w:val="lightGray"/>
          </w:rPr>
          <w:t>21</w:t>
        </w:r>
        <w:r w:rsidRPr="00D52404">
          <w:rPr>
            <w:rStyle w:val="Hyperlink"/>
            <w:b/>
            <w:noProof/>
          </w:rPr>
          <w:t xml:space="preserve">: Informações sobre os responsáveis técnicos pela elaboração </w:t>
        </w:r>
        <w:r w:rsidRPr="00D52404">
          <w:rPr>
            <w:rStyle w:val="Hyperlink"/>
            <w:b/>
            <w:noProof/>
            <w:highlight w:val="lightGray"/>
          </w:rPr>
          <w:t>desta versão</w:t>
        </w:r>
        <w:r w:rsidRPr="00D52404">
          <w:rPr>
            <w:rStyle w:val="Hyperlink"/>
            <w:b/>
            <w:noProof/>
          </w:rPr>
          <w:t xml:space="preserve"> do Plano de Emergência Individual (PEI).</w:t>
        </w:r>
        <w:r>
          <w:rPr>
            <w:noProof/>
            <w:webHidden/>
          </w:rPr>
          <w:tab/>
        </w:r>
        <w:r>
          <w:rPr>
            <w:noProof/>
            <w:webHidden/>
          </w:rPr>
          <w:fldChar w:fldCharType="begin"/>
        </w:r>
        <w:r>
          <w:rPr>
            <w:noProof/>
            <w:webHidden/>
          </w:rPr>
          <w:instrText xml:space="preserve"> PAGEREF _Toc527990496 \h </w:instrText>
        </w:r>
        <w:r>
          <w:rPr>
            <w:noProof/>
            <w:webHidden/>
          </w:rPr>
        </w:r>
        <w:r>
          <w:rPr>
            <w:noProof/>
            <w:webHidden/>
          </w:rPr>
          <w:fldChar w:fldCharType="separate"/>
        </w:r>
        <w:r>
          <w:rPr>
            <w:noProof/>
            <w:webHidden/>
          </w:rPr>
          <w:t>141</w:t>
        </w:r>
        <w:r>
          <w:rPr>
            <w:noProof/>
            <w:webHidden/>
          </w:rPr>
          <w:fldChar w:fldCharType="end"/>
        </w:r>
      </w:hyperlink>
    </w:p>
    <w:p w14:paraId="4ABC0272" w14:textId="1D31063E" w:rsidR="009D286F" w:rsidRDefault="009D286F">
      <w:pPr>
        <w:pStyle w:val="ndicedeilustraes"/>
        <w:tabs>
          <w:tab w:val="right" w:leader="dot" w:pos="9060"/>
        </w:tabs>
        <w:rPr>
          <w:rFonts w:asciiTheme="minorHAnsi" w:hAnsiTheme="minorHAnsi"/>
          <w:i w:val="0"/>
          <w:iCs w:val="0"/>
          <w:noProof/>
          <w:szCs w:val="22"/>
        </w:rPr>
      </w:pPr>
      <w:hyperlink w:anchor="_Toc527990497" w:history="1">
        <w:r w:rsidRPr="00D52404">
          <w:rPr>
            <w:rStyle w:val="Hyperlink"/>
            <w:b/>
            <w:noProof/>
          </w:rPr>
          <w:t xml:space="preserve">Tabela </w:t>
        </w:r>
        <w:r w:rsidRPr="00D52404">
          <w:rPr>
            <w:rStyle w:val="Hyperlink"/>
            <w:b/>
            <w:noProof/>
            <w:highlight w:val="lightGray"/>
          </w:rPr>
          <w:t>22</w:t>
        </w:r>
        <w:r w:rsidRPr="00D52404">
          <w:rPr>
            <w:rStyle w:val="Hyperlink"/>
            <w:b/>
            <w:noProof/>
          </w:rPr>
          <w:t>: Informações sobre os responsáveis técnicos pela execução do Plano de Emergência Individual (PEI).</w:t>
        </w:r>
        <w:r>
          <w:rPr>
            <w:noProof/>
            <w:webHidden/>
          </w:rPr>
          <w:tab/>
        </w:r>
        <w:r>
          <w:rPr>
            <w:noProof/>
            <w:webHidden/>
          </w:rPr>
          <w:fldChar w:fldCharType="begin"/>
        </w:r>
        <w:r>
          <w:rPr>
            <w:noProof/>
            <w:webHidden/>
          </w:rPr>
          <w:instrText xml:space="preserve"> PAGEREF _Toc527990497 \h </w:instrText>
        </w:r>
        <w:r>
          <w:rPr>
            <w:noProof/>
            <w:webHidden/>
          </w:rPr>
        </w:r>
        <w:r>
          <w:rPr>
            <w:noProof/>
            <w:webHidden/>
          </w:rPr>
          <w:fldChar w:fldCharType="separate"/>
        </w:r>
        <w:r>
          <w:rPr>
            <w:noProof/>
            <w:webHidden/>
          </w:rPr>
          <w:t>142</w:t>
        </w:r>
        <w:r>
          <w:rPr>
            <w:noProof/>
            <w:webHidden/>
          </w:rPr>
          <w:fldChar w:fldCharType="end"/>
        </w:r>
      </w:hyperlink>
    </w:p>
    <w:p w14:paraId="57E74BDB" w14:textId="07CC4D8F" w:rsidR="00081378" w:rsidRDefault="005B5638" w:rsidP="00081378">
      <w:pPr>
        <w:pStyle w:val="tier1Itext"/>
        <w:rPr>
          <w:rStyle w:val="NegritoVersaleteChar"/>
          <w:b w:val="0"/>
          <w:color w:val="auto"/>
          <w:sz w:val="20"/>
        </w:rPr>
      </w:pPr>
      <w:r w:rsidRPr="00DB2BC5">
        <w:rPr>
          <w:rStyle w:val="NegritoVersaleteChar"/>
          <w:b w:val="0"/>
          <w:color w:val="auto"/>
          <w:sz w:val="20"/>
        </w:rPr>
        <w:fldChar w:fldCharType="end"/>
      </w:r>
    </w:p>
    <w:p w14:paraId="0D34554B" w14:textId="77777777" w:rsidR="00AF1580" w:rsidRDefault="00AF1580" w:rsidP="00081378">
      <w:pPr>
        <w:pStyle w:val="tier1Itext"/>
        <w:rPr>
          <w:rStyle w:val="NegritoVersaleteChar"/>
          <w:b w:val="0"/>
          <w:color w:val="auto"/>
          <w:sz w:val="20"/>
        </w:rPr>
      </w:pPr>
    </w:p>
    <w:p w14:paraId="66DB7750" w14:textId="695408ED" w:rsidR="005249F7" w:rsidRDefault="005249F7" w:rsidP="00081378">
      <w:pPr>
        <w:pStyle w:val="tier1Itext"/>
        <w:jc w:val="center"/>
        <w:rPr>
          <w:rStyle w:val="NegritoVersaleteChar"/>
          <w:b w:val="0"/>
          <w:i w:val="0"/>
          <w:smallCaps w:val="0"/>
          <w:color w:val="auto"/>
        </w:rPr>
      </w:pPr>
      <w:r w:rsidRPr="007A5400">
        <w:rPr>
          <w:rStyle w:val="NegritoVersaleteChar"/>
          <w:i w:val="0"/>
          <w:color w:val="auto"/>
        </w:rPr>
        <w:t xml:space="preserve">Índice de </w:t>
      </w:r>
      <w:r>
        <w:rPr>
          <w:rStyle w:val="NegritoVersaleteChar"/>
          <w:i w:val="0"/>
          <w:color w:val="auto"/>
        </w:rPr>
        <w:t>Apêndices</w:t>
      </w:r>
    </w:p>
    <w:p w14:paraId="0C7D3319" w14:textId="77777777" w:rsidR="005249F7" w:rsidRPr="007C7E08" w:rsidRDefault="005E4B27" w:rsidP="005E4B27">
      <w:pPr>
        <w:pStyle w:val="Indices"/>
        <w:spacing w:before="0"/>
        <w:jc w:val="left"/>
        <w:rPr>
          <w:rStyle w:val="NegritoVersaleteChar"/>
          <w:i w:val="0"/>
          <w:color w:val="auto"/>
          <w:sz w:val="22"/>
          <w:szCs w:val="22"/>
        </w:rPr>
      </w:pPr>
      <w:r w:rsidRPr="007C7E08">
        <w:rPr>
          <w:rStyle w:val="NegritoVersaleteChar"/>
          <w:i w:val="0"/>
          <w:color w:val="auto"/>
          <w:sz w:val="22"/>
          <w:szCs w:val="22"/>
        </w:rPr>
        <w:t>APÊNDICE A – IDENTIFICAÇÃO DOS RISCOS POR FONTE</w:t>
      </w:r>
    </w:p>
    <w:p w14:paraId="3A1E034D" w14:textId="77777777" w:rsidR="005249F7" w:rsidRPr="007C7E08" w:rsidRDefault="005E4B27" w:rsidP="005E4B27">
      <w:pPr>
        <w:pStyle w:val="Indices"/>
        <w:spacing w:before="0"/>
        <w:jc w:val="left"/>
        <w:rPr>
          <w:rStyle w:val="NegritoVersaleteChar"/>
          <w:i w:val="0"/>
          <w:color w:val="auto"/>
          <w:sz w:val="22"/>
          <w:szCs w:val="22"/>
        </w:rPr>
      </w:pPr>
      <w:r w:rsidRPr="007C7E08">
        <w:rPr>
          <w:rStyle w:val="NegritoVersaleteChar"/>
          <w:i w:val="0"/>
          <w:color w:val="auto"/>
          <w:sz w:val="22"/>
          <w:szCs w:val="22"/>
        </w:rPr>
        <w:t>APÊNDICE B – LIS</w:t>
      </w:r>
      <w:bookmarkStart w:id="0" w:name="_GoBack"/>
      <w:bookmarkEnd w:id="0"/>
      <w:r w:rsidRPr="007C7E08">
        <w:rPr>
          <w:rStyle w:val="NegritoVersaleteChar"/>
          <w:i w:val="0"/>
          <w:color w:val="auto"/>
          <w:sz w:val="22"/>
          <w:szCs w:val="22"/>
        </w:rPr>
        <w:t>TA DE CONTATOS</w:t>
      </w:r>
    </w:p>
    <w:p w14:paraId="2C7163CF" w14:textId="2BFA0513" w:rsidR="005249F7" w:rsidRPr="007C7E08" w:rsidRDefault="005E4B27" w:rsidP="005E4B27">
      <w:pPr>
        <w:pStyle w:val="Indices"/>
        <w:spacing w:before="0"/>
        <w:jc w:val="left"/>
        <w:rPr>
          <w:rStyle w:val="NegritoVersaleteChar"/>
          <w:i w:val="0"/>
          <w:color w:val="auto"/>
          <w:sz w:val="22"/>
          <w:szCs w:val="22"/>
        </w:rPr>
      </w:pPr>
      <w:r w:rsidRPr="007C7E08">
        <w:rPr>
          <w:rStyle w:val="NegritoVersaleteChar"/>
          <w:i w:val="0"/>
          <w:color w:val="auto"/>
          <w:sz w:val="22"/>
          <w:szCs w:val="22"/>
        </w:rPr>
        <w:t xml:space="preserve">APÊNDICE C – </w:t>
      </w:r>
      <w:r w:rsidR="004D4A24" w:rsidRPr="007C7E08">
        <w:rPr>
          <w:rStyle w:val="NegritoVersaleteChar"/>
          <w:i w:val="0"/>
          <w:color w:val="auto"/>
          <w:sz w:val="22"/>
          <w:szCs w:val="22"/>
        </w:rPr>
        <w:t>TREINAMENTOS E SIMULADOS</w:t>
      </w:r>
    </w:p>
    <w:p w14:paraId="150ED6F1" w14:textId="41DA11FE" w:rsidR="005249F7" w:rsidRPr="007C7E08" w:rsidRDefault="005E4B27" w:rsidP="005E4B27">
      <w:pPr>
        <w:pStyle w:val="Indices"/>
        <w:spacing w:before="0"/>
        <w:jc w:val="left"/>
        <w:rPr>
          <w:rStyle w:val="NegritoVersaleteChar"/>
          <w:i w:val="0"/>
          <w:color w:val="auto"/>
          <w:sz w:val="22"/>
          <w:szCs w:val="22"/>
        </w:rPr>
      </w:pPr>
      <w:r w:rsidRPr="007C7E08">
        <w:rPr>
          <w:rStyle w:val="NegritoVersaleteChar"/>
          <w:i w:val="0"/>
          <w:color w:val="auto"/>
          <w:sz w:val="22"/>
          <w:szCs w:val="22"/>
        </w:rPr>
        <w:t xml:space="preserve">APÊNDICE D – </w:t>
      </w:r>
      <w:r w:rsidR="00CE6488" w:rsidRPr="007C7E08">
        <w:rPr>
          <w:rStyle w:val="NegritoVersaleteChar"/>
          <w:i w:val="0"/>
          <w:color w:val="auto"/>
          <w:sz w:val="22"/>
          <w:szCs w:val="22"/>
        </w:rPr>
        <w:t>FORMULÁRIOS E RELATÓRIOS DE APOIO À GESTÃO</w:t>
      </w:r>
    </w:p>
    <w:p w14:paraId="75588DC0" w14:textId="767D6D0B" w:rsidR="005249F7" w:rsidRPr="007C7E08" w:rsidRDefault="005E4B27" w:rsidP="005E4B27">
      <w:pPr>
        <w:pStyle w:val="Indices"/>
        <w:spacing w:before="0"/>
        <w:jc w:val="left"/>
        <w:rPr>
          <w:rStyle w:val="NegritoVersaleteChar"/>
          <w:i w:val="0"/>
          <w:color w:val="auto"/>
          <w:sz w:val="22"/>
          <w:szCs w:val="22"/>
        </w:rPr>
      </w:pPr>
      <w:r w:rsidRPr="007C7E08">
        <w:rPr>
          <w:rStyle w:val="NegritoVersaleteChar"/>
          <w:i w:val="0"/>
          <w:color w:val="auto"/>
          <w:sz w:val="22"/>
          <w:szCs w:val="22"/>
        </w:rPr>
        <w:t xml:space="preserve">APÊNDICE E – </w:t>
      </w:r>
      <w:r w:rsidR="00CE6488" w:rsidRPr="007C7E08">
        <w:rPr>
          <w:rStyle w:val="NegritoVersaleteChar"/>
          <w:i w:val="0"/>
          <w:color w:val="auto"/>
          <w:sz w:val="22"/>
          <w:szCs w:val="22"/>
        </w:rPr>
        <w:t>DIMENSIONAMENTO DA CAPACIDADE DE RESPOSTA</w:t>
      </w:r>
    </w:p>
    <w:p w14:paraId="6142F369" w14:textId="511F9C8E" w:rsidR="005249F7" w:rsidRPr="005E4B27" w:rsidRDefault="005E4B27" w:rsidP="005E4B27">
      <w:pPr>
        <w:pStyle w:val="Indices"/>
        <w:spacing w:before="0"/>
        <w:jc w:val="left"/>
        <w:rPr>
          <w:rStyle w:val="NegritoVersaleteChar"/>
          <w:i w:val="0"/>
          <w:color w:val="auto"/>
          <w:sz w:val="22"/>
          <w:szCs w:val="22"/>
        </w:rPr>
      </w:pPr>
      <w:r w:rsidRPr="007C7E08">
        <w:rPr>
          <w:rStyle w:val="NegritoVersaleteChar"/>
          <w:i w:val="0"/>
          <w:color w:val="auto"/>
          <w:sz w:val="22"/>
          <w:szCs w:val="22"/>
        </w:rPr>
        <w:t xml:space="preserve">APÊNDICE F – </w:t>
      </w:r>
      <w:r w:rsidR="00CE6488" w:rsidRPr="007C7E08">
        <w:rPr>
          <w:rStyle w:val="NegritoVersaleteChar"/>
          <w:i w:val="0"/>
          <w:color w:val="auto"/>
          <w:sz w:val="22"/>
          <w:szCs w:val="22"/>
        </w:rPr>
        <w:t>INVENTÁRIO DOS RECURSOS DE RESPOSTA</w:t>
      </w:r>
    </w:p>
    <w:p w14:paraId="19250108" w14:textId="77777777" w:rsidR="00A43854" w:rsidRDefault="00A43854" w:rsidP="00C93479">
      <w:pPr>
        <w:pStyle w:val="tier1Itext"/>
        <w:rPr>
          <w:rStyle w:val="NegritoVersaleteChar"/>
          <w:b w:val="0"/>
          <w:i w:val="0"/>
          <w:smallCaps w:val="0"/>
          <w:color w:val="auto"/>
        </w:rPr>
      </w:pPr>
      <w:r>
        <w:rPr>
          <w:rStyle w:val="NegritoVersaleteChar"/>
          <w:b w:val="0"/>
          <w:i w:val="0"/>
          <w:smallCaps w:val="0"/>
          <w:color w:val="auto"/>
        </w:rPr>
        <w:br w:type="page"/>
      </w:r>
    </w:p>
    <w:p w14:paraId="3BA56147" w14:textId="77777777" w:rsidR="005249F7" w:rsidRDefault="005249F7" w:rsidP="005249F7">
      <w:pPr>
        <w:pStyle w:val="Indices"/>
        <w:rPr>
          <w:rStyle w:val="NegritoVersaleteChar"/>
          <w:b/>
          <w:i w:val="0"/>
          <w:smallCaps/>
          <w:color w:val="auto"/>
        </w:rPr>
      </w:pPr>
      <w:r w:rsidRPr="007A5400">
        <w:rPr>
          <w:rStyle w:val="NegritoVersaleteChar"/>
          <w:b/>
          <w:i w:val="0"/>
          <w:smallCaps/>
          <w:color w:val="auto"/>
        </w:rPr>
        <w:lastRenderedPageBreak/>
        <w:t xml:space="preserve">Índice de </w:t>
      </w:r>
      <w:r>
        <w:rPr>
          <w:rStyle w:val="NegritoVersaleteChar"/>
          <w:b/>
          <w:i w:val="0"/>
          <w:smallCaps/>
          <w:color w:val="auto"/>
        </w:rPr>
        <w:t>Anexos</w:t>
      </w:r>
    </w:p>
    <w:p w14:paraId="5291C4AC" w14:textId="705EA46D" w:rsidR="005249F7" w:rsidRPr="005E4B27" w:rsidRDefault="005E4B27" w:rsidP="005E4B27">
      <w:pPr>
        <w:pStyle w:val="Indices"/>
        <w:spacing w:before="0"/>
        <w:jc w:val="left"/>
        <w:rPr>
          <w:rStyle w:val="NegritoVersaleteChar"/>
          <w:i w:val="0"/>
          <w:color w:val="auto"/>
          <w:sz w:val="22"/>
          <w:szCs w:val="22"/>
        </w:rPr>
      </w:pPr>
      <w:r w:rsidRPr="003455A8">
        <w:rPr>
          <w:rStyle w:val="NegritoVersaleteChar"/>
          <w:i w:val="0"/>
          <w:color w:val="auto"/>
          <w:sz w:val="22"/>
          <w:szCs w:val="22"/>
        </w:rPr>
        <w:t>ANEXO A</w:t>
      </w:r>
      <w:r w:rsidRPr="005E4B27">
        <w:rPr>
          <w:rStyle w:val="NegritoVersaleteChar"/>
          <w:i w:val="0"/>
          <w:color w:val="auto"/>
          <w:sz w:val="22"/>
          <w:szCs w:val="22"/>
        </w:rPr>
        <w:t xml:space="preserve"> – CARACTERÍSTICAS DA UNIDADE </w:t>
      </w:r>
      <w:r w:rsidR="007059C7">
        <w:rPr>
          <w:rStyle w:val="NegritoVersaleteChar"/>
          <w:i w:val="0"/>
          <w:color w:val="auto"/>
          <w:sz w:val="22"/>
          <w:szCs w:val="22"/>
        </w:rPr>
        <w:t>DE PERFURAÇÃO</w:t>
      </w:r>
      <w:r w:rsidRPr="005E4B27">
        <w:rPr>
          <w:rStyle w:val="NegritoVersaleteChar"/>
          <w:i w:val="0"/>
          <w:color w:val="auto"/>
          <w:sz w:val="22"/>
          <w:szCs w:val="22"/>
        </w:rPr>
        <w:t xml:space="preserve"> E EMBARCAÇÕES DE APOIO E DEDICADA</w:t>
      </w:r>
    </w:p>
    <w:p w14:paraId="3D32D932" w14:textId="77777777" w:rsidR="001B3163" w:rsidRPr="005E4B27" w:rsidRDefault="005A0D63" w:rsidP="00EA2A77">
      <w:pPr>
        <w:numPr>
          <w:ilvl w:val="0"/>
          <w:numId w:val="30"/>
        </w:numPr>
        <w:spacing w:before="0"/>
        <w:ind w:left="1060" w:hanging="357"/>
        <w:rPr>
          <w:rFonts w:asciiTheme="majorHAnsi" w:hAnsiTheme="majorHAnsi"/>
        </w:rPr>
      </w:pPr>
      <w:r>
        <w:rPr>
          <w:rFonts w:asciiTheme="majorHAnsi" w:hAnsiTheme="majorHAnsi"/>
        </w:rPr>
        <w:t>DUM ENSCO DS-4 (Descrição da Unidade Marítima)</w:t>
      </w:r>
    </w:p>
    <w:p w14:paraId="62C31D6B" w14:textId="77777777" w:rsidR="001B3163" w:rsidRPr="005E4B27" w:rsidRDefault="001B3163" w:rsidP="00EA2A77">
      <w:pPr>
        <w:numPr>
          <w:ilvl w:val="0"/>
          <w:numId w:val="30"/>
        </w:numPr>
        <w:spacing w:before="0"/>
        <w:ind w:left="1060" w:hanging="357"/>
        <w:rPr>
          <w:rFonts w:asciiTheme="majorHAnsi" w:hAnsiTheme="majorHAnsi"/>
        </w:rPr>
      </w:pPr>
      <w:bookmarkStart w:id="1" w:name="_Ref414612030"/>
      <w:r w:rsidRPr="005E4B27">
        <w:rPr>
          <w:rFonts w:asciiTheme="majorHAnsi" w:hAnsiTheme="majorHAnsi"/>
        </w:rPr>
        <w:t>Ficha das especificações técnicas das embarcações de apoio e dedicada</w:t>
      </w:r>
      <w:bookmarkEnd w:id="1"/>
    </w:p>
    <w:p w14:paraId="724C6BEF" w14:textId="77777777" w:rsidR="005249F7" w:rsidRPr="005E4B27" w:rsidRDefault="005E4B27" w:rsidP="005E4B27">
      <w:pPr>
        <w:pStyle w:val="Indices"/>
        <w:spacing w:before="0"/>
        <w:jc w:val="left"/>
        <w:rPr>
          <w:rStyle w:val="NegritoVersaleteChar"/>
          <w:i w:val="0"/>
          <w:color w:val="auto"/>
          <w:sz w:val="22"/>
          <w:szCs w:val="22"/>
        </w:rPr>
      </w:pPr>
      <w:r w:rsidRPr="005E4B27">
        <w:rPr>
          <w:rStyle w:val="NegritoVersaleteChar"/>
          <w:i w:val="0"/>
          <w:color w:val="auto"/>
          <w:sz w:val="22"/>
          <w:szCs w:val="22"/>
        </w:rPr>
        <w:t>ANEXO B – MODELAGEM DE DISPERSÃO DE ÓLEO</w:t>
      </w:r>
    </w:p>
    <w:p w14:paraId="78D59666" w14:textId="77777777" w:rsidR="005249F7" w:rsidRPr="005E4B27" w:rsidRDefault="005E4B27" w:rsidP="005E4B27">
      <w:pPr>
        <w:pStyle w:val="Indices"/>
        <w:spacing w:before="0"/>
        <w:jc w:val="left"/>
        <w:rPr>
          <w:rStyle w:val="NegritoVersaleteChar"/>
          <w:i w:val="0"/>
          <w:color w:val="auto"/>
          <w:sz w:val="22"/>
          <w:szCs w:val="22"/>
        </w:rPr>
      </w:pPr>
      <w:r w:rsidRPr="005E4B27">
        <w:rPr>
          <w:rStyle w:val="NegritoVersaleteChar"/>
          <w:i w:val="0"/>
          <w:color w:val="auto"/>
          <w:sz w:val="22"/>
          <w:szCs w:val="22"/>
        </w:rPr>
        <w:t>ANEXO C – ANÁLISE E MAPA DE VULNERABILIDADE</w:t>
      </w:r>
    </w:p>
    <w:p w14:paraId="53D3C657" w14:textId="77777777" w:rsidR="00A43854" w:rsidRDefault="00A43854" w:rsidP="00121F26">
      <w:pPr>
        <w:pStyle w:val="tier1Itext"/>
        <w:rPr>
          <w:rStyle w:val="NegritoVersaleteChar"/>
          <w:b w:val="0"/>
          <w:i w:val="0"/>
          <w:smallCaps w:val="0"/>
          <w:color w:val="auto"/>
        </w:rPr>
      </w:pPr>
      <w:r>
        <w:rPr>
          <w:rStyle w:val="NegritoVersaleteChar"/>
          <w:b w:val="0"/>
          <w:i w:val="0"/>
          <w:smallCaps w:val="0"/>
          <w:color w:val="auto"/>
        </w:rPr>
        <w:br w:type="page"/>
      </w:r>
    </w:p>
    <w:p w14:paraId="7E6CCF0B" w14:textId="77777777" w:rsidR="00BF1926" w:rsidRDefault="00BF1926" w:rsidP="005249F7">
      <w:pPr>
        <w:pStyle w:val="Indices"/>
        <w:rPr>
          <w:rStyle w:val="NegritoVersaleteChar"/>
          <w:b/>
          <w:i w:val="0"/>
          <w:smallCaps/>
          <w:color w:val="auto"/>
        </w:rPr>
      </w:pPr>
      <w:r>
        <w:rPr>
          <w:rStyle w:val="NegritoVersaleteChar"/>
          <w:b/>
          <w:i w:val="0"/>
          <w:smallCaps/>
          <w:color w:val="auto"/>
        </w:rPr>
        <w:lastRenderedPageBreak/>
        <w:t>Lista de Siglas</w:t>
      </w:r>
    </w:p>
    <w:tbl>
      <w:tblPr>
        <w:tblW w:w="5000" w:type="pct"/>
        <w:tblCellMar>
          <w:left w:w="70" w:type="dxa"/>
          <w:right w:w="70" w:type="dxa"/>
        </w:tblCellMar>
        <w:tblLook w:val="04A0" w:firstRow="1" w:lastRow="0" w:firstColumn="1" w:lastColumn="0" w:noHBand="0" w:noVBand="1"/>
      </w:tblPr>
      <w:tblGrid>
        <w:gridCol w:w="1551"/>
        <w:gridCol w:w="7489"/>
      </w:tblGrid>
      <w:tr w:rsidR="00EC26E4" w:rsidRPr="00BF1926" w14:paraId="4972857B" w14:textId="77777777" w:rsidTr="005249F7">
        <w:trPr>
          <w:trHeight w:val="330"/>
          <w:tblHeader/>
        </w:trPr>
        <w:tc>
          <w:tcPr>
            <w:tcW w:w="858" w:type="pct"/>
            <w:tcBorders>
              <w:top w:val="nil"/>
              <w:left w:val="single" w:sz="12" w:space="0" w:color="FFFFFF"/>
              <w:bottom w:val="single" w:sz="12" w:space="0" w:color="FFFFFF"/>
              <w:right w:val="single" w:sz="12" w:space="0" w:color="FFFFFF"/>
            </w:tcBorders>
            <w:shd w:val="clear" w:color="auto" w:fill="1F497D" w:themeFill="text2"/>
            <w:vAlign w:val="center"/>
          </w:tcPr>
          <w:p w14:paraId="2F4FE3B1" w14:textId="77777777" w:rsidR="00EC26E4" w:rsidRPr="00EC26E4" w:rsidRDefault="00EC26E4" w:rsidP="00EC26E4">
            <w:pPr>
              <w:spacing w:before="100" w:beforeAutospacing="1" w:after="100" w:afterAutospacing="1" w:line="240" w:lineRule="auto"/>
              <w:jc w:val="center"/>
              <w:rPr>
                <w:rFonts w:asciiTheme="majorHAnsi" w:hAnsiTheme="majorHAnsi"/>
                <w:b/>
                <w:color w:val="FFFFFF" w:themeColor="background1"/>
                <w:sz w:val="20"/>
                <w:szCs w:val="20"/>
              </w:rPr>
            </w:pPr>
            <w:r>
              <w:rPr>
                <w:rFonts w:asciiTheme="majorHAnsi" w:hAnsiTheme="majorHAnsi"/>
                <w:b/>
                <w:color w:val="FFFFFF" w:themeColor="background1"/>
                <w:sz w:val="20"/>
                <w:szCs w:val="20"/>
              </w:rPr>
              <w:t>Sigla</w:t>
            </w:r>
          </w:p>
        </w:tc>
        <w:tc>
          <w:tcPr>
            <w:tcW w:w="4142" w:type="pct"/>
            <w:tcBorders>
              <w:top w:val="nil"/>
              <w:left w:val="nil"/>
              <w:bottom w:val="single" w:sz="12" w:space="0" w:color="FFFFFF"/>
              <w:right w:val="single" w:sz="12" w:space="0" w:color="FFFFFF"/>
            </w:tcBorders>
            <w:shd w:val="clear" w:color="auto" w:fill="1F497D" w:themeFill="text2"/>
            <w:vAlign w:val="center"/>
          </w:tcPr>
          <w:p w14:paraId="26DEB92C" w14:textId="77777777" w:rsidR="00EC26E4" w:rsidRPr="00EC26E4" w:rsidRDefault="00EC26E4" w:rsidP="00EC26E4">
            <w:pPr>
              <w:spacing w:before="100" w:beforeAutospacing="1" w:after="100" w:afterAutospacing="1" w:line="240" w:lineRule="auto"/>
              <w:jc w:val="center"/>
              <w:rPr>
                <w:rFonts w:asciiTheme="majorHAnsi" w:hAnsiTheme="majorHAnsi"/>
                <w:b/>
                <w:color w:val="FFFFFF" w:themeColor="background1"/>
                <w:sz w:val="20"/>
                <w:szCs w:val="20"/>
              </w:rPr>
            </w:pPr>
            <w:r>
              <w:rPr>
                <w:rFonts w:asciiTheme="majorHAnsi" w:hAnsiTheme="majorHAnsi"/>
                <w:b/>
                <w:color w:val="FFFFFF" w:themeColor="background1"/>
                <w:sz w:val="20"/>
                <w:szCs w:val="20"/>
              </w:rPr>
              <w:t>Definição</w:t>
            </w:r>
          </w:p>
        </w:tc>
      </w:tr>
      <w:tr w:rsidR="00BF1926" w:rsidRPr="00BF1926" w14:paraId="0000EB7F"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497797E0"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ACT</w:t>
            </w:r>
          </w:p>
        </w:tc>
        <w:tc>
          <w:tcPr>
            <w:tcW w:w="4142" w:type="pct"/>
            <w:tcBorders>
              <w:top w:val="nil"/>
              <w:left w:val="nil"/>
              <w:bottom w:val="single" w:sz="12" w:space="0" w:color="FFFFFF"/>
              <w:right w:val="single" w:sz="12" w:space="0" w:color="FFFFFF"/>
            </w:tcBorders>
            <w:shd w:val="clear" w:color="000000" w:fill="D9D9D9"/>
            <w:vAlign w:val="center"/>
            <w:hideMark/>
          </w:tcPr>
          <w:p w14:paraId="0C0A3E33"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Acordo de Cooperação Técnica</w:t>
            </w:r>
          </w:p>
        </w:tc>
      </w:tr>
      <w:tr w:rsidR="00BF1926" w:rsidRPr="00BF1926" w14:paraId="5C1DCBE7"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3E5706C2" w14:textId="77777777" w:rsidR="00BF1926" w:rsidRPr="00BF1926" w:rsidRDefault="0059026A" w:rsidP="00FC10A8">
            <w:pPr>
              <w:spacing w:before="100" w:beforeAutospacing="1" w:after="100" w:afterAutospacing="1" w:line="240" w:lineRule="auto"/>
              <w:rPr>
                <w:rFonts w:asciiTheme="majorHAnsi" w:hAnsiTheme="majorHAnsi"/>
                <w:color w:val="000000"/>
                <w:sz w:val="20"/>
                <w:szCs w:val="20"/>
              </w:rPr>
            </w:pPr>
            <w:r>
              <w:rPr>
                <w:rFonts w:asciiTheme="majorHAnsi" w:hAnsiTheme="majorHAnsi"/>
                <w:color w:val="000000"/>
                <w:sz w:val="20"/>
                <w:szCs w:val="20"/>
              </w:rPr>
              <w:t>ANP</w:t>
            </w:r>
          </w:p>
        </w:tc>
        <w:tc>
          <w:tcPr>
            <w:tcW w:w="4142" w:type="pct"/>
            <w:tcBorders>
              <w:top w:val="nil"/>
              <w:left w:val="nil"/>
              <w:bottom w:val="single" w:sz="12" w:space="0" w:color="FFFFFF"/>
              <w:right w:val="single" w:sz="12" w:space="0" w:color="FFFFFF"/>
            </w:tcBorders>
            <w:shd w:val="clear" w:color="000000" w:fill="D9D9D9"/>
            <w:vAlign w:val="center"/>
            <w:hideMark/>
          </w:tcPr>
          <w:p w14:paraId="2BAB0CFB"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Agência Nacional do Petróleo, Gás Natural e Biocombustíveis</w:t>
            </w:r>
          </w:p>
        </w:tc>
      </w:tr>
      <w:tr w:rsidR="00BF1926" w:rsidRPr="00BF1926" w14:paraId="6C3F479A"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7E244B22"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API</w:t>
            </w:r>
          </w:p>
        </w:tc>
        <w:tc>
          <w:tcPr>
            <w:tcW w:w="4142" w:type="pct"/>
            <w:tcBorders>
              <w:top w:val="nil"/>
              <w:left w:val="nil"/>
              <w:bottom w:val="single" w:sz="12" w:space="0" w:color="FFFFFF"/>
              <w:right w:val="single" w:sz="12" w:space="0" w:color="FFFFFF"/>
            </w:tcBorders>
            <w:shd w:val="clear" w:color="000000" w:fill="D9D9D9"/>
            <w:vAlign w:val="center"/>
            <w:hideMark/>
          </w:tcPr>
          <w:p w14:paraId="51635EF9" w14:textId="77777777" w:rsidR="00BF1926" w:rsidRPr="00BF1926" w:rsidRDefault="00BF1926" w:rsidP="0059026A">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i/>
                <w:color w:val="000000"/>
                <w:sz w:val="20"/>
                <w:szCs w:val="20"/>
              </w:rPr>
              <w:t>American Petroleum Institute</w:t>
            </w:r>
            <w:r w:rsidRPr="00BF1926">
              <w:rPr>
                <w:rFonts w:asciiTheme="majorHAnsi" w:hAnsiTheme="majorHAnsi"/>
                <w:color w:val="000000"/>
                <w:sz w:val="20"/>
                <w:szCs w:val="20"/>
              </w:rPr>
              <w:t xml:space="preserve"> </w:t>
            </w:r>
          </w:p>
        </w:tc>
      </w:tr>
      <w:tr w:rsidR="00BF1926" w:rsidRPr="00BF1926" w14:paraId="2A3A954E"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52AAD448"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BST</w:t>
            </w:r>
          </w:p>
        </w:tc>
        <w:tc>
          <w:tcPr>
            <w:tcW w:w="4142" w:type="pct"/>
            <w:tcBorders>
              <w:top w:val="nil"/>
              <w:left w:val="nil"/>
              <w:bottom w:val="single" w:sz="12" w:space="0" w:color="FFFFFF"/>
              <w:right w:val="single" w:sz="12" w:space="0" w:color="FFFFFF"/>
            </w:tcBorders>
            <w:shd w:val="clear" w:color="000000" w:fill="D9D9D9"/>
            <w:vAlign w:val="center"/>
            <w:hideMark/>
          </w:tcPr>
          <w:p w14:paraId="7E9EB960" w14:textId="77777777" w:rsidR="00BF1926" w:rsidRPr="00BF1926" w:rsidRDefault="0059026A" w:rsidP="00FC10A8">
            <w:pPr>
              <w:spacing w:before="100" w:beforeAutospacing="1" w:after="100" w:afterAutospacing="1" w:line="240" w:lineRule="auto"/>
              <w:rPr>
                <w:rFonts w:asciiTheme="majorHAnsi" w:hAnsiTheme="majorHAnsi"/>
                <w:color w:val="000000"/>
                <w:sz w:val="20"/>
                <w:szCs w:val="20"/>
              </w:rPr>
            </w:pPr>
            <w:r w:rsidRPr="0059026A">
              <w:rPr>
                <w:rFonts w:asciiTheme="majorHAnsi" w:hAnsiTheme="majorHAnsi"/>
                <w:color w:val="000000"/>
                <w:sz w:val="20"/>
                <w:szCs w:val="20"/>
              </w:rPr>
              <w:t>Equipe de Suporte à Continuidade da Capacidade Operacional</w:t>
            </w:r>
            <w:r w:rsidR="00BF1926" w:rsidRPr="00BF1926">
              <w:rPr>
                <w:rFonts w:asciiTheme="majorHAnsi" w:hAnsiTheme="majorHAnsi"/>
                <w:color w:val="000000"/>
                <w:sz w:val="20"/>
                <w:szCs w:val="20"/>
              </w:rPr>
              <w:t xml:space="preserve"> (em inglês, </w:t>
            </w:r>
            <w:r w:rsidR="00BF1926" w:rsidRPr="0059026A">
              <w:rPr>
                <w:rFonts w:asciiTheme="majorHAnsi" w:hAnsiTheme="majorHAnsi"/>
                <w:i/>
                <w:color w:val="000000"/>
                <w:sz w:val="20"/>
                <w:szCs w:val="20"/>
              </w:rPr>
              <w:t>Business Support Team</w:t>
            </w:r>
            <w:r w:rsidR="00BF1926" w:rsidRPr="00BF1926">
              <w:rPr>
                <w:rFonts w:asciiTheme="majorHAnsi" w:hAnsiTheme="majorHAnsi"/>
                <w:color w:val="000000"/>
                <w:sz w:val="20"/>
                <w:szCs w:val="20"/>
              </w:rPr>
              <w:t>)</w:t>
            </w:r>
          </w:p>
        </w:tc>
      </w:tr>
      <w:tr w:rsidR="00BF1926" w:rsidRPr="00BF1926" w14:paraId="1B231046"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247EADE0"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CB6</w:t>
            </w:r>
          </w:p>
        </w:tc>
        <w:tc>
          <w:tcPr>
            <w:tcW w:w="4142" w:type="pct"/>
            <w:tcBorders>
              <w:top w:val="nil"/>
              <w:left w:val="nil"/>
              <w:bottom w:val="single" w:sz="12" w:space="0" w:color="FFFFFF"/>
              <w:right w:val="single" w:sz="12" w:space="0" w:color="FFFFFF"/>
            </w:tcBorders>
            <w:shd w:val="clear" w:color="000000" w:fill="D9D9D9"/>
            <w:vAlign w:val="center"/>
            <w:hideMark/>
          </w:tcPr>
          <w:p w14:paraId="2AE12A5E"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i/>
                <w:color w:val="000000"/>
                <w:sz w:val="20"/>
                <w:szCs w:val="20"/>
              </w:rPr>
              <w:t>Current Buster</w:t>
            </w:r>
            <w:r w:rsidRPr="00BF1926">
              <w:rPr>
                <w:rFonts w:asciiTheme="majorHAnsi" w:hAnsiTheme="majorHAnsi"/>
                <w:color w:val="000000"/>
                <w:sz w:val="20"/>
                <w:szCs w:val="20"/>
              </w:rPr>
              <w:t xml:space="preserve"> 6</w:t>
            </w:r>
          </w:p>
        </w:tc>
      </w:tr>
      <w:tr w:rsidR="00BF1926" w:rsidRPr="00BF1926" w14:paraId="204CE24D"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2B3402C8"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CCM/ER</w:t>
            </w:r>
          </w:p>
        </w:tc>
        <w:tc>
          <w:tcPr>
            <w:tcW w:w="4142" w:type="pct"/>
            <w:tcBorders>
              <w:top w:val="nil"/>
              <w:left w:val="nil"/>
              <w:bottom w:val="single" w:sz="12" w:space="0" w:color="FFFFFF"/>
              <w:right w:val="single" w:sz="12" w:space="0" w:color="FFFFFF"/>
            </w:tcBorders>
            <w:shd w:val="clear" w:color="000000" w:fill="D9D9D9"/>
            <w:vAlign w:val="center"/>
            <w:hideMark/>
          </w:tcPr>
          <w:p w14:paraId="055B72B9" w14:textId="77777777" w:rsidR="00BF1926" w:rsidRPr="00BF1926" w:rsidRDefault="0059026A" w:rsidP="00FC10A8">
            <w:pPr>
              <w:spacing w:before="100" w:beforeAutospacing="1" w:after="100" w:afterAutospacing="1" w:line="240" w:lineRule="auto"/>
              <w:rPr>
                <w:rFonts w:asciiTheme="majorHAnsi" w:hAnsiTheme="majorHAnsi"/>
                <w:color w:val="000000"/>
                <w:sz w:val="20"/>
                <w:szCs w:val="20"/>
              </w:rPr>
            </w:pPr>
            <w:r w:rsidRPr="0059026A">
              <w:rPr>
                <w:rFonts w:asciiTheme="majorHAnsi" w:hAnsiTheme="majorHAnsi"/>
                <w:color w:val="000000"/>
                <w:sz w:val="20"/>
                <w:szCs w:val="20"/>
              </w:rPr>
              <w:t>Grupo de Gerenciamento de Crise &amp; Continuidade e Resposta a Emergência</w:t>
            </w:r>
            <w:r w:rsidR="00BF1926" w:rsidRPr="00BF1926">
              <w:rPr>
                <w:rFonts w:asciiTheme="majorHAnsi" w:hAnsiTheme="majorHAnsi"/>
                <w:color w:val="000000"/>
                <w:sz w:val="20"/>
                <w:szCs w:val="20"/>
              </w:rPr>
              <w:t xml:space="preserve"> (em inglês, </w:t>
            </w:r>
            <w:r w:rsidR="00BF1926" w:rsidRPr="00BF1926">
              <w:rPr>
                <w:rFonts w:asciiTheme="majorHAnsi" w:hAnsiTheme="majorHAnsi"/>
                <w:i/>
                <w:color w:val="000000"/>
                <w:sz w:val="20"/>
                <w:szCs w:val="20"/>
              </w:rPr>
              <w:t>Crisis Continuity Management and Emergency Response</w:t>
            </w:r>
            <w:r w:rsidR="00BF1926" w:rsidRPr="00BF1926">
              <w:rPr>
                <w:rFonts w:asciiTheme="majorHAnsi" w:hAnsiTheme="majorHAnsi"/>
                <w:color w:val="000000"/>
                <w:sz w:val="20"/>
                <w:szCs w:val="20"/>
              </w:rPr>
              <w:t>)</w:t>
            </w:r>
          </w:p>
        </w:tc>
      </w:tr>
      <w:tr w:rsidR="00BF1926" w:rsidRPr="00BF1926" w14:paraId="24D7B473"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40925533"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CGEMA</w:t>
            </w:r>
          </w:p>
        </w:tc>
        <w:tc>
          <w:tcPr>
            <w:tcW w:w="4142" w:type="pct"/>
            <w:tcBorders>
              <w:top w:val="nil"/>
              <w:left w:val="nil"/>
              <w:bottom w:val="single" w:sz="12" w:space="0" w:color="FFFFFF"/>
              <w:right w:val="single" w:sz="12" w:space="0" w:color="FFFFFF"/>
            </w:tcBorders>
            <w:shd w:val="clear" w:color="000000" w:fill="D9D9D9"/>
            <w:vAlign w:val="center"/>
            <w:hideMark/>
          </w:tcPr>
          <w:p w14:paraId="48DB6C54"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Coordenação Geral de Emergências Ambientais</w:t>
            </w:r>
          </w:p>
        </w:tc>
      </w:tr>
      <w:tr w:rsidR="00231A54" w:rsidRPr="00BF1926" w14:paraId="76870ED4" w14:textId="77777777" w:rsidTr="00D80C93">
        <w:trPr>
          <w:trHeight w:val="330"/>
        </w:trPr>
        <w:tc>
          <w:tcPr>
            <w:tcW w:w="858" w:type="pct"/>
            <w:tcBorders>
              <w:top w:val="nil"/>
              <w:left w:val="single" w:sz="12" w:space="0" w:color="FFFFFF"/>
              <w:bottom w:val="single" w:sz="12" w:space="0" w:color="FFFFFF"/>
              <w:right w:val="single" w:sz="12" w:space="0" w:color="FFFFFF"/>
            </w:tcBorders>
            <w:shd w:val="clear" w:color="auto" w:fill="BFBFBF" w:themeFill="background1" w:themeFillShade="BF"/>
            <w:vAlign w:val="center"/>
          </w:tcPr>
          <w:p w14:paraId="3DB96F2A" w14:textId="48136BD6" w:rsidR="00231A54" w:rsidRPr="00BF1926" w:rsidRDefault="00231A54" w:rsidP="00FC10A8">
            <w:pPr>
              <w:spacing w:before="100" w:beforeAutospacing="1" w:after="100" w:afterAutospacing="1" w:line="240" w:lineRule="auto"/>
              <w:rPr>
                <w:rFonts w:asciiTheme="majorHAnsi" w:hAnsiTheme="majorHAnsi"/>
                <w:color w:val="000000"/>
                <w:sz w:val="20"/>
                <w:szCs w:val="20"/>
              </w:rPr>
            </w:pPr>
            <w:r>
              <w:rPr>
                <w:rFonts w:asciiTheme="majorHAnsi" w:hAnsiTheme="majorHAnsi"/>
                <w:color w:val="000000"/>
                <w:sz w:val="20"/>
                <w:szCs w:val="20"/>
              </w:rPr>
              <w:t>CGMAC</w:t>
            </w:r>
          </w:p>
        </w:tc>
        <w:tc>
          <w:tcPr>
            <w:tcW w:w="4142" w:type="pct"/>
            <w:tcBorders>
              <w:top w:val="nil"/>
              <w:left w:val="nil"/>
              <w:bottom w:val="single" w:sz="12" w:space="0" w:color="FFFFFF"/>
              <w:right w:val="single" w:sz="12" w:space="0" w:color="FFFFFF"/>
            </w:tcBorders>
            <w:shd w:val="clear" w:color="auto" w:fill="BFBFBF" w:themeFill="background1" w:themeFillShade="BF"/>
            <w:vAlign w:val="center"/>
          </w:tcPr>
          <w:p w14:paraId="0DEA7494" w14:textId="21C0CB98" w:rsidR="00231A54" w:rsidRPr="00BF1926" w:rsidRDefault="00231A54" w:rsidP="00FC10A8">
            <w:pPr>
              <w:spacing w:before="100" w:beforeAutospacing="1" w:after="100" w:afterAutospacing="1" w:line="240" w:lineRule="auto"/>
              <w:rPr>
                <w:rFonts w:asciiTheme="majorHAnsi" w:hAnsiTheme="majorHAnsi"/>
                <w:color w:val="000000"/>
                <w:sz w:val="20"/>
                <w:szCs w:val="20"/>
              </w:rPr>
            </w:pPr>
            <w:r>
              <w:rPr>
                <w:rFonts w:asciiTheme="majorHAnsi" w:hAnsiTheme="majorHAnsi"/>
                <w:color w:val="000000"/>
                <w:sz w:val="20"/>
                <w:szCs w:val="20"/>
              </w:rPr>
              <w:t xml:space="preserve">Coordenação Geral de </w:t>
            </w:r>
            <w:r w:rsidR="007C7E08">
              <w:rPr>
                <w:rFonts w:asciiTheme="majorHAnsi" w:hAnsiTheme="majorHAnsi"/>
                <w:color w:val="000000"/>
                <w:sz w:val="20"/>
                <w:szCs w:val="20"/>
              </w:rPr>
              <w:t xml:space="preserve">Licenciamento Ambiental de </w:t>
            </w:r>
            <w:r>
              <w:rPr>
                <w:rFonts w:asciiTheme="majorHAnsi" w:hAnsiTheme="majorHAnsi"/>
                <w:color w:val="000000"/>
                <w:sz w:val="20"/>
                <w:szCs w:val="20"/>
              </w:rPr>
              <w:t>Empreendimentos Marinhos e Costeiros</w:t>
            </w:r>
          </w:p>
        </w:tc>
      </w:tr>
      <w:tr w:rsidR="00BF1926" w:rsidRPr="00BF1926" w14:paraId="443D8747"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023262C4" w14:textId="25DF24B0" w:rsidR="00BF1926" w:rsidRPr="00BF1926" w:rsidRDefault="00BF1926" w:rsidP="00C37EF6">
            <w:pPr>
              <w:spacing w:before="100" w:beforeAutospacing="1" w:after="100" w:afterAutospacing="1" w:line="240" w:lineRule="auto"/>
              <w:rPr>
                <w:rFonts w:asciiTheme="majorHAnsi" w:hAnsiTheme="majorHAnsi"/>
                <w:color w:val="000000"/>
                <w:sz w:val="20"/>
                <w:szCs w:val="20"/>
              </w:rPr>
            </w:pPr>
            <w:r w:rsidRPr="00C37EF6">
              <w:rPr>
                <w:rFonts w:asciiTheme="majorHAnsi" w:hAnsiTheme="majorHAnsi"/>
                <w:color w:val="000000"/>
                <w:sz w:val="20"/>
                <w:szCs w:val="20"/>
              </w:rPr>
              <w:t>C</w:t>
            </w:r>
            <w:r w:rsidR="00C37EF6" w:rsidRPr="00C37EF6">
              <w:rPr>
                <w:rFonts w:asciiTheme="majorHAnsi" w:hAnsiTheme="majorHAnsi"/>
                <w:color w:val="000000"/>
                <w:sz w:val="20"/>
                <w:szCs w:val="20"/>
              </w:rPr>
              <w:t>OEXP</w:t>
            </w:r>
          </w:p>
        </w:tc>
        <w:tc>
          <w:tcPr>
            <w:tcW w:w="4142" w:type="pct"/>
            <w:tcBorders>
              <w:top w:val="nil"/>
              <w:left w:val="nil"/>
              <w:bottom w:val="single" w:sz="12" w:space="0" w:color="FFFFFF"/>
              <w:right w:val="single" w:sz="12" w:space="0" w:color="FFFFFF"/>
            </w:tcBorders>
            <w:shd w:val="clear" w:color="000000" w:fill="D9D9D9"/>
            <w:vAlign w:val="center"/>
            <w:hideMark/>
          </w:tcPr>
          <w:p w14:paraId="6203BB83" w14:textId="101DE3F1" w:rsidR="00BF1926" w:rsidRPr="00BF1926" w:rsidRDefault="00C37EF6" w:rsidP="00C37EF6">
            <w:pPr>
              <w:spacing w:before="100" w:beforeAutospacing="1" w:after="100" w:afterAutospacing="1" w:line="240" w:lineRule="auto"/>
              <w:rPr>
                <w:rFonts w:asciiTheme="majorHAnsi" w:hAnsiTheme="majorHAnsi"/>
                <w:color w:val="000000"/>
                <w:sz w:val="20"/>
                <w:szCs w:val="20"/>
              </w:rPr>
            </w:pPr>
            <w:r>
              <w:rPr>
                <w:rFonts w:asciiTheme="majorHAnsi" w:hAnsiTheme="majorHAnsi"/>
                <w:color w:val="000000"/>
                <w:sz w:val="20"/>
                <w:szCs w:val="20"/>
              </w:rPr>
              <w:t>Sub-</w:t>
            </w:r>
            <w:r w:rsidR="00BF1926" w:rsidRPr="00BF1926">
              <w:rPr>
                <w:rFonts w:asciiTheme="majorHAnsi" w:hAnsiTheme="majorHAnsi"/>
                <w:color w:val="000000"/>
                <w:sz w:val="20"/>
                <w:szCs w:val="20"/>
              </w:rPr>
              <w:t>Coordenação</w:t>
            </w:r>
            <w:r w:rsidR="0059026A">
              <w:rPr>
                <w:rFonts w:asciiTheme="majorHAnsi" w:hAnsiTheme="majorHAnsi"/>
                <w:color w:val="000000"/>
                <w:sz w:val="20"/>
                <w:szCs w:val="20"/>
              </w:rPr>
              <w:t xml:space="preserve"> </w:t>
            </w:r>
            <w:r>
              <w:rPr>
                <w:rFonts w:asciiTheme="majorHAnsi" w:hAnsiTheme="majorHAnsi"/>
                <w:color w:val="000000"/>
                <w:sz w:val="20"/>
                <w:szCs w:val="20"/>
              </w:rPr>
              <w:t>de Exploração</w:t>
            </w:r>
          </w:p>
        </w:tc>
      </w:tr>
      <w:tr w:rsidR="00BF1926" w:rsidRPr="00BF1926" w14:paraId="3B65DA3F"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077B94D9"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CN</w:t>
            </w:r>
          </w:p>
        </w:tc>
        <w:tc>
          <w:tcPr>
            <w:tcW w:w="4142" w:type="pct"/>
            <w:tcBorders>
              <w:top w:val="nil"/>
              <w:left w:val="nil"/>
              <w:bottom w:val="single" w:sz="12" w:space="0" w:color="FFFFFF"/>
              <w:right w:val="single" w:sz="12" w:space="0" w:color="FFFFFF"/>
            </w:tcBorders>
            <w:shd w:val="clear" w:color="000000" w:fill="D9D9D9"/>
            <w:vAlign w:val="center"/>
            <w:hideMark/>
          </w:tcPr>
          <w:p w14:paraId="2B0A0B72"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Capacidade Nominal</w:t>
            </w:r>
          </w:p>
        </w:tc>
      </w:tr>
      <w:tr w:rsidR="00BF1926" w:rsidRPr="00BF1926" w14:paraId="1C4904BC"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4D7287D1"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CONAMA</w:t>
            </w:r>
          </w:p>
        </w:tc>
        <w:tc>
          <w:tcPr>
            <w:tcW w:w="4142" w:type="pct"/>
            <w:tcBorders>
              <w:top w:val="nil"/>
              <w:left w:val="nil"/>
              <w:bottom w:val="single" w:sz="12" w:space="0" w:color="FFFFFF"/>
              <w:right w:val="single" w:sz="12" w:space="0" w:color="FFFFFF"/>
            </w:tcBorders>
            <w:shd w:val="clear" w:color="000000" w:fill="D9D9D9"/>
            <w:vAlign w:val="center"/>
            <w:hideMark/>
          </w:tcPr>
          <w:p w14:paraId="3DD12A1A"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Conselho Nacional do Meio Ambiente</w:t>
            </w:r>
          </w:p>
        </w:tc>
      </w:tr>
      <w:tr w:rsidR="00BF1926" w:rsidRPr="00BF1926" w14:paraId="7F7CB35A"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3847593E"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DILIC</w:t>
            </w:r>
          </w:p>
        </w:tc>
        <w:tc>
          <w:tcPr>
            <w:tcW w:w="4142" w:type="pct"/>
            <w:tcBorders>
              <w:top w:val="nil"/>
              <w:left w:val="nil"/>
              <w:bottom w:val="single" w:sz="12" w:space="0" w:color="FFFFFF"/>
              <w:right w:val="single" w:sz="12" w:space="0" w:color="FFFFFF"/>
            </w:tcBorders>
            <w:shd w:val="clear" w:color="000000" w:fill="D9D9D9"/>
            <w:vAlign w:val="center"/>
            <w:hideMark/>
          </w:tcPr>
          <w:p w14:paraId="24377B2A"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Diretoria de Licenciamento Ambiental</w:t>
            </w:r>
          </w:p>
        </w:tc>
      </w:tr>
      <w:tr w:rsidR="00BF1926" w:rsidRPr="00BF1926" w14:paraId="34A9DF6D"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6DF96D44"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DP</w:t>
            </w:r>
          </w:p>
        </w:tc>
        <w:tc>
          <w:tcPr>
            <w:tcW w:w="4142" w:type="pct"/>
            <w:tcBorders>
              <w:top w:val="nil"/>
              <w:left w:val="nil"/>
              <w:bottom w:val="single" w:sz="12" w:space="0" w:color="FFFFFF"/>
              <w:right w:val="single" w:sz="12" w:space="0" w:color="FFFFFF"/>
            </w:tcBorders>
            <w:shd w:val="clear" w:color="000000" w:fill="D9D9D9"/>
            <w:vAlign w:val="center"/>
            <w:hideMark/>
          </w:tcPr>
          <w:p w14:paraId="14E1C75C"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Posicionamento Dinâmico (em inglês, </w:t>
            </w:r>
            <w:r w:rsidRPr="00BF1926">
              <w:rPr>
                <w:rFonts w:asciiTheme="majorHAnsi" w:hAnsiTheme="majorHAnsi"/>
                <w:i/>
                <w:color w:val="000000"/>
                <w:sz w:val="20"/>
                <w:szCs w:val="20"/>
              </w:rPr>
              <w:t>Dynamic Position</w:t>
            </w:r>
            <w:r w:rsidRPr="00BF1926">
              <w:rPr>
                <w:rFonts w:asciiTheme="majorHAnsi" w:hAnsiTheme="majorHAnsi"/>
                <w:color w:val="000000"/>
                <w:sz w:val="20"/>
                <w:szCs w:val="20"/>
              </w:rPr>
              <w:t>)</w:t>
            </w:r>
          </w:p>
        </w:tc>
      </w:tr>
      <w:tr w:rsidR="00BF1926" w:rsidRPr="00BF1926" w14:paraId="17D632D7"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73ED2B9E"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EOR</w:t>
            </w:r>
          </w:p>
        </w:tc>
        <w:tc>
          <w:tcPr>
            <w:tcW w:w="4142" w:type="pct"/>
            <w:tcBorders>
              <w:top w:val="nil"/>
              <w:left w:val="nil"/>
              <w:bottom w:val="single" w:sz="12" w:space="0" w:color="FFFFFF"/>
              <w:right w:val="single" w:sz="12" w:space="0" w:color="FFFFFF"/>
            </w:tcBorders>
            <w:shd w:val="clear" w:color="000000" w:fill="D9D9D9"/>
            <w:vAlign w:val="center"/>
            <w:hideMark/>
          </w:tcPr>
          <w:p w14:paraId="6CAF3020"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Estrutura Organizacional de Resposta </w:t>
            </w:r>
          </w:p>
        </w:tc>
      </w:tr>
      <w:tr w:rsidR="00BF1926" w:rsidRPr="00BF1926" w14:paraId="4E56D84D"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0F691549"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EPI</w:t>
            </w:r>
          </w:p>
        </w:tc>
        <w:tc>
          <w:tcPr>
            <w:tcW w:w="4142" w:type="pct"/>
            <w:tcBorders>
              <w:top w:val="nil"/>
              <w:left w:val="nil"/>
              <w:bottom w:val="single" w:sz="12" w:space="0" w:color="FFFFFF"/>
              <w:right w:val="single" w:sz="12" w:space="0" w:color="FFFFFF"/>
            </w:tcBorders>
            <w:shd w:val="clear" w:color="000000" w:fill="D9D9D9"/>
            <w:vAlign w:val="center"/>
            <w:hideMark/>
          </w:tcPr>
          <w:p w14:paraId="4D624751"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Equipamentos de Proteção Individual</w:t>
            </w:r>
          </w:p>
        </w:tc>
      </w:tr>
      <w:tr w:rsidR="00BF1926" w:rsidRPr="00BF1926" w14:paraId="2C2B5066"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74B4CEB2"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FER</w:t>
            </w:r>
          </w:p>
        </w:tc>
        <w:tc>
          <w:tcPr>
            <w:tcW w:w="4142" w:type="pct"/>
            <w:tcBorders>
              <w:top w:val="nil"/>
              <w:left w:val="nil"/>
              <w:bottom w:val="single" w:sz="12" w:space="0" w:color="FFFFFF"/>
              <w:right w:val="single" w:sz="12" w:space="0" w:color="FFFFFF"/>
            </w:tcBorders>
            <w:shd w:val="clear" w:color="000000" w:fill="D9D9D9"/>
            <w:vAlign w:val="center"/>
            <w:hideMark/>
          </w:tcPr>
          <w:p w14:paraId="576A82DE"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Ficha Estratégica de Resposta</w:t>
            </w:r>
          </w:p>
        </w:tc>
      </w:tr>
      <w:tr w:rsidR="00BF1926" w:rsidRPr="00BF1926" w14:paraId="76FCC824"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14B8130D"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Fi-Fi</w:t>
            </w:r>
          </w:p>
        </w:tc>
        <w:tc>
          <w:tcPr>
            <w:tcW w:w="4142" w:type="pct"/>
            <w:tcBorders>
              <w:top w:val="nil"/>
              <w:left w:val="nil"/>
              <w:bottom w:val="single" w:sz="12" w:space="0" w:color="FFFFFF"/>
              <w:right w:val="single" w:sz="12" w:space="0" w:color="FFFFFF"/>
            </w:tcBorders>
            <w:shd w:val="clear" w:color="000000" w:fill="D9D9D9"/>
            <w:vAlign w:val="center"/>
            <w:hideMark/>
          </w:tcPr>
          <w:p w14:paraId="74BFA3D3"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Sistema de Combate a Incêndio (em inglês, </w:t>
            </w:r>
            <w:r w:rsidRPr="00BF1926">
              <w:rPr>
                <w:rFonts w:asciiTheme="majorHAnsi" w:hAnsiTheme="majorHAnsi"/>
                <w:i/>
                <w:color w:val="000000"/>
                <w:sz w:val="20"/>
                <w:szCs w:val="20"/>
              </w:rPr>
              <w:t>Fire Fighting System</w:t>
            </w:r>
            <w:r w:rsidRPr="00BF1926">
              <w:rPr>
                <w:rFonts w:asciiTheme="majorHAnsi" w:hAnsiTheme="majorHAnsi"/>
                <w:color w:val="000000"/>
                <w:sz w:val="20"/>
                <w:szCs w:val="20"/>
              </w:rPr>
              <w:t>)</w:t>
            </w:r>
          </w:p>
        </w:tc>
      </w:tr>
      <w:tr w:rsidR="00BF1926" w:rsidRPr="00BF1926" w14:paraId="5C270BA4"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5A96FBE5"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FZA</w:t>
            </w:r>
          </w:p>
        </w:tc>
        <w:tc>
          <w:tcPr>
            <w:tcW w:w="4142" w:type="pct"/>
            <w:tcBorders>
              <w:top w:val="nil"/>
              <w:left w:val="nil"/>
              <w:bottom w:val="single" w:sz="12" w:space="0" w:color="FFFFFF"/>
              <w:right w:val="single" w:sz="12" w:space="0" w:color="FFFFFF"/>
            </w:tcBorders>
            <w:shd w:val="clear" w:color="000000" w:fill="D9D9D9"/>
            <w:vAlign w:val="center"/>
            <w:hideMark/>
          </w:tcPr>
          <w:p w14:paraId="6D4A72E7" w14:textId="77777777" w:rsidR="00BF1926" w:rsidRPr="00BF1926" w:rsidRDefault="00BF1926" w:rsidP="0059026A">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Foz do Amazonas</w:t>
            </w:r>
          </w:p>
        </w:tc>
      </w:tr>
      <w:tr w:rsidR="00231A54" w:rsidRPr="00BF1926" w14:paraId="6AA7183F" w14:textId="77777777" w:rsidTr="00D80C93">
        <w:trPr>
          <w:trHeight w:val="330"/>
        </w:trPr>
        <w:tc>
          <w:tcPr>
            <w:tcW w:w="858" w:type="pct"/>
            <w:tcBorders>
              <w:top w:val="nil"/>
              <w:left w:val="single" w:sz="12" w:space="0" w:color="FFFFFF"/>
              <w:bottom w:val="single" w:sz="12" w:space="0" w:color="FFFFFF"/>
              <w:right w:val="single" w:sz="12" w:space="0" w:color="FFFFFF"/>
            </w:tcBorders>
            <w:shd w:val="clear" w:color="auto" w:fill="BFBFBF" w:themeFill="background1" w:themeFillShade="BF"/>
            <w:vAlign w:val="center"/>
          </w:tcPr>
          <w:p w14:paraId="0B32DC74" w14:textId="1D053BE7" w:rsidR="00231A54" w:rsidRPr="00BF1926" w:rsidRDefault="00231A54" w:rsidP="00FC10A8">
            <w:pPr>
              <w:spacing w:before="100" w:beforeAutospacing="1" w:after="100" w:afterAutospacing="1" w:line="240" w:lineRule="auto"/>
              <w:rPr>
                <w:rFonts w:asciiTheme="majorHAnsi" w:hAnsiTheme="majorHAnsi"/>
                <w:color w:val="000000"/>
                <w:sz w:val="20"/>
                <w:szCs w:val="20"/>
              </w:rPr>
            </w:pPr>
            <w:r>
              <w:rPr>
                <w:rFonts w:asciiTheme="majorHAnsi" w:hAnsiTheme="majorHAnsi"/>
                <w:color w:val="000000"/>
                <w:sz w:val="20"/>
                <w:szCs w:val="20"/>
              </w:rPr>
              <w:t>GAA</w:t>
            </w:r>
          </w:p>
        </w:tc>
        <w:tc>
          <w:tcPr>
            <w:tcW w:w="4142" w:type="pct"/>
            <w:tcBorders>
              <w:top w:val="nil"/>
              <w:left w:val="nil"/>
              <w:bottom w:val="single" w:sz="12" w:space="0" w:color="FFFFFF"/>
              <w:right w:val="single" w:sz="12" w:space="0" w:color="FFFFFF"/>
            </w:tcBorders>
            <w:shd w:val="clear" w:color="auto" w:fill="BFBFBF" w:themeFill="background1" w:themeFillShade="BF"/>
            <w:vAlign w:val="center"/>
          </w:tcPr>
          <w:p w14:paraId="3940165F" w14:textId="64E2AE8A" w:rsidR="00231A54" w:rsidRPr="00BF1926" w:rsidRDefault="00231A54" w:rsidP="0059026A">
            <w:pPr>
              <w:spacing w:before="100" w:beforeAutospacing="1" w:after="100" w:afterAutospacing="1" w:line="240" w:lineRule="auto"/>
              <w:rPr>
                <w:rFonts w:asciiTheme="majorHAnsi" w:hAnsiTheme="majorHAnsi"/>
                <w:color w:val="000000"/>
                <w:sz w:val="20"/>
                <w:szCs w:val="20"/>
              </w:rPr>
            </w:pPr>
            <w:r>
              <w:rPr>
                <w:rFonts w:asciiTheme="majorHAnsi" w:hAnsiTheme="majorHAnsi"/>
                <w:color w:val="000000"/>
                <w:sz w:val="20"/>
                <w:szCs w:val="20"/>
              </w:rPr>
              <w:t>Grupo de Acompanhamento e Avaliação</w:t>
            </w:r>
          </w:p>
        </w:tc>
      </w:tr>
      <w:tr w:rsidR="00BF1926" w:rsidRPr="00BF1926" w14:paraId="3E652984"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60F67901"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IAP</w:t>
            </w:r>
          </w:p>
        </w:tc>
        <w:tc>
          <w:tcPr>
            <w:tcW w:w="4142" w:type="pct"/>
            <w:tcBorders>
              <w:top w:val="nil"/>
              <w:left w:val="nil"/>
              <w:bottom w:val="single" w:sz="12" w:space="0" w:color="FFFFFF"/>
              <w:right w:val="single" w:sz="12" w:space="0" w:color="FFFFFF"/>
            </w:tcBorders>
            <w:shd w:val="clear" w:color="000000" w:fill="D9D9D9"/>
            <w:vAlign w:val="center"/>
            <w:hideMark/>
          </w:tcPr>
          <w:p w14:paraId="6A8D00D0"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Plano de Ação do Incidente (em inglês, </w:t>
            </w:r>
            <w:r w:rsidRPr="00BF1926">
              <w:rPr>
                <w:rFonts w:asciiTheme="majorHAnsi" w:hAnsiTheme="majorHAnsi"/>
                <w:i/>
                <w:color w:val="000000"/>
                <w:sz w:val="20"/>
                <w:szCs w:val="20"/>
              </w:rPr>
              <w:t>Incident Action Plan</w:t>
            </w:r>
            <w:r w:rsidRPr="00BF1926">
              <w:rPr>
                <w:rFonts w:asciiTheme="majorHAnsi" w:hAnsiTheme="majorHAnsi"/>
                <w:color w:val="000000"/>
                <w:sz w:val="20"/>
                <w:szCs w:val="20"/>
              </w:rPr>
              <w:t>)</w:t>
            </w:r>
          </w:p>
        </w:tc>
      </w:tr>
      <w:tr w:rsidR="00BF1926" w:rsidRPr="00BF1926" w14:paraId="77F2D058" w14:textId="77777777" w:rsidTr="00FC10A8">
        <w:trPr>
          <w:trHeight w:val="435"/>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49F693C1"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IBAMA </w:t>
            </w:r>
          </w:p>
        </w:tc>
        <w:tc>
          <w:tcPr>
            <w:tcW w:w="4142" w:type="pct"/>
            <w:tcBorders>
              <w:top w:val="nil"/>
              <w:left w:val="nil"/>
              <w:bottom w:val="single" w:sz="12" w:space="0" w:color="FFFFFF"/>
              <w:right w:val="single" w:sz="12" w:space="0" w:color="FFFFFF"/>
            </w:tcBorders>
            <w:shd w:val="clear" w:color="000000" w:fill="D9D9D9"/>
            <w:vAlign w:val="center"/>
            <w:hideMark/>
          </w:tcPr>
          <w:p w14:paraId="138F350C"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Instituto Brasileiro do Meio Ambiente e dos Recursos Naturais Renováveis</w:t>
            </w:r>
          </w:p>
        </w:tc>
      </w:tr>
      <w:tr w:rsidR="00BF1926" w:rsidRPr="00BF1926" w14:paraId="77ABE99F"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392FA8A5"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IBP</w:t>
            </w:r>
          </w:p>
        </w:tc>
        <w:tc>
          <w:tcPr>
            <w:tcW w:w="4142" w:type="pct"/>
            <w:tcBorders>
              <w:top w:val="nil"/>
              <w:left w:val="nil"/>
              <w:bottom w:val="single" w:sz="12" w:space="0" w:color="FFFFFF"/>
              <w:right w:val="single" w:sz="12" w:space="0" w:color="FFFFFF"/>
            </w:tcBorders>
            <w:shd w:val="clear" w:color="000000" w:fill="D9D9D9"/>
            <w:vAlign w:val="center"/>
            <w:hideMark/>
          </w:tcPr>
          <w:p w14:paraId="74659256"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Instituto Brasileiro de Petróleo, Gás e Biocombustíveis</w:t>
            </w:r>
          </w:p>
        </w:tc>
      </w:tr>
      <w:tr w:rsidR="00BF1926" w:rsidRPr="00BF1926" w14:paraId="62CED45B"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192E66AF"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IC</w:t>
            </w:r>
          </w:p>
        </w:tc>
        <w:tc>
          <w:tcPr>
            <w:tcW w:w="4142" w:type="pct"/>
            <w:tcBorders>
              <w:top w:val="nil"/>
              <w:left w:val="nil"/>
              <w:bottom w:val="single" w:sz="12" w:space="0" w:color="FFFFFF"/>
              <w:right w:val="single" w:sz="12" w:space="0" w:color="FFFFFF"/>
            </w:tcBorders>
            <w:shd w:val="clear" w:color="000000" w:fill="D9D9D9"/>
            <w:vAlign w:val="center"/>
            <w:hideMark/>
          </w:tcPr>
          <w:p w14:paraId="24260D09"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Comandante do Incidente (em inglês, </w:t>
            </w:r>
            <w:r w:rsidRPr="00BF1926">
              <w:rPr>
                <w:rFonts w:asciiTheme="majorHAnsi" w:hAnsiTheme="majorHAnsi"/>
                <w:i/>
                <w:color w:val="000000"/>
                <w:sz w:val="20"/>
                <w:szCs w:val="20"/>
              </w:rPr>
              <w:t>Incident Commander</w:t>
            </w:r>
            <w:r w:rsidRPr="00BF1926">
              <w:rPr>
                <w:rFonts w:asciiTheme="majorHAnsi" w:hAnsiTheme="majorHAnsi"/>
                <w:color w:val="000000"/>
                <w:sz w:val="20"/>
                <w:szCs w:val="20"/>
              </w:rPr>
              <w:t>)</w:t>
            </w:r>
          </w:p>
        </w:tc>
      </w:tr>
      <w:tr w:rsidR="00BF1926" w:rsidRPr="00BF1926" w14:paraId="424267DF"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33B588D7"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ICP</w:t>
            </w:r>
          </w:p>
        </w:tc>
        <w:tc>
          <w:tcPr>
            <w:tcW w:w="4142" w:type="pct"/>
            <w:tcBorders>
              <w:top w:val="nil"/>
              <w:left w:val="nil"/>
              <w:bottom w:val="single" w:sz="12" w:space="0" w:color="FFFFFF"/>
              <w:right w:val="single" w:sz="12" w:space="0" w:color="FFFFFF"/>
            </w:tcBorders>
            <w:shd w:val="clear" w:color="000000" w:fill="D9D9D9"/>
            <w:vAlign w:val="center"/>
            <w:hideMark/>
          </w:tcPr>
          <w:p w14:paraId="564F7B84"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Centro de Comando do Incidente (em inglês, </w:t>
            </w:r>
            <w:r w:rsidRPr="00BF1926">
              <w:rPr>
                <w:rFonts w:asciiTheme="majorHAnsi" w:hAnsiTheme="majorHAnsi"/>
                <w:i/>
                <w:color w:val="000000"/>
                <w:sz w:val="20"/>
                <w:szCs w:val="20"/>
              </w:rPr>
              <w:t>Incident Command Post</w:t>
            </w:r>
            <w:r w:rsidRPr="00BF1926">
              <w:rPr>
                <w:rFonts w:asciiTheme="majorHAnsi" w:hAnsiTheme="majorHAnsi"/>
                <w:color w:val="000000"/>
                <w:sz w:val="20"/>
                <w:szCs w:val="20"/>
              </w:rPr>
              <w:t>)</w:t>
            </w:r>
          </w:p>
        </w:tc>
      </w:tr>
      <w:tr w:rsidR="00BF1926" w:rsidRPr="00BF1926" w14:paraId="03B8E605"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0897A597"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ICS</w:t>
            </w:r>
          </w:p>
        </w:tc>
        <w:tc>
          <w:tcPr>
            <w:tcW w:w="4142" w:type="pct"/>
            <w:tcBorders>
              <w:top w:val="nil"/>
              <w:left w:val="nil"/>
              <w:bottom w:val="single" w:sz="12" w:space="0" w:color="FFFFFF"/>
              <w:right w:val="single" w:sz="12" w:space="0" w:color="FFFFFF"/>
            </w:tcBorders>
            <w:shd w:val="clear" w:color="000000" w:fill="D9D9D9"/>
            <w:vAlign w:val="center"/>
            <w:hideMark/>
          </w:tcPr>
          <w:p w14:paraId="3CB84196"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Sistema de Comando de Incidentes (em inglês, </w:t>
            </w:r>
            <w:r w:rsidRPr="00BF1926">
              <w:rPr>
                <w:rFonts w:asciiTheme="majorHAnsi" w:hAnsiTheme="majorHAnsi"/>
                <w:i/>
                <w:color w:val="000000"/>
                <w:sz w:val="20"/>
                <w:szCs w:val="20"/>
              </w:rPr>
              <w:t>Incident Command System</w:t>
            </w:r>
            <w:r w:rsidRPr="00BF1926">
              <w:rPr>
                <w:rFonts w:asciiTheme="majorHAnsi" w:hAnsiTheme="majorHAnsi"/>
                <w:color w:val="000000"/>
                <w:sz w:val="20"/>
                <w:szCs w:val="20"/>
              </w:rPr>
              <w:t>)</w:t>
            </w:r>
          </w:p>
        </w:tc>
      </w:tr>
      <w:tr w:rsidR="00BF1926" w:rsidRPr="00BF1926" w14:paraId="58600BA4"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675D0F14"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IMT</w:t>
            </w:r>
          </w:p>
        </w:tc>
        <w:tc>
          <w:tcPr>
            <w:tcW w:w="4142" w:type="pct"/>
            <w:tcBorders>
              <w:top w:val="nil"/>
              <w:left w:val="nil"/>
              <w:bottom w:val="single" w:sz="12" w:space="0" w:color="FFFFFF"/>
              <w:right w:val="single" w:sz="12" w:space="0" w:color="FFFFFF"/>
            </w:tcBorders>
            <w:shd w:val="clear" w:color="000000" w:fill="D9D9D9"/>
            <w:vAlign w:val="center"/>
            <w:hideMark/>
          </w:tcPr>
          <w:p w14:paraId="7818541E"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Equipe de Gerenciamento de Incidentes (em inglês, </w:t>
            </w:r>
            <w:r w:rsidRPr="00BF1926">
              <w:rPr>
                <w:rFonts w:asciiTheme="majorHAnsi" w:hAnsiTheme="majorHAnsi"/>
                <w:i/>
                <w:color w:val="000000"/>
                <w:sz w:val="20"/>
                <w:szCs w:val="20"/>
              </w:rPr>
              <w:t>Incident Management Team</w:t>
            </w:r>
            <w:r w:rsidRPr="00BF1926">
              <w:rPr>
                <w:rFonts w:asciiTheme="majorHAnsi" w:hAnsiTheme="majorHAnsi"/>
                <w:color w:val="000000"/>
                <w:sz w:val="20"/>
                <w:szCs w:val="20"/>
              </w:rPr>
              <w:t>)</w:t>
            </w:r>
          </w:p>
        </w:tc>
      </w:tr>
      <w:tr w:rsidR="00BF1926" w:rsidRPr="00BF1926" w14:paraId="3F29BC1D"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77AB7F72"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LIO-Com</w:t>
            </w:r>
          </w:p>
        </w:tc>
        <w:tc>
          <w:tcPr>
            <w:tcW w:w="4142" w:type="pct"/>
            <w:tcBorders>
              <w:top w:val="nil"/>
              <w:left w:val="nil"/>
              <w:bottom w:val="single" w:sz="12" w:space="0" w:color="FFFFFF"/>
              <w:right w:val="single" w:sz="12" w:space="0" w:color="FFFFFF"/>
            </w:tcBorders>
            <w:shd w:val="clear" w:color="000000" w:fill="D9D9D9"/>
            <w:vAlign w:val="center"/>
            <w:hideMark/>
          </w:tcPr>
          <w:p w14:paraId="094535B3" w14:textId="77777777" w:rsidR="00BF1926" w:rsidRPr="00BF1926" w:rsidRDefault="00BF1926" w:rsidP="0059026A">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Oficial </w:t>
            </w:r>
            <w:r w:rsidR="0059026A">
              <w:rPr>
                <w:rFonts w:asciiTheme="majorHAnsi" w:hAnsiTheme="majorHAnsi"/>
                <w:color w:val="000000"/>
                <w:sz w:val="20"/>
                <w:szCs w:val="20"/>
              </w:rPr>
              <w:t>d</w:t>
            </w:r>
            <w:r w:rsidRPr="00BF1926">
              <w:rPr>
                <w:rFonts w:asciiTheme="majorHAnsi" w:hAnsiTheme="majorHAnsi"/>
                <w:color w:val="000000"/>
                <w:sz w:val="20"/>
                <w:szCs w:val="20"/>
              </w:rPr>
              <w:t xml:space="preserve">e Relações </w:t>
            </w:r>
            <w:r w:rsidR="0059026A">
              <w:rPr>
                <w:rFonts w:asciiTheme="majorHAnsi" w:hAnsiTheme="majorHAnsi"/>
                <w:color w:val="000000"/>
                <w:sz w:val="20"/>
                <w:szCs w:val="20"/>
              </w:rPr>
              <w:t>c</w:t>
            </w:r>
            <w:r w:rsidRPr="00BF1926">
              <w:rPr>
                <w:rFonts w:asciiTheme="majorHAnsi" w:hAnsiTheme="majorHAnsi"/>
                <w:color w:val="000000"/>
                <w:sz w:val="20"/>
                <w:szCs w:val="20"/>
              </w:rPr>
              <w:t xml:space="preserve">om Comunidades (em inglês, </w:t>
            </w:r>
            <w:r w:rsidRPr="00BF1926">
              <w:rPr>
                <w:rFonts w:asciiTheme="majorHAnsi" w:hAnsiTheme="majorHAnsi"/>
                <w:i/>
                <w:color w:val="000000"/>
                <w:sz w:val="20"/>
                <w:szCs w:val="20"/>
              </w:rPr>
              <w:t>Liaison Officer - Communities</w:t>
            </w:r>
            <w:r w:rsidRPr="00BF1926">
              <w:rPr>
                <w:rFonts w:asciiTheme="majorHAnsi" w:hAnsiTheme="majorHAnsi"/>
                <w:color w:val="000000"/>
                <w:sz w:val="20"/>
                <w:szCs w:val="20"/>
              </w:rPr>
              <w:t>)</w:t>
            </w:r>
          </w:p>
        </w:tc>
      </w:tr>
      <w:tr w:rsidR="00BF1926" w:rsidRPr="00BF1926" w14:paraId="3BDE4A4D"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3F228531"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LIO-Gov</w:t>
            </w:r>
          </w:p>
        </w:tc>
        <w:tc>
          <w:tcPr>
            <w:tcW w:w="4142" w:type="pct"/>
            <w:tcBorders>
              <w:top w:val="nil"/>
              <w:left w:val="nil"/>
              <w:bottom w:val="single" w:sz="12" w:space="0" w:color="FFFFFF"/>
              <w:right w:val="single" w:sz="12" w:space="0" w:color="FFFFFF"/>
            </w:tcBorders>
            <w:shd w:val="clear" w:color="000000" w:fill="D9D9D9"/>
            <w:vAlign w:val="center"/>
            <w:hideMark/>
          </w:tcPr>
          <w:p w14:paraId="2A5C8EC8" w14:textId="77777777" w:rsidR="00BF1926" w:rsidRPr="00BF1926" w:rsidRDefault="00BF1926" w:rsidP="0059026A">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Oficial </w:t>
            </w:r>
            <w:r w:rsidR="0059026A">
              <w:rPr>
                <w:rFonts w:asciiTheme="majorHAnsi" w:hAnsiTheme="majorHAnsi"/>
                <w:color w:val="000000"/>
                <w:sz w:val="20"/>
                <w:szCs w:val="20"/>
              </w:rPr>
              <w:t>d</w:t>
            </w:r>
            <w:r w:rsidRPr="00BF1926">
              <w:rPr>
                <w:rFonts w:asciiTheme="majorHAnsi" w:hAnsiTheme="majorHAnsi"/>
                <w:color w:val="000000"/>
                <w:sz w:val="20"/>
                <w:szCs w:val="20"/>
              </w:rPr>
              <w:t xml:space="preserve">e Relações </w:t>
            </w:r>
            <w:r w:rsidR="0059026A">
              <w:rPr>
                <w:rFonts w:asciiTheme="majorHAnsi" w:hAnsiTheme="majorHAnsi"/>
                <w:color w:val="000000"/>
                <w:sz w:val="20"/>
                <w:szCs w:val="20"/>
              </w:rPr>
              <w:t>c</w:t>
            </w:r>
            <w:r w:rsidRPr="00BF1926">
              <w:rPr>
                <w:rFonts w:asciiTheme="majorHAnsi" w:hAnsiTheme="majorHAnsi"/>
                <w:color w:val="000000"/>
                <w:sz w:val="20"/>
                <w:szCs w:val="20"/>
              </w:rPr>
              <w:t xml:space="preserve">om Órgãos Governamentais (em inglês, </w:t>
            </w:r>
            <w:r w:rsidRPr="00BF1926">
              <w:rPr>
                <w:rFonts w:asciiTheme="majorHAnsi" w:hAnsiTheme="majorHAnsi"/>
                <w:i/>
                <w:color w:val="000000"/>
                <w:sz w:val="20"/>
                <w:szCs w:val="20"/>
              </w:rPr>
              <w:t>Liaison Officer - Goverment</w:t>
            </w:r>
            <w:r w:rsidRPr="00BF1926">
              <w:rPr>
                <w:rFonts w:asciiTheme="majorHAnsi" w:hAnsiTheme="majorHAnsi"/>
                <w:color w:val="000000"/>
                <w:sz w:val="20"/>
                <w:szCs w:val="20"/>
              </w:rPr>
              <w:t>)</w:t>
            </w:r>
          </w:p>
        </w:tc>
      </w:tr>
      <w:tr w:rsidR="00BF1926" w:rsidRPr="00BF1926" w14:paraId="26B33C5E"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59D535ED"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LOF</w:t>
            </w:r>
          </w:p>
        </w:tc>
        <w:tc>
          <w:tcPr>
            <w:tcW w:w="4142" w:type="pct"/>
            <w:tcBorders>
              <w:top w:val="nil"/>
              <w:left w:val="nil"/>
              <w:bottom w:val="single" w:sz="12" w:space="0" w:color="FFFFFF"/>
              <w:right w:val="single" w:sz="12" w:space="0" w:color="FFFFFF"/>
            </w:tcBorders>
            <w:shd w:val="clear" w:color="000000" w:fill="D9D9D9"/>
            <w:vAlign w:val="center"/>
            <w:hideMark/>
          </w:tcPr>
          <w:p w14:paraId="6382A9A6"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Oficial Jurídico</w:t>
            </w:r>
          </w:p>
        </w:tc>
      </w:tr>
      <w:tr w:rsidR="00BF1926" w:rsidRPr="00BF1926" w14:paraId="75C2EE66"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451FADAD"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LSC</w:t>
            </w:r>
          </w:p>
        </w:tc>
        <w:tc>
          <w:tcPr>
            <w:tcW w:w="4142" w:type="pct"/>
            <w:tcBorders>
              <w:top w:val="nil"/>
              <w:left w:val="nil"/>
              <w:bottom w:val="single" w:sz="12" w:space="0" w:color="FFFFFF"/>
              <w:right w:val="single" w:sz="12" w:space="0" w:color="FFFFFF"/>
            </w:tcBorders>
            <w:shd w:val="clear" w:color="000000" w:fill="D9D9D9"/>
            <w:vAlign w:val="center"/>
            <w:hideMark/>
          </w:tcPr>
          <w:p w14:paraId="6B56A348"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Chefe da Seção de Logística (em inglês, </w:t>
            </w:r>
            <w:r w:rsidRPr="00BF1926">
              <w:rPr>
                <w:rFonts w:asciiTheme="majorHAnsi" w:hAnsiTheme="majorHAnsi"/>
                <w:i/>
                <w:color w:val="000000"/>
                <w:sz w:val="20"/>
                <w:szCs w:val="20"/>
              </w:rPr>
              <w:t>Logistics Section Chief</w:t>
            </w:r>
            <w:r w:rsidRPr="00BF1926">
              <w:rPr>
                <w:rFonts w:asciiTheme="majorHAnsi" w:hAnsiTheme="majorHAnsi"/>
                <w:color w:val="000000"/>
                <w:sz w:val="20"/>
                <w:szCs w:val="20"/>
              </w:rPr>
              <w:t>)</w:t>
            </w:r>
          </w:p>
        </w:tc>
      </w:tr>
      <w:tr w:rsidR="00BF1926" w:rsidRPr="00BF1926" w14:paraId="050492C1"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5240B8F6"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MARPOL 73/78</w:t>
            </w:r>
          </w:p>
        </w:tc>
        <w:tc>
          <w:tcPr>
            <w:tcW w:w="4142" w:type="pct"/>
            <w:tcBorders>
              <w:top w:val="nil"/>
              <w:left w:val="nil"/>
              <w:bottom w:val="single" w:sz="12" w:space="0" w:color="FFFFFF"/>
              <w:right w:val="single" w:sz="12" w:space="0" w:color="FFFFFF"/>
            </w:tcBorders>
            <w:shd w:val="clear" w:color="000000" w:fill="D9D9D9"/>
            <w:vAlign w:val="center"/>
            <w:hideMark/>
          </w:tcPr>
          <w:p w14:paraId="1804A397"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Convenção Internacional de Prevenção de Poluição por Navios</w:t>
            </w:r>
          </w:p>
        </w:tc>
      </w:tr>
      <w:tr w:rsidR="005942C1" w:rsidRPr="00BF1926" w14:paraId="3BA7C39F"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tcPr>
          <w:p w14:paraId="6107C9DE" w14:textId="2E088594" w:rsidR="005942C1" w:rsidRPr="00BF1926" w:rsidRDefault="005942C1" w:rsidP="00FC10A8">
            <w:pPr>
              <w:spacing w:before="100" w:beforeAutospacing="1" w:after="100" w:afterAutospacing="1" w:line="240" w:lineRule="auto"/>
              <w:rPr>
                <w:rFonts w:asciiTheme="majorHAnsi" w:hAnsiTheme="majorHAnsi"/>
                <w:color w:val="000000"/>
                <w:sz w:val="20"/>
                <w:szCs w:val="20"/>
              </w:rPr>
            </w:pPr>
            <w:r>
              <w:rPr>
                <w:rFonts w:asciiTheme="majorHAnsi" w:hAnsiTheme="majorHAnsi"/>
                <w:color w:val="000000"/>
                <w:sz w:val="20"/>
                <w:szCs w:val="20"/>
              </w:rPr>
              <w:t>MCI</w:t>
            </w:r>
          </w:p>
        </w:tc>
        <w:tc>
          <w:tcPr>
            <w:tcW w:w="4142" w:type="pct"/>
            <w:tcBorders>
              <w:top w:val="nil"/>
              <w:left w:val="nil"/>
              <w:bottom w:val="single" w:sz="12" w:space="0" w:color="FFFFFF"/>
              <w:right w:val="single" w:sz="12" w:space="0" w:color="FFFFFF"/>
            </w:tcBorders>
            <w:shd w:val="clear" w:color="000000" w:fill="D9D9D9"/>
            <w:vAlign w:val="center"/>
          </w:tcPr>
          <w:p w14:paraId="02D8364C" w14:textId="68FD4C77" w:rsidR="005942C1" w:rsidRPr="00BF1926" w:rsidRDefault="005942C1" w:rsidP="005942C1">
            <w:pPr>
              <w:spacing w:before="100" w:beforeAutospacing="1" w:after="100" w:afterAutospacing="1" w:line="240" w:lineRule="auto"/>
              <w:rPr>
                <w:rFonts w:asciiTheme="majorHAnsi" w:hAnsiTheme="majorHAnsi"/>
                <w:color w:val="000000"/>
                <w:sz w:val="20"/>
                <w:szCs w:val="20"/>
              </w:rPr>
            </w:pPr>
            <w:r>
              <w:rPr>
                <w:rFonts w:asciiTheme="majorHAnsi" w:hAnsiTheme="majorHAnsi"/>
                <w:color w:val="000000"/>
                <w:sz w:val="20"/>
                <w:szCs w:val="20"/>
              </w:rPr>
              <w:t>Manual de Comunicação de Incidentes de Exploração e Produção de Petróleo e Gás Natural / SSM/ ANP</w:t>
            </w:r>
          </w:p>
        </w:tc>
      </w:tr>
      <w:tr w:rsidR="00231A54" w:rsidRPr="00BF1926" w14:paraId="55C427AF" w14:textId="77777777" w:rsidTr="00D80C93">
        <w:trPr>
          <w:trHeight w:val="330"/>
        </w:trPr>
        <w:tc>
          <w:tcPr>
            <w:tcW w:w="858" w:type="pct"/>
            <w:tcBorders>
              <w:top w:val="nil"/>
              <w:left w:val="single" w:sz="12" w:space="0" w:color="FFFFFF"/>
              <w:bottom w:val="single" w:sz="12" w:space="0" w:color="FFFFFF"/>
              <w:right w:val="single" w:sz="12" w:space="0" w:color="FFFFFF"/>
            </w:tcBorders>
            <w:shd w:val="clear" w:color="auto" w:fill="BFBFBF" w:themeFill="background1" w:themeFillShade="BF"/>
            <w:vAlign w:val="center"/>
          </w:tcPr>
          <w:p w14:paraId="4218ABEC" w14:textId="5A1C3E9E" w:rsidR="00231A54" w:rsidRDefault="00231A54" w:rsidP="00FC10A8">
            <w:pPr>
              <w:spacing w:before="100" w:beforeAutospacing="1" w:after="100" w:afterAutospacing="1" w:line="240" w:lineRule="auto"/>
              <w:rPr>
                <w:rFonts w:asciiTheme="majorHAnsi" w:hAnsiTheme="majorHAnsi"/>
                <w:color w:val="000000"/>
                <w:sz w:val="20"/>
                <w:szCs w:val="20"/>
              </w:rPr>
            </w:pPr>
            <w:r>
              <w:rPr>
                <w:rFonts w:asciiTheme="majorHAnsi" w:hAnsiTheme="majorHAnsi"/>
                <w:color w:val="000000"/>
                <w:sz w:val="20"/>
                <w:szCs w:val="20"/>
              </w:rPr>
              <w:t>MRE</w:t>
            </w:r>
          </w:p>
        </w:tc>
        <w:tc>
          <w:tcPr>
            <w:tcW w:w="4142" w:type="pct"/>
            <w:tcBorders>
              <w:top w:val="nil"/>
              <w:left w:val="nil"/>
              <w:bottom w:val="single" w:sz="12" w:space="0" w:color="FFFFFF"/>
              <w:right w:val="single" w:sz="12" w:space="0" w:color="FFFFFF"/>
            </w:tcBorders>
            <w:shd w:val="clear" w:color="auto" w:fill="BFBFBF" w:themeFill="background1" w:themeFillShade="BF"/>
            <w:vAlign w:val="center"/>
          </w:tcPr>
          <w:p w14:paraId="47885F7D" w14:textId="74B79D55" w:rsidR="00231A54" w:rsidRDefault="00231A54" w:rsidP="005942C1">
            <w:pPr>
              <w:spacing w:before="100" w:beforeAutospacing="1" w:after="100" w:afterAutospacing="1" w:line="240" w:lineRule="auto"/>
              <w:rPr>
                <w:rFonts w:asciiTheme="majorHAnsi" w:hAnsiTheme="majorHAnsi"/>
                <w:color w:val="000000"/>
                <w:sz w:val="20"/>
                <w:szCs w:val="20"/>
              </w:rPr>
            </w:pPr>
            <w:r>
              <w:rPr>
                <w:rFonts w:asciiTheme="majorHAnsi" w:hAnsiTheme="majorHAnsi"/>
                <w:color w:val="000000"/>
                <w:sz w:val="20"/>
                <w:szCs w:val="20"/>
              </w:rPr>
              <w:t>Ministério das Relações Exteriores</w:t>
            </w:r>
          </w:p>
        </w:tc>
      </w:tr>
      <w:tr w:rsidR="00BF1926" w:rsidRPr="00BF1926" w14:paraId="15B06056"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1B7EA0C0"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MRT</w:t>
            </w:r>
          </w:p>
        </w:tc>
        <w:tc>
          <w:tcPr>
            <w:tcW w:w="4142" w:type="pct"/>
            <w:tcBorders>
              <w:top w:val="nil"/>
              <w:left w:val="nil"/>
              <w:bottom w:val="single" w:sz="12" w:space="0" w:color="FFFFFF"/>
              <w:right w:val="single" w:sz="12" w:space="0" w:color="FFFFFF"/>
            </w:tcBorders>
            <w:shd w:val="clear" w:color="000000" w:fill="D9D9D9"/>
            <w:vAlign w:val="center"/>
            <w:hideMark/>
          </w:tcPr>
          <w:p w14:paraId="63E9A6C9"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Equipe de Resposta Mútua (em inglês, </w:t>
            </w:r>
            <w:r w:rsidRPr="00BF1926">
              <w:rPr>
                <w:rFonts w:asciiTheme="majorHAnsi" w:hAnsiTheme="majorHAnsi"/>
                <w:i/>
                <w:color w:val="000000"/>
                <w:sz w:val="20"/>
                <w:szCs w:val="20"/>
              </w:rPr>
              <w:t>Mutual Response Team</w:t>
            </w:r>
            <w:r w:rsidRPr="00BF1926">
              <w:rPr>
                <w:rFonts w:asciiTheme="majorHAnsi" w:hAnsiTheme="majorHAnsi"/>
                <w:color w:val="000000"/>
                <w:sz w:val="20"/>
                <w:szCs w:val="20"/>
              </w:rPr>
              <w:t>)</w:t>
            </w:r>
          </w:p>
        </w:tc>
      </w:tr>
      <w:tr w:rsidR="00BF1926" w:rsidRPr="00BF1926" w14:paraId="12A902D7"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2A6C8BA0"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lastRenderedPageBreak/>
              <w:t xml:space="preserve">OEMA </w:t>
            </w:r>
          </w:p>
        </w:tc>
        <w:tc>
          <w:tcPr>
            <w:tcW w:w="4142" w:type="pct"/>
            <w:tcBorders>
              <w:top w:val="nil"/>
              <w:left w:val="nil"/>
              <w:bottom w:val="single" w:sz="12" w:space="0" w:color="FFFFFF"/>
              <w:right w:val="single" w:sz="12" w:space="0" w:color="FFFFFF"/>
            </w:tcBorders>
            <w:shd w:val="clear" w:color="000000" w:fill="D9D9D9"/>
            <w:vAlign w:val="center"/>
            <w:hideMark/>
          </w:tcPr>
          <w:p w14:paraId="21353E70"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Órgão Estadual de Meio Ambiente</w:t>
            </w:r>
          </w:p>
        </w:tc>
      </w:tr>
      <w:tr w:rsidR="00BF1926" w:rsidRPr="00BF1926" w14:paraId="1B77E866"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78DEB5C3"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OSC</w:t>
            </w:r>
          </w:p>
        </w:tc>
        <w:tc>
          <w:tcPr>
            <w:tcW w:w="4142" w:type="pct"/>
            <w:tcBorders>
              <w:top w:val="nil"/>
              <w:left w:val="nil"/>
              <w:bottom w:val="single" w:sz="12" w:space="0" w:color="FFFFFF"/>
              <w:right w:val="single" w:sz="12" w:space="0" w:color="FFFFFF"/>
            </w:tcBorders>
            <w:shd w:val="clear" w:color="000000" w:fill="D9D9D9"/>
            <w:vAlign w:val="center"/>
            <w:hideMark/>
          </w:tcPr>
          <w:p w14:paraId="12EFFADF"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Chefe da Seção de Operações (em inglês, </w:t>
            </w:r>
            <w:r w:rsidRPr="00BF1926">
              <w:rPr>
                <w:rFonts w:asciiTheme="majorHAnsi" w:hAnsiTheme="majorHAnsi"/>
                <w:i/>
                <w:color w:val="000000"/>
                <w:sz w:val="20"/>
                <w:szCs w:val="20"/>
              </w:rPr>
              <w:t>Operations Section Chief</w:t>
            </w:r>
            <w:r w:rsidRPr="00BF1926">
              <w:rPr>
                <w:rFonts w:asciiTheme="majorHAnsi" w:hAnsiTheme="majorHAnsi"/>
                <w:color w:val="000000"/>
                <w:sz w:val="20"/>
                <w:szCs w:val="20"/>
              </w:rPr>
              <w:t>)</w:t>
            </w:r>
          </w:p>
        </w:tc>
      </w:tr>
      <w:tr w:rsidR="00BA4A90" w:rsidRPr="00BF1926" w14:paraId="423BC025"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tcPr>
          <w:p w14:paraId="621B4B0C" w14:textId="77777777" w:rsidR="00BA4A90" w:rsidRPr="00BF1926" w:rsidRDefault="00BA4A90" w:rsidP="00FC10A8">
            <w:pPr>
              <w:spacing w:before="100" w:beforeAutospacing="1" w:after="100" w:afterAutospacing="1" w:line="240" w:lineRule="auto"/>
              <w:rPr>
                <w:rFonts w:asciiTheme="majorHAnsi" w:hAnsiTheme="majorHAnsi"/>
                <w:color w:val="000000"/>
                <w:sz w:val="20"/>
                <w:szCs w:val="20"/>
              </w:rPr>
            </w:pPr>
            <w:r>
              <w:rPr>
                <w:rFonts w:asciiTheme="majorHAnsi" w:hAnsiTheme="majorHAnsi"/>
                <w:color w:val="000000"/>
                <w:sz w:val="20"/>
                <w:szCs w:val="20"/>
              </w:rPr>
              <w:t>OSRO</w:t>
            </w:r>
          </w:p>
        </w:tc>
        <w:tc>
          <w:tcPr>
            <w:tcW w:w="4142" w:type="pct"/>
            <w:tcBorders>
              <w:top w:val="nil"/>
              <w:left w:val="nil"/>
              <w:bottom w:val="single" w:sz="12" w:space="0" w:color="FFFFFF"/>
              <w:right w:val="single" w:sz="12" w:space="0" w:color="FFFFFF"/>
            </w:tcBorders>
            <w:shd w:val="clear" w:color="000000" w:fill="D9D9D9"/>
            <w:vAlign w:val="center"/>
          </w:tcPr>
          <w:p w14:paraId="4C1AFBD4" w14:textId="77777777" w:rsidR="00BA4A90" w:rsidRPr="00BF1926" w:rsidRDefault="00BA4A90" w:rsidP="00CC4ED0">
            <w:pPr>
              <w:spacing w:before="100" w:beforeAutospacing="1" w:after="100" w:afterAutospacing="1" w:line="240" w:lineRule="auto"/>
              <w:rPr>
                <w:rFonts w:asciiTheme="majorHAnsi" w:hAnsiTheme="majorHAnsi"/>
                <w:color w:val="000000"/>
                <w:sz w:val="20"/>
                <w:szCs w:val="20"/>
              </w:rPr>
            </w:pPr>
            <w:r>
              <w:rPr>
                <w:rFonts w:asciiTheme="majorHAnsi" w:hAnsiTheme="majorHAnsi"/>
                <w:color w:val="000000"/>
                <w:sz w:val="20"/>
                <w:szCs w:val="20"/>
              </w:rPr>
              <w:t xml:space="preserve">Organização de Resposta a </w:t>
            </w:r>
            <w:r w:rsidR="00CC4ED0">
              <w:rPr>
                <w:rFonts w:asciiTheme="majorHAnsi" w:hAnsiTheme="majorHAnsi"/>
                <w:color w:val="000000"/>
                <w:sz w:val="20"/>
                <w:szCs w:val="20"/>
              </w:rPr>
              <w:t>Derramamento de Óleo</w:t>
            </w:r>
            <w:r>
              <w:rPr>
                <w:rFonts w:asciiTheme="majorHAnsi" w:hAnsiTheme="majorHAnsi"/>
                <w:color w:val="000000"/>
                <w:sz w:val="20"/>
                <w:szCs w:val="20"/>
              </w:rPr>
              <w:t xml:space="preserve"> (em inglês, </w:t>
            </w:r>
            <w:r w:rsidRPr="00C45C9A">
              <w:rPr>
                <w:rFonts w:asciiTheme="majorHAnsi" w:hAnsiTheme="majorHAnsi"/>
                <w:i/>
                <w:color w:val="000000"/>
                <w:sz w:val="20"/>
                <w:szCs w:val="20"/>
              </w:rPr>
              <w:t>Oil Spill Response Organization</w:t>
            </w:r>
            <w:r>
              <w:rPr>
                <w:rFonts w:asciiTheme="majorHAnsi" w:hAnsiTheme="majorHAnsi"/>
                <w:color w:val="000000"/>
                <w:sz w:val="20"/>
                <w:szCs w:val="20"/>
              </w:rPr>
              <w:t>)</w:t>
            </w:r>
          </w:p>
        </w:tc>
      </w:tr>
      <w:tr w:rsidR="00BF1926" w:rsidRPr="00BF1926" w14:paraId="6E1F03C5"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094713E7"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OSRV</w:t>
            </w:r>
          </w:p>
        </w:tc>
        <w:tc>
          <w:tcPr>
            <w:tcW w:w="4142" w:type="pct"/>
            <w:tcBorders>
              <w:top w:val="nil"/>
              <w:left w:val="nil"/>
              <w:bottom w:val="single" w:sz="12" w:space="0" w:color="FFFFFF"/>
              <w:right w:val="single" w:sz="12" w:space="0" w:color="FFFFFF"/>
            </w:tcBorders>
            <w:shd w:val="clear" w:color="000000" w:fill="D9D9D9"/>
            <w:vAlign w:val="center"/>
            <w:hideMark/>
          </w:tcPr>
          <w:p w14:paraId="06D32AD6"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Embarcação dedicada (em inglês, </w:t>
            </w:r>
            <w:r w:rsidRPr="00BF1926">
              <w:rPr>
                <w:rFonts w:asciiTheme="majorHAnsi" w:hAnsiTheme="majorHAnsi"/>
                <w:i/>
                <w:color w:val="000000"/>
                <w:sz w:val="20"/>
                <w:szCs w:val="20"/>
              </w:rPr>
              <w:t>Oil Spill Response Vessel</w:t>
            </w:r>
            <w:r w:rsidRPr="00BF1926">
              <w:rPr>
                <w:rFonts w:asciiTheme="majorHAnsi" w:hAnsiTheme="majorHAnsi"/>
                <w:color w:val="000000"/>
                <w:sz w:val="20"/>
                <w:szCs w:val="20"/>
              </w:rPr>
              <w:t>)</w:t>
            </w:r>
          </w:p>
        </w:tc>
      </w:tr>
      <w:tr w:rsidR="00BF1926" w:rsidRPr="00BF1926" w14:paraId="35DDB65E"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36E086F7"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PCP</w:t>
            </w:r>
          </w:p>
        </w:tc>
        <w:tc>
          <w:tcPr>
            <w:tcW w:w="4142" w:type="pct"/>
            <w:tcBorders>
              <w:top w:val="nil"/>
              <w:left w:val="nil"/>
              <w:bottom w:val="single" w:sz="12" w:space="0" w:color="FFFFFF"/>
              <w:right w:val="single" w:sz="12" w:space="0" w:color="FFFFFF"/>
            </w:tcBorders>
            <w:shd w:val="clear" w:color="000000" w:fill="D9D9D9"/>
            <w:vAlign w:val="center"/>
            <w:hideMark/>
          </w:tcPr>
          <w:p w14:paraId="5EA688DF"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Plano de Controle da Poluição</w:t>
            </w:r>
          </w:p>
        </w:tc>
      </w:tr>
      <w:tr w:rsidR="00BF1926" w:rsidRPr="00BF1926" w14:paraId="6515B59B"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15AA0872"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PIO</w:t>
            </w:r>
          </w:p>
        </w:tc>
        <w:tc>
          <w:tcPr>
            <w:tcW w:w="4142" w:type="pct"/>
            <w:tcBorders>
              <w:top w:val="nil"/>
              <w:left w:val="nil"/>
              <w:bottom w:val="single" w:sz="12" w:space="0" w:color="FFFFFF"/>
              <w:right w:val="single" w:sz="12" w:space="0" w:color="FFFFFF"/>
            </w:tcBorders>
            <w:shd w:val="clear" w:color="000000" w:fill="D9D9D9"/>
            <w:vAlign w:val="center"/>
            <w:hideMark/>
          </w:tcPr>
          <w:p w14:paraId="3712BE27"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Oficial de Informação (em inglês, </w:t>
            </w:r>
            <w:r w:rsidRPr="00BF1926">
              <w:rPr>
                <w:rFonts w:asciiTheme="majorHAnsi" w:hAnsiTheme="majorHAnsi"/>
                <w:i/>
                <w:color w:val="000000"/>
                <w:sz w:val="20"/>
                <w:szCs w:val="20"/>
              </w:rPr>
              <w:t>Public Information Officer</w:t>
            </w:r>
            <w:r w:rsidRPr="00BF1926">
              <w:rPr>
                <w:rFonts w:asciiTheme="majorHAnsi" w:hAnsiTheme="majorHAnsi"/>
                <w:color w:val="000000"/>
                <w:sz w:val="20"/>
                <w:szCs w:val="20"/>
              </w:rPr>
              <w:t>)</w:t>
            </w:r>
          </w:p>
        </w:tc>
      </w:tr>
      <w:tr w:rsidR="00231A54" w:rsidRPr="00BF1926" w14:paraId="0E434E6A" w14:textId="77777777" w:rsidTr="00D80C93">
        <w:trPr>
          <w:trHeight w:val="330"/>
        </w:trPr>
        <w:tc>
          <w:tcPr>
            <w:tcW w:w="858" w:type="pct"/>
            <w:tcBorders>
              <w:top w:val="nil"/>
              <w:left w:val="single" w:sz="12" w:space="0" w:color="FFFFFF"/>
              <w:bottom w:val="single" w:sz="12" w:space="0" w:color="FFFFFF"/>
              <w:right w:val="single" w:sz="12" w:space="0" w:color="FFFFFF"/>
            </w:tcBorders>
            <w:shd w:val="clear" w:color="auto" w:fill="BFBFBF" w:themeFill="background1" w:themeFillShade="BF"/>
            <w:vAlign w:val="center"/>
          </w:tcPr>
          <w:p w14:paraId="1B658492" w14:textId="46890496" w:rsidR="00231A54" w:rsidRPr="00BF1926" w:rsidRDefault="00231A54" w:rsidP="00FC10A8">
            <w:pPr>
              <w:spacing w:before="100" w:beforeAutospacing="1" w:after="100" w:afterAutospacing="1" w:line="240" w:lineRule="auto"/>
              <w:rPr>
                <w:rFonts w:asciiTheme="majorHAnsi" w:hAnsiTheme="majorHAnsi"/>
                <w:color w:val="000000"/>
                <w:sz w:val="20"/>
                <w:szCs w:val="20"/>
              </w:rPr>
            </w:pPr>
            <w:r>
              <w:rPr>
                <w:rFonts w:asciiTheme="majorHAnsi" w:hAnsiTheme="majorHAnsi"/>
                <w:color w:val="000000"/>
                <w:sz w:val="20"/>
                <w:szCs w:val="20"/>
              </w:rPr>
              <w:t>PNC</w:t>
            </w:r>
          </w:p>
        </w:tc>
        <w:tc>
          <w:tcPr>
            <w:tcW w:w="4142" w:type="pct"/>
            <w:tcBorders>
              <w:top w:val="nil"/>
              <w:left w:val="nil"/>
              <w:bottom w:val="single" w:sz="12" w:space="0" w:color="FFFFFF"/>
              <w:right w:val="single" w:sz="12" w:space="0" w:color="FFFFFF"/>
            </w:tcBorders>
            <w:shd w:val="clear" w:color="auto" w:fill="BFBFBF" w:themeFill="background1" w:themeFillShade="BF"/>
            <w:vAlign w:val="center"/>
          </w:tcPr>
          <w:p w14:paraId="209BA630" w14:textId="554AAD01" w:rsidR="00231A54" w:rsidRPr="00BF1926" w:rsidRDefault="00231A54" w:rsidP="00FC10A8">
            <w:pPr>
              <w:spacing w:before="100" w:beforeAutospacing="1" w:after="100" w:afterAutospacing="1" w:line="240" w:lineRule="auto"/>
              <w:rPr>
                <w:rFonts w:asciiTheme="majorHAnsi" w:hAnsiTheme="majorHAnsi"/>
                <w:color w:val="000000"/>
                <w:sz w:val="20"/>
                <w:szCs w:val="20"/>
              </w:rPr>
            </w:pPr>
            <w:r>
              <w:rPr>
                <w:rFonts w:asciiTheme="majorHAnsi" w:hAnsiTheme="majorHAnsi"/>
                <w:color w:val="000000"/>
                <w:sz w:val="20"/>
                <w:szCs w:val="20"/>
              </w:rPr>
              <w:t>Plano Nacional de Contingência ao Derramamento de Óleo</w:t>
            </w:r>
          </w:p>
        </w:tc>
      </w:tr>
      <w:tr w:rsidR="00BF1926" w:rsidRPr="00BF1926" w14:paraId="1F775D27"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0CE4FA8A"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PPLC</w:t>
            </w:r>
          </w:p>
        </w:tc>
        <w:tc>
          <w:tcPr>
            <w:tcW w:w="4142" w:type="pct"/>
            <w:tcBorders>
              <w:top w:val="nil"/>
              <w:left w:val="nil"/>
              <w:bottom w:val="single" w:sz="12" w:space="0" w:color="FFFFFF"/>
              <w:right w:val="single" w:sz="12" w:space="0" w:color="FFFFFF"/>
            </w:tcBorders>
            <w:shd w:val="clear" w:color="000000" w:fill="D9D9D9"/>
            <w:vAlign w:val="center"/>
            <w:hideMark/>
          </w:tcPr>
          <w:p w14:paraId="476C43F1"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Projeto</w:t>
            </w:r>
            <w:r w:rsidR="0059026A">
              <w:rPr>
                <w:rFonts w:asciiTheme="majorHAnsi" w:hAnsiTheme="majorHAnsi"/>
                <w:color w:val="000000"/>
                <w:sz w:val="20"/>
                <w:szCs w:val="20"/>
              </w:rPr>
              <w:t xml:space="preserve"> de Proteção e Limpeza de Costa</w:t>
            </w:r>
          </w:p>
        </w:tc>
      </w:tr>
      <w:tr w:rsidR="00BF1926" w:rsidRPr="00BF1926" w14:paraId="7EE59B7F"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413D6A86"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PSC</w:t>
            </w:r>
          </w:p>
        </w:tc>
        <w:tc>
          <w:tcPr>
            <w:tcW w:w="4142" w:type="pct"/>
            <w:tcBorders>
              <w:top w:val="nil"/>
              <w:left w:val="nil"/>
              <w:bottom w:val="single" w:sz="12" w:space="0" w:color="FFFFFF"/>
              <w:right w:val="single" w:sz="12" w:space="0" w:color="FFFFFF"/>
            </w:tcBorders>
            <w:shd w:val="clear" w:color="000000" w:fill="D9D9D9"/>
            <w:vAlign w:val="center"/>
            <w:hideMark/>
          </w:tcPr>
          <w:p w14:paraId="6C2C69D9"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Chefe da Seção de Planejamento (em inglês, </w:t>
            </w:r>
            <w:r w:rsidRPr="00BF1926">
              <w:rPr>
                <w:rFonts w:asciiTheme="majorHAnsi" w:hAnsiTheme="majorHAnsi"/>
                <w:i/>
                <w:color w:val="000000"/>
                <w:sz w:val="20"/>
                <w:szCs w:val="20"/>
              </w:rPr>
              <w:t>Planning Section Chief</w:t>
            </w:r>
            <w:r w:rsidRPr="00BF1926">
              <w:rPr>
                <w:rFonts w:asciiTheme="majorHAnsi" w:hAnsiTheme="majorHAnsi"/>
                <w:color w:val="000000"/>
                <w:sz w:val="20"/>
                <w:szCs w:val="20"/>
              </w:rPr>
              <w:t>)</w:t>
            </w:r>
          </w:p>
        </w:tc>
      </w:tr>
      <w:tr w:rsidR="00BF1926" w:rsidRPr="00BF1926" w14:paraId="3D601833"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498B461B"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PSV</w:t>
            </w:r>
          </w:p>
        </w:tc>
        <w:tc>
          <w:tcPr>
            <w:tcW w:w="4142" w:type="pct"/>
            <w:tcBorders>
              <w:top w:val="nil"/>
              <w:left w:val="nil"/>
              <w:bottom w:val="single" w:sz="12" w:space="0" w:color="FFFFFF"/>
              <w:right w:val="single" w:sz="12" w:space="0" w:color="FFFFFF"/>
            </w:tcBorders>
            <w:shd w:val="clear" w:color="000000" w:fill="D9D9D9"/>
            <w:vAlign w:val="center"/>
            <w:hideMark/>
          </w:tcPr>
          <w:p w14:paraId="7F0D5418"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Embarcação de apoio (em inglês, </w:t>
            </w:r>
            <w:r w:rsidRPr="00BF1926">
              <w:rPr>
                <w:rFonts w:asciiTheme="majorHAnsi" w:hAnsiTheme="majorHAnsi"/>
                <w:i/>
                <w:color w:val="000000"/>
                <w:sz w:val="20"/>
                <w:szCs w:val="20"/>
              </w:rPr>
              <w:t>Platform Supply Vessel</w:t>
            </w:r>
            <w:r w:rsidRPr="00BF1926">
              <w:rPr>
                <w:rFonts w:asciiTheme="majorHAnsi" w:hAnsiTheme="majorHAnsi"/>
                <w:color w:val="000000"/>
                <w:sz w:val="20"/>
                <w:szCs w:val="20"/>
              </w:rPr>
              <w:t>)</w:t>
            </w:r>
          </w:p>
        </w:tc>
      </w:tr>
      <w:tr w:rsidR="00BF1926" w:rsidRPr="00BF1926" w14:paraId="36626F70"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2A8D438E"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RC&amp;E</w:t>
            </w:r>
          </w:p>
        </w:tc>
        <w:tc>
          <w:tcPr>
            <w:tcW w:w="4142" w:type="pct"/>
            <w:tcBorders>
              <w:top w:val="nil"/>
              <w:left w:val="nil"/>
              <w:bottom w:val="single" w:sz="12" w:space="0" w:color="FFFFFF"/>
              <w:right w:val="single" w:sz="12" w:space="0" w:color="FFFFFF"/>
            </w:tcBorders>
            <w:shd w:val="clear" w:color="000000" w:fill="D9D9D9"/>
            <w:vAlign w:val="center"/>
            <w:hideMark/>
          </w:tcPr>
          <w:p w14:paraId="08656F10"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Conformidade aos Regulamentos e Meio Ambiente (em inglês, </w:t>
            </w:r>
            <w:r w:rsidRPr="00BF1926">
              <w:rPr>
                <w:rFonts w:asciiTheme="majorHAnsi" w:hAnsiTheme="majorHAnsi"/>
                <w:i/>
                <w:color w:val="000000"/>
                <w:sz w:val="20"/>
                <w:szCs w:val="20"/>
              </w:rPr>
              <w:t>Regulatory, Compliance &amp; Environment</w:t>
            </w:r>
            <w:r w:rsidRPr="00BF1926">
              <w:rPr>
                <w:rFonts w:asciiTheme="majorHAnsi" w:hAnsiTheme="majorHAnsi"/>
                <w:color w:val="000000"/>
                <w:sz w:val="20"/>
                <w:szCs w:val="20"/>
              </w:rPr>
              <w:t>)</w:t>
            </w:r>
          </w:p>
        </w:tc>
      </w:tr>
      <w:tr w:rsidR="00BF1926" w:rsidRPr="00BF1926" w14:paraId="0E3651A4"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7959DF1F"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SC</w:t>
            </w:r>
          </w:p>
        </w:tc>
        <w:tc>
          <w:tcPr>
            <w:tcW w:w="4142" w:type="pct"/>
            <w:tcBorders>
              <w:top w:val="nil"/>
              <w:left w:val="nil"/>
              <w:bottom w:val="single" w:sz="12" w:space="0" w:color="FFFFFF"/>
              <w:right w:val="single" w:sz="12" w:space="0" w:color="FFFFFF"/>
            </w:tcBorders>
            <w:shd w:val="clear" w:color="000000" w:fill="D9D9D9"/>
            <w:vAlign w:val="center"/>
            <w:hideMark/>
          </w:tcPr>
          <w:p w14:paraId="07D19463"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Chefes de Seção (em inglês, </w:t>
            </w:r>
            <w:r w:rsidRPr="00BF1926">
              <w:rPr>
                <w:rFonts w:asciiTheme="majorHAnsi" w:hAnsiTheme="majorHAnsi"/>
                <w:i/>
                <w:color w:val="000000"/>
                <w:sz w:val="20"/>
                <w:szCs w:val="20"/>
              </w:rPr>
              <w:t>Section Chief</w:t>
            </w:r>
            <w:r w:rsidRPr="00BF1926">
              <w:rPr>
                <w:rFonts w:asciiTheme="majorHAnsi" w:hAnsiTheme="majorHAnsi"/>
                <w:color w:val="000000"/>
                <w:sz w:val="20"/>
                <w:szCs w:val="20"/>
              </w:rPr>
              <w:t>)</w:t>
            </w:r>
          </w:p>
        </w:tc>
      </w:tr>
      <w:tr w:rsidR="00BF1926" w:rsidRPr="00BF1926" w14:paraId="62919229"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54E6B27B"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SIMOPS</w:t>
            </w:r>
          </w:p>
        </w:tc>
        <w:tc>
          <w:tcPr>
            <w:tcW w:w="4142" w:type="pct"/>
            <w:tcBorders>
              <w:top w:val="nil"/>
              <w:left w:val="nil"/>
              <w:bottom w:val="single" w:sz="12" w:space="0" w:color="FFFFFF"/>
              <w:right w:val="single" w:sz="12" w:space="0" w:color="FFFFFF"/>
            </w:tcBorders>
            <w:shd w:val="clear" w:color="000000" w:fill="D9D9D9"/>
            <w:vAlign w:val="center"/>
            <w:hideMark/>
          </w:tcPr>
          <w:p w14:paraId="3159F17A"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Operações Simultâneas (em inglês, </w:t>
            </w:r>
            <w:r w:rsidRPr="00BF1926">
              <w:rPr>
                <w:rFonts w:asciiTheme="majorHAnsi" w:hAnsiTheme="majorHAnsi"/>
                <w:i/>
                <w:color w:val="000000"/>
                <w:sz w:val="20"/>
                <w:szCs w:val="20"/>
              </w:rPr>
              <w:t>Simultaneous Operations</w:t>
            </w:r>
            <w:r w:rsidRPr="00BF1926">
              <w:rPr>
                <w:rFonts w:asciiTheme="majorHAnsi" w:hAnsiTheme="majorHAnsi"/>
                <w:color w:val="000000"/>
                <w:sz w:val="20"/>
                <w:szCs w:val="20"/>
              </w:rPr>
              <w:t>)</w:t>
            </w:r>
          </w:p>
        </w:tc>
      </w:tr>
      <w:tr w:rsidR="00BF1926" w:rsidRPr="00BF1926" w14:paraId="624B70EE"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05A11B9F"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SINPDEC</w:t>
            </w:r>
          </w:p>
        </w:tc>
        <w:tc>
          <w:tcPr>
            <w:tcW w:w="4142" w:type="pct"/>
            <w:tcBorders>
              <w:top w:val="nil"/>
              <w:left w:val="nil"/>
              <w:bottom w:val="single" w:sz="12" w:space="0" w:color="FFFFFF"/>
              <w:right w:val="single" w:sz="12" w:space="0" w:color="FFFFFF"/>
            </w:tcBorders>
            <w:shd w:val="clear" w:color="000000" w:fill="D9D9D9"/>
            <w:vAlign w:val="center"/>
            <w:hideMark/>
          </w:tcPr>
          <w:p w14:paraId="10AD4562"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Sistema Nacional de Proteção e Defesa Civil</w:t>
            </w:r>
          </w:p>
        </w:tc>
      </w:tr>
      <w:tr w:rsidR="00BF1926" w:rsidRPr="00BF1926" w14:paraId="464CF77A"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03383A60"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SOFR</w:t>
            </w:r>
          </w:p>
        </w:tc>
        <w:tc>
          <w:tcPr>
            <w:tcW w:w="4142" w:type="pct"/>
            <w:tcBorders>
              <w:top w:val="nil"/>
              <w:left w:val="nil"/>
              <w:bottom w:val="single" w:sz="12" w:space="0" w:color="FFFFFF"/>
              <w:right w:val="single" w:sz="12" w:space="0" w:color="FFFFFF"/>
            </w:tcBorders>
            <w:shd w:val="clear" w:color="000000" w:fill="D9D9D9"/>
            <w:vAlign w:val="center"/>
            <w:hideMark/>
          </w:tcPr>
          <w:p w14:paraId="1F24152C"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Oficial de Segurança (em inglês, </w:t>
            </w:r>
            <w:r w:rsidRPr="00BF1926">
              <w:rPr>
                <w:rFonts w:asciiTheme="majorHAnsi" w:hAnsiTheme="majorHAnsi"/>
                <w:i/>
                <w:color w:val="000000"/>
                <w:sz w:val="20"/>
                <w:szCs w:val="20"/>
              </w:rPr>
              <w:t>Safety Officer</w:t>
            </w:r>
            <w:r w:rsidRPr="00BF1926">
              <w:rPr>
                <w:rFonts w:asciiTheme="majorHAnsi" w:hAnsiTheme="majorHAnsi"/>
                <w:color w:val="000000"/>
                <w:sz w:val="20"/>
                <w:szCs w:val="20"/>
              </w:rPr>
              <w:t>)</w:t>
            </w:r>
          </w:p>
        </w:tc>
      </w:tr>
      <w:tr w:rsidR="00BF1926" w:rsidRPr="00BF1926" w14:paraId="5EEF1425"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11BEE089"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SOPEP</w:t>
            </w:r>
          </w:p>
        </w:tc>
        <w:tc>
          <w:tcPr>
            <w:tcW w:w="4142" w:type="pct"/>
            <w:tcBorders>
              <w:top w:val="nil"/>
              <w:left w:val="nil"/>
              <w:bottom w:val="single" w:sz="12" w:space="0" w:color="FFFFFF"/>
              <w:right w:val="single" w:sz="12" w:space="0" w:color="FFFFFF"/>
            </w:tcBorders>
            <w:shd w:val="clear" w:color="000000" w:fill="D9D9D9"/>
            <w:vAlign w:val="center"/>
            <w:hideMark/>
          </w:tcPr>
          <w:p w14:paraId="62B899BF"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Plano de bordo de emergência em caso de poluição por hidrocarbonetos (em inglês, </w:t>
            </w:r>
            <w:r w:rsidRPr="00BF1926">
              <w:rPr>
                <w:rFonts w:asciiTheme="majorHAnsi" w:hAnsiTheme="majorHAnsi"/>
                <w:i/>
                <w:color w:val="000000"/>
                <w:sz w:val="20"/>
                <w:szCs w:val="20"/>
              </w:rPr>
              <w:t>Shipboard Oil Pollution Emergency Plan</w:t>
            </w:r>
            <w:r w:rsidRPr="00BF1926">
              <w:rPr>
                <w:rFonts w:asciiTheme="majorHAnsi" w:hAnsiTheme="majorHAnsi"/>
                <w:color w:val="000000"/>
                <w:sz w:val="20"/>
                <w:szCs w:val="20"/>
              </w:rPr>
              <w:t>)</w:t>
            </w:r>
          </w:p>
        </w:tc>
      </w:tr>
      <w:tr w:rsidR="00BF1926" w:rsidRPr="00BF1926" w14:paraId="6A5092C0"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14E4AE87"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SSB</w:t>
            </w:r>
          </w:p>
        </w:tc>
        <w:tc>
          <w:tcPr>
            <w:tcW w:w="4142" w:type="pct"/>
            <w:tcBorders>
              <w:top w:val="nil"/>
              <w:left w:val="nil"/>
              <w:bottom w:val="single" w:sz="12" w:space="0" w:color="FFFFFF"/>
              <w:right w:val="single" w:sz="12" w:space="0" w:color="FFFFFF"/>
            </w:tcBorders>
            <w:shd w:val="clear" w:color="000000" w:fill="D9D9D9"/>
            <w:vAlign w:val="center"/>
            <w:hideMark/>
          </w:tcPr>
          <w:p w14:paraId="240837C7" w14:textId="77777777" w:rsidR="00BF1926" w:rsidRPr="00BF1926" w:rsidRDefault="00BF1926" w:rsidP="0059026A">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Sistemas de rádio em Banda Lateral Única (em inglês, </w:t>
            </w:r>
            <w:r w:rsidRPr="00BF1926">
              <w:rPr>
                <w:rFonts w:asciiTheme="majorHAnsi" w:hAnsiTheme="majorHAnsi"/>
                <w:i/>
                <w:color w:val="000000"/>
                <w:sz w:val="20"/>
                <w:szCs w:val="20"/>
              </w:rPr>
              <w:t xml:space="preserve">Single </w:t>
            </w:r>
            <w:r w:rsidR="0059026A">
              <w:rPr>
                <w:rFonts w:asciiTheme="majorHAnsi" w:hAnsiTheme="majorHAnsi"/>
                <w:i/>
                <w:color w:val="000000"/>
                <w:sz w:val="20"/>
                <w:szCs w:val="20"/>
              </w:rPr>
              <w:t>S</w:t>
            </w:r>
            <w:r w:rsidRPr="00BF1926">
              <w:rPr>
                <w:rFonts w:asciiTheme="majorHAnsi" w:hAnsiTheme="majorHAnsi"/>
                <w:i/>
                <w:color w:val="000000"/>
                <w:sz w:val="20"/>
                <w:szCs w:val="20"/>
              </w:rPr>
              <w:t>ide Band</w:t>
            </w:r>
            <w:r w:rsidRPr="00BF1926">
              <w:rPr>
                <w:rFonts w:asciiTheme="majorHAnsi" w:hAnsiTheme="majorHAnsi"/>
                <w:color w:val="000000"/>
                <w:sz w:val="20"/>
                <w:szCs w:val="20"/>
              </w:rPr>
              <w:t xml:space="preserve">) </w:t>
            </w:r>
          </w:p>
        </w:tc>
      </w:tr>
      <w:tr w:rsidR="005942C1" w:rsidRPr="00BF1926" w14:paraId="604FA346"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tcPr>
          <w:p w14:paraId="24D92056" w14:textId="6A379FE0" w:rsidR="005942C1" w:rsidRPr="005942C1" w:rsidRDefault="005942C1" w:rsidP="00FC10A8">
            <w:pPr>
              <w:spacing w:before="100" w:beforeAutospacing="1" w:after="100" w:afterAutospacing="1" w:line="240" w:lineRule="auto"/>
              <w:rPr>
                <w:rFonts w:asciiTheme="majorHAnsi" w:hAnsiTheme="majorHAnsi"/>
                <w:color w:val="000000"/>
                <w:sz w:val="20"/>
                <w:szCs w:val="20"/>
              </w:rPr>
            </w:pPr>
            <w:r w:rsidRPr="005942C1">
              <w:rPr>
                <w:rFonts w:asciiTheme="majorHAnsi" w:hAnsiTheme="majorHAnsi"/>
                <w:color w:val="000000"/>
                <w:sz w:val="20"/>
                <w:szCs w:val="20"/>
              </w:rPr>
              <w:t>SSM</w:t>
            </w:r>
          </w:p>
        </w:tc>
        <w:tc>
          <w:tcPr>
            <w:tcW w:w="4142" w:type="pct"/>
            <w:tcBorders>
              <w:top w:val="nil"/>
              <w:left w:val="nil"/>
              <w:bottom w:val="single" w:sz="12" w:space="0" w:color="FFFFFF"/>
              <w:right w:val="single" w:sz="12" w:space="0" w:color="FFFFFF"/>
            </w:tcBorders>
            <w:shd w:val="clear" w:color="000000" w:fill="D9D9D9"/>
            <w:vAlign w:val="center"/>
          </w:tcPr>
          <w:p w14:paraId="38BA5B5C" w14:textId="2AB2EBD2" w:rsidR="005942C1" w:rsidRPr="005942C1" w:rsidRDefault="005942C1" w:rsidP="00FC10A8">
            <w:pPr>
              <w:spacing w:before="100" w:beforeAutospacing="1" w:after="100" w:afterAutospacing="1" w:line="240" w:lineRule="auto"/>
              <w:rPr>
                <w:rFonts w:asciiTheme="majorHAnsi" w:hAnsiTheme="majorHAnsi"/>
                <w:color w:val="000000"/>
                <w:sz w:val="20"/>
                <w:szCs w:val="20"/>
              </w:rPr>
            </w:pPr>
            <w:r w:rsidRPr="005942C1">
              <w:rPr>
                <w:rFonts w:asciiTheme="majorHAnsi" w:hAnsiTheme="majorHAnsi"/>
                <w:color w:val="000000"/>
                <w:sz w:val="20"/>
                <w:szCs w:val="20"/>
              </w:rPr>
              <w:t>Superintendência de Segurança Operacional e Meio Ambiente / ANP</w:t>
            </w:r>
          </w:p>
        </w:tc>
      </w:tr>
      <w:tr w:rsidR="00BF1926" w:rsidRPr="00BF1926" w14:paraId="3C1CD0B4"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79C69B16"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TOG</w:t>
            </w:r>
          </w:p>
        </w:tc>
        <w:tc>
          <w:tcPr>
            <w:tcW w:w="4142" w:type="pct"/>
            <w:tcBorders>
              <w:top w:val="nil"/>
              <w:left w:val="nil"/>
              <w:bottom w:val="single" w:sz="12" w:space="0" w:color="FFFFFF"/>
              <w:right w:val="single" w:sz="12" w:space="0" w:color="FFFFFF"/>
            </w:tcBorders>
            <w:shd w:val="clear" w:color="000000" w:fill="D9D9D9"/>
            <w:vAlign w:val="center"/>
            <w:hideMark/>
          </w:tcPr>
          <w:p w14:paraId="533890EE" w14:textId="77777777" w:rsidR="00BF1926" w:rsidRPr="00BF1926" w:rsidRDefault="0059026A" w:rsidP="00FC10A8">
            <w:pPr>
              <w:spacing w:before="100" w:beforeAutospacing="1" w:after="100" w:afterAutospacing="1" w:line="240" w:lineRule="auto"/>
              <w:rPr>
                <w:rFonts w:asciiTheme="majorHAnsi" w:hAnsiTheme="majorHAnsi"/>
                <w:color w:val="000000"/>
                <w:sz w:val="20"/>
                <w:szCs w:val="20"/>
              </w:rPr>
            </w:pPr>
            <w:r>
              <w:rPr>
                <w:rFonts w:asciiTheme="majorHAnsi" w:hAnsiTheme="majorHAnsi"/>
                <w:color w:val="000000"/>
                <w:sz w:val="20"/>
                <w:szCs w:val="20"/>
              </w:rPr>
              <w:t>Teor de óleos e graxas</w:t>
            </w:r>
          </w:p>
        </w:tc>
      </w:tr>
      <w:tr w:rsidR="00BF1926" w:rsidRPr="00BF1926" w14:paraId="01C17F60"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387F65DA"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TRP</w:t>
            </w:r>
          </w:p>
        </w:tc>
        <w:tc>
          <w:tcPr>
            <w:tcW w:w="4142" w:type="pct"/>
            <w:tcBorders>
              <w:top w:val="nil"/>
              <w:left w:val="nil"/>
              <w:bottom w:val="single" w:sz="12" w:space="0" w:color="FFFFFF"/>
              <w:right w:val="single" w:sz="12" w:space="0" w:color="FFFFFF"/>
            </w:tcBorders>
            <w:shd w:val="clear" w:color="000000" w:fill="D9D9D9"/>
            <w:vAlign w:val="center"/>
            <w:hideMark/>
          </w:tcPr>
          <w:p w14:paraId="0A733B95" w14:textId="6E5AC29A" w:rsidR="00BF1926" w:rsidRPr="00BF1926" w:rsidRDefault="00B07A0A" w:rsidP="00FC10A8">
            <w:pPr>
              <w:spacing w:before="100" w:beforeAutospacing="1" w:after="100" w:afterAutospacing="1" w:line="240" w:lineRule="auto"/>
              <w:rPr>
                <w:rFonts w:asciiTheme="majorHAnsi" w:hAnsiTheme="majorHAnsi"/>
                <w:color w:val="000000"/>
                <w:sz w:val="20"/>
                <w:szCs w:val="20"/>
              </w:rPr>
            </w:pPr>
            <w:r>
              <w:rPr>
                <w:rFonts w:asciiTheme="majorHAnsi" w:hAnsiTheme="majorHAnsi"/>
                <w:color w:val="000000"/>
                <w:sz w:val="20"/>
                <w:szCs w:val="20"/>
              </w:rPr>
              <w:t>Plano Tático de R</w:t>
            </w:r>
            <w:r w:rsidR="00BF1926" w:rsidRPr="00BF1926">
              <w:rPr>
                <w:rFonts w:asciiTheme="majorHAnsi" w:hAnsiTheme="majorHAnsi"/>
                <w:color w:val="000000"/>
                <w:sz w:val="20"/>
                <w:szCs w:val="20"/>
              </w:rPr>
              <w:t xml:space="preserve">esposta (em inglês, </w:t>
            </w:r>
            <w:r w:rsidR="00BF1926" w:rsidRPr="00BF1926">
              <w:rPr>
                <w:rFonts w:asciiTheme="majorHAnsi" w:hAnsiTheme="majorHAnsi"/>
                <w:i/>
                <w:color w:val="000000"/>
                <w:sz w:val="20"/>
                <w:szCs w:val="20"/>
              </w:rPr>
              <w:t>Tactical Response Plan</w:t>
            </w:r>
            <w:r w:rsidR="00BF1926" w:rsidRPr="00BF1926">
              <w:rPr>
                <w:rFonts w:asciiTheme="majorHAnsi" w:hAnsiTheme="majorHAnsi"/>
                <w:color w:val="000000"/>
                <w:sz w:val="20"/>
                <w:szCs w:val="20"/>
              </w:rPr>
              <w:t>)</w:t>
            </w:r>
          </w:p>
        </w:tc>
      </w:tr>
      <w:tr w:rsidR="00BF1926" w:rsidRPr="00BF1926" w14:paraId="0B3F636F"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77403AD9"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TRT</w:t>
            </w:r>
          </w:p>
        </w:tc>
        <w:tc>
          <w:tcPr>
            <w:tcW w:w="4142" w:type="pct"/>
            <w:tcBorders>
              <w:top w:val="nil"/>
              <w:left w:val="nil"/>
              <w:bottom w:val="single" w:sz="12" w:space="0" w:color="FFFFFF"/>
              <w:right w:val="single" w:sz="12" w:space="0" w:color="FFFFFF"/>
            </w:tcBorders>
            <w:shd w:val="clear" w:color="000000" w:fill="D9D9D9"/>
            <w:vAlign w:val="center"/>
            <w:hideMark/>
          </w:tcPr>
          <w:p w14:paraId="761E80C8"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Equipe Tática de Resposta (em inglês, </w:t>
            </w:r>
            <w:r w:rsidRPr="00BF1926">
              <w:rPr>
                <w:rFonts w:asciiTheme="majorHAnsi" w:hAnsiTheme="majorHAnsi"/>
                <w:i/>
                <w:color w:val="000000"/>
                <w:sz w:val="20"/>
                <w:szCs w:val="20"/>
              </w:rPr>
              <w:t>Tactical Response Team</w:t>
            </w:r>
            <w:r w:rsidRPr="00BF1926">
              <w:rPr>
                <w:rFonts w:asciiTheme="majorHAnsi" w:hAnsiTheme="majorHAnsi"/>
                <w:color w:val="000000"/>
                <w:sz w:val="20"/>
                <w:szCs w:val="20"/>
              </w:rPr>
              <w:t>)</w:t>
            </w:r>
          </w:p>
        </w:tc>
      </w:tr>
      <w:tr w:rsidR="00BF1926" w:rsidRPr="00BF1926" w14:paraId="512F47CC"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19D646A9"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VoO</w:t>
            </w:r>
          </w:p>
        </w:tc>
        <w:tc>
          <w:tcPr>
            <w:tcW w:w="4142" w:type="pct"/>
            <w:tcBorders>
              <w:top w:val="nil"/>
              <w:left w:val="nil"/>
              <w:bottom w:val="single" w:sz="12" w:space="0" w:color="FFFFFF"/>
              <w:right w:val="single" w:sz="12" w:space="0" w:color="FFFFFF"/>
            </w:tcBorders>
            <w:shd w:val="clear" w:color="000000" w:fill="D9D9D9"/>
            <w:vAlign w:val="center"/>
            <w:hideMark/>
          </w:tcPr>
          <w:p w14:paraId="4C6170C0"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Embarcações de oportunidade (em inglês, </w:t>
            </w:r>
            <w:r w:rsidRPr="00BF1926">
              <w:rPr>
                <w:rFonts w:asciiTheme="majorHAnsi" w:hAnsiTheme="majorHAnsi"/>
                <w:i/>
                <w:color w:val="000000"/>
                <w:sz w:val="20"/>
                <w:szCs w:val="20"/>
              </w:rPr>
              <w:t>vessels of opportunity</w:t>
            </w:r>
            <w:r w:rsidRPr="00BF1926">
              <w:rPr>
                <w:rFonts w:asciiTheme="majorHAnsi" w:hAnsiTheme="majorHAnsi"/>
                <w:color w:val="000000"/>
                <w:sz w:val="20"/>
                <w:szCs w:val="20"/>
              </w:rPr>
              <w:t>)</w:t>
            </w:r>
          </w:p>
        </w:tc>
      </w:tr>
    </w:tbl>
    <w:p w14:paraId="1DE232FB" w14:textId="77777777" w:rsidR="00F6044C" w:rsidRPr="004269ED" w:rsidRDefault="005E32C0" w:rsidP="004269ED">
      <w:pPr>
        <w:pStyle w:val="Indices"/>
        <w:rPr>
          <w:rStyle w:val="NegritoVersaleteChar"/>
          <w:b/>
          <w:i w:val="0"/>
          <w:smallCaps/>
          <w:color w:val="auto"/>
        </w:rPr>
      </w:pPr>
      <w:r w:rsidRPr="00F6044C">
        <w:rPr>
          <w:rFonts w:asciiTheme="majorHAnsi" w:hAnsiTheme="majorHAnsi"/>
        </w:rPr>
        <w:br w:type="page"/>
      </w:r>
      <w:r w:rsidR="00F6044C" w:rsidRPr="00081378">
        <w:rPr>
          <w:rStyle w:val="NegritoVersaleteChar"/>
          <w:b/>
          <w:i w:val="0"/>
          <w:smallCaps/>
          <w:color w:val="auto"/>
        </w:rPr>
        <w:lastRenderedPageBreak/>
        <w:t>Correspondência com os itens da Resolução CONAMA Nº 398/08</w:t>
      </w:r>
    </w:p>
    <w:tbl>
      <w:tblPr>
        <w:tblW w:w="5000" w:type="pct"/>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left w:w="70" w:type="dxa"/>
          <w:right w:w="70" w:type="dxa"/>
        </w:tblCellMar>
        <w:tblLook w:val="04A0" w:firstRow="1" w:lastRow="0" w:firstColumn="1" w:lastColumn="0" w:noHBand="0" w:noVBand="1"/>
      </w:tblPr>
      <w:tblGrid>
        <w:gridCol w:w="4512"/>
        <w:gridCol w:w="4512"/>
      </w:tblGrid>
      <w:tr w:rsidR="00F6044C" w:rsidRPr="00E30CB5" w14:paraId="26028B9A" w14:textId="77777777" w:rsidTr="00E57F9E">
        <w:trPr>
          <w:cantSplit/>
          <w:trHeight w:val="315"/>
          <w:tblHeader/>
        </w:trPr>
        <w:tc>
          <w:tcPr>
            <w:tcW w:w="2500" w:type="pct"/>
            <w:tcBorders>
              <w:top w:val="single" w:sz="18" w:space="0" w:color="FFFFFF"/>
              <w:left w:val="single" w:sz="18" w:space="0" w:color="FFFFFF"/>
              <w:bottom w:val="single" w:sz="18" w:space="0" w:color="FFFFFF"/>
              <w:right w:val="single" w:sz="18" w:space="0" w:color="FFFFFF"/>
            </w:tcBorders>
            <w:shd w:val="clear" w:color="auto" w:fill="1F497D"/>
            <w:noWrap/>
            <w:vAlign w:val="center"/>
          </w:tcPr>
          <w:p w14:paraId="09CA80CF" w14:textId="77777777" w:rsidR="00F6044C" w:rsidRPr="008001F5" w:rsidRDefault="00F6044C" w:rsidP="00E57F9E">
            <w:pPr>
              <w:pStyle w:val="TITULOTAB"/>
              <w:rPr>
                <w:lang w:val="pt-BR"/>
              </w:rPr>
            </w:pPr>
            <w:r w:rsidRPr="008001F5">
              <w:rPr>
                <w:lang w:val="pt-BR"/>
              </w:rPr>
              <w:t>Resolução CONAMA Nº 398/08 – Anexo I</w:t>
            </w:r>
          </w:p>
        </w:tc>
        <w:tc>
          <w:tcPr>
            <w:tcW w:w="2500" w:type="pct"/>
            <w:tcBorders>
              <w:top w:val="single" w:sz="18" w:space="0" w:color="FFFFFF"/>
              <w:left w:val="single" w:sz="18" w:space="0" w:color="FFFFFF"/>
              <w:bottom w:val="single" w:sz="18" w:space="0" w:color="FFFFFF"/>
              <w:right w:val="single" w:sz="18" w:space="0" w:color="FFFFFF"/>
            </w:tcBorders>
            <w:shd w:val="clear" w:color="auto" w:fill="1F497D"/>
            <w:vAlign w:val="center"/>
          </w:tcPr>
          <w:p w14:paraId="38BC2C76" w14:textId="185403E7" w:rsidR="00F6044C" w:rsidRPr="004269ED" w:rsidRDefault="00F6044C" w:rsidP="00E57F9E">
            <w:pPr>
              <w:pStyle w:val="TITULOTAB"/>
              <w:rPr>
                <w:lang w:val="pt-BR"/>
              </w:rPr>
            </w:pPr>
            <w:r w:rsidRPr="004269ED">
              <w:rPr>
                <w:lang w:val="pt-BR"/>
              </w:rPr>
              <w:t>P</w:t>
            </w:r>
            <w:r w:rsidR="004269ED" w:rsidRPr="004269ED">
              <w:rPr>
                <w:lang w:val="pt-BR"/>
              </w:rPr>
              <w:t xml:space="preserve">lano de </w:t>
            </w:r>
            <w:r w:rsidRPr="004269ED">
              <w:rPr>
                <w:lang w:val="pt-BR"/>
              </w:rPr>
              <w:t>E</w:t>
            </w:r>
            <w:r w:rsidR="004269ED" w:rsidRPr="004269ED">
              <w:rPr>
                <w:lang w:val="pt-BR"/>
              </w:rPr>
              <w:t xml:space="preserve">mergência </w:t>
            </w:r>
            <w:r w:rsidRPr="004269ED">
              <w:rPr>
                <w:lang w:val="pt-BR"/>
              </w:rPr>
              <w:t>I</w:t>
            </w:r>
            <w:r w:rsidR="004269ED" w:rsidRPr="004269ED">
              <w:rPr>
                <w:lang w:val="pt-BR"/>
              </w:rPr>
              <w:t xml:space="preserve">ndividual </w:t>
            </w:r>
            <w:r w:rsidRPr="004269ED">
              <w:rPr>
                <w:lang w:val="pt-BR"/>
              </w:rPr>
              <w:t>FZA-M-59</w:t>
            </w:r>
          </w:p>
        </w:tc>
      </w:tr>
      <w:tr w:rsidR="00F6044C" w:rsidRPr="0027054E" w14:paraId="18830DCB"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4AB25987" w14:textId="77777777" w:rsidR="00F6044C" w:rsidRPr="00D80C93" w:rsidRDefault="00F6044C" w:rsidP="00E57F9E">
            <w:pPr>
              <w:pStyle w:val="TableParagraph"/>
              <w:tabs>
                <w:tab w:val="left" w:pos="10490"/>
              </w:tabs>
              <w:spacing w:before="60" w:after="60"/>
              <w:ind w:left="130" w:right="284"/>
              <w:rPr>
                <w:rFonts w:ascii="Cambria" w:hAnsi="Cambria"/>
                <w:sz w:val="20"/>
                <w:szCs w:val="20"/>
                <w:lang w:val="pt-BR"/>
              </w:rPr>
            </w:pPr>
            <w:r w:rsidRPr="00D80C93">
              <w:rPr>
                <w:rFonts w:ascii="Cambria" w:hAnsi="Cambria"/>
                <w:sz w:val="20"/>
                <w:szCs w:val="20"/>
                <w:lang w:val="pt-BR"/>
              </w:rPr>
              <w:t>1. Identificação da instalação</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37216DEE" w14:textId="3CA21BA2" w:rsidR="00F6044C" w:rsidRPr="00D80C93" w:rsidRDefault="004269ED" w:rsidP="00E57F9E">
            <w:pPr>
              <w:pStyle w:val="TableParagraph"/>
              <w:tabs>
                <w:tab w:val="left" w:pos="10490"/>
              </w:tabs>
              <w:spacing w:before="60" w:after="60"/>
              <w:ind w:left="130" w:right="284"/>
              <w:rPr>
                <w:rFonts w:asciiTheme="majorHAnsi" w:hAnsiTheme="majorHAnsi"/>
                <w:sz w:val="20"/>
                <w:szCs w:val="20"/>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_Ref414612112 \r \h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2</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_Ref414612128 \h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IDENTIFICAÇÃO DA INSTALAÇÃO E CARACTERIZAÇÃO DAS ATIVIDADES</w:t>
            </w:r>
            <w:r w:rsidRPr="00D80C93">
              <w:rPr>
                <w:rFonts w:asciiTheme="majorHAnsi" w:hAnsiTheme="majorHAnsi"/>
                <w:sz w:val="20"/>
                <w:szCs w:val="20"/>
                <w:highlight w:val="lightGray"/>
                <w:lang w:val="pt-BR"/>
              </w:rPr>
              <w:fldChar w:fldCharType="end"/>
            </w:r>
          </w:p>
        </w:tc>
      </w:tr>
      <w:tr w:rsidR="00F6044C" w:rsidRPr="0027054E" w14:paraId="57631C48" w14:textId="77777777" w:rsidTr="00E57F9E">
        <w:trPr>
          <w:cantSplit/>
          <w:trHeight w:val="456"/>
        </w:trPr>
        <w:tc>
          <w:tcPr>
            <w:tcW w:w="2500" w:type="pct"/>
            <w:tcBorders>
              <w:top w:val="single" w:sz="18" w:space="0" w:color="FFFFFF"/>
              <w:left w:val="single" w:sz="18" w:space="0" w:color="FFFFFF"/>
              <w:right w:val="single" w:sz="18" w:space="0" w:color="FFFFFF"/>
            </w:tcBorders>
            <w:shd w:val="clear" w:color="auto" w:fill="D9D9D9"/>
            <w:vAlign w:val="center"/>
          </w:tcPr>
          <w:p w14:paraId="76B4DF69"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2. Cenários acide</w:t>
            </w:r>
            <w:r w:rsidR="004269ED">
              <w:rPr>
                <w:rFonts w:ascii="Cambria" w:hAnsi="Cambria"/>
                <w:sz w:val="20"/>
                <w:szCs w:val="20"/>
                <w:lang w:val="pt-BR"/>
              </w:rPr>
              <w:t>ntais</w:t>
            </w:r>
          </w:p>
        </w:tc>
        <w:tc>
          <w:tcPr>
            <w:tcW w:w="2500" w:type="pct"/>
            <w:tcBorders>
              <w:top w:val="single" w:sz="18" w:space="0" w:color="FFFFFF"/>
              <w:left w:val="single" w:sz="18" w:space="0" w:color="FFFFFF"/>
              <w:right w:val="single" w:sz="18" w:space="0" w:color="FFFFFF"/>
            </w:tcBorders>
            <w:shd w:val="clear" w:color="auto" w:fill="D9D9D9"/>
            <w:vAlign w:val="center"/>
          </w:tcPr>
          <w:p w14:paraId="13EBC7F7" w14:textId="7A833B44" w:rsidR="00F6044C" w:rsidRPr="00D80C93" w:rsidRDefault="004269ED" w:rsidP="00E57F9E">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_Ref414525557 \r \h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3</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_Ref414525557 \h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CENÁRIOS ACIDENTAIS</w:t>
            </w:r>
            <w:r w:rsidRPr="00D80C93">
              <w:rPr>
                <w:rFonts w:asciiTheme="majorHAnsi" w:hAnsiTheme="majorHAnsi"/>
                <w:sz w:val="20"/>
                <w:szCs w:val="20"/>
                <w:highlight w:val="lightGray"/>
                <w:lang w:val="pt-BR"/>
              </w:rPr>
              <w:fldChar w:fldCharType="end"/>
            </w:r>
          </w:p>
        </w:tc>
      </w:tr>
      <w:tr w:rsidR="003C7CAC" w:rsidRPr="00C95909" w14:paraId="21755B71" w14:textId="77777777" w:rsidTr="00E57F9E">
        <w:trPr>
          <w:cantSplit/>
          <w:trHeight w:val="20"/>
        </w:trPr>
        <w:tc>
          <w:tcPr>
            <w:tcW w:w="5000" w:type="pct"/>
            <w:gridSpan w:val="2"/>
            <w:tcBorders>
              <w:top w:val="single" w:sz="18" w:space="0" w:color="FFFFFF"/>
              <w:left w:val="single" w:sz="18" w:space="0" w:color="FFFFFF"/>
              <w:bottom w:val="single" w:sz="18" w:space="0" w:color="FFFFFF"/>
              <w:right w:val="single" w:sz="18" w:space="0" w:color="FFFFFF"/>
            </w:tcBorders>
            <w:shd w:val="clear" w:color="auto" w:fill="D9D9D9"/>
            <w:vAlign w:val="center"/>
          </w:tcPr>
          <w:p w14:paraId="1040CFEC" w14:textId="77777777" w:rsidR="003C7CAC" w:rsidRPr="00D80C93" w:rsidRDefault="003C7CAC" w:rsidP="00E57F9E">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Cambria" w:hAnsi="Cambria"/>
                <w:sz w:val="20"/>
                <w:szCs w:val="20"/>
                <w:highlight w:val="lightGray"/>
                <w:lang w:val="pt-BR"/>
              </w:rPr>
              <w:t>3. Informações e procedimentos para resposta:</w:t>
            </w:r>
          </w:p>
        </w:tc>
      </w:tr>
      <w:tr w:rsidR="00F6044C" w:rsidRPr="00C95909" w14:paraId="59ACDF83"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2E41B533"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3.1. Sistemas de alerta de derramamento de óleo</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29D13361" w14:textId="7522A138" w:rsidR="00F6044C" w:rsidRPr="00D80C93" w:rsidRDefault="00C8288F" w:rsidP="00E57F9E">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_Ref414612432 \r \h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8.2</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_Ref414612440 \h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Sistema de Alerta e Procedimento para a Interrupção da Descarga de Óleo</w:t>
            </w:r>
            <w:r w:rsidRPr="00D80C93">
              <w:rPr>
                <w:rFonts w:asciiTheme="majorHAnsi" w:hAnsiTheme="majorHAnsi"/>
                <w:sz w:val="20"/>
                <w:szCs w:val="20"/>
                <w:highlight w:val="lightGray"/>
                <w:lang w:val="pt-BR"/>
              </w:rPr>
              <w:fldChar w:fldCharType="end"/>
            </w:r>
          </w:p>
        </w:tc>
      </w:tr>
      <w:tr w:rsidR="00F6044C" w:rsidRPr="0027054E" w14:paraId="3AE14167"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5807852C"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3.2. Comunicação do incidente</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338CC7FF" w14:textId="4E575FE6" w:rsidR="00F6044C" w:rsidRPr="00D80C93" w:rsidRDefault="00C8288F" w:rsidP="00E57F9E">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_Ref414455983 \r \h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6</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_Ref414455983 \h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COMUNICAÇÃO INICIAL E MOBILIZAÇÃO DA EOR</w:t>
            </w:r>
            <w:r w:rsidRPr="00D80C93">
              <w:rPr>
                <w:rFonts w:asciiTheme="majorHAnsi" w:hAnsiTheme="majorHAnsi"/>
                <w:sz w:val="20"/>
                <w:szCs w:val="20"/>
                <w:highlight w:val="lightGray"/>
                <w:lang w:val="pt-BR"/>
              </w:rPr>
              <w:fldChar w:fldCharType="end"/>
            </w:r>
          </w:p>
        </w:tc>
      </w:tr>
      <w:tr w:rsidR="00F6044C" w:rsidRPr="00227B77" w14:paraId="095AB367"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6E96D5FF"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3.3. Estrutura organizacional de resposta</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2B9C7FB7" w14:textId="4972FC67" w:rsidR="003C7CAC" w:rsidRPr="00D80C93" w:rsidRDefault="00C8288F" w:rsidP="00E57F9E">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_Ref414612477 \r \h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5</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_Ref414612487 \h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ESTRUTURA ORGANIZACIONAL DE RESPOSTA (EOR)</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w:t>
            </w:r>
          </w:p>
          <w:p w14:paraId="77BC2EC2" w14:textId="171568AA" w:rsidR="00F6044C" w:rsidRPr="00D80C93" w:rsidRDefault="00C8288F" w:rsidP="00CE6488">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t>APÊNDICE B</w:t>
            </w:r>
            <w:r w:rsidR="002643F1" w:rsidRPr="00D80C93">
              <w:rPr>
                <w:rFonts w:asciiTheme="majorHAnsi" w:hAnsiTheme="majorHAnsi"/>
                <w:sz w:val="20"/>
                <w:szCs w:val="20"/>
                <w:highlight w:val="lightGray"/>
                <w:lang w:val="pt-BR"/>
              </w:rPr>
              <w:t xml:space="preserve"> – </w:t>
            </w:r>
            <w:r w:rsidR="002643F1" w:rsidRPr="00D80C93">
              <w:rPr>
                <w:rStyle w:val="NegritoVersaleteChar"/>
                <w:b w:val="0"/>
                <w:i w:val="0"/>
                <w:smallCaps w:val="0"/>
                <w:color w:val="auto"/>
                <w:sz w:val="20"/>
                <w:highlight w:val="lightGray"/>
                <w:lang w:val="pt-BR"/>
              </w:rPr>
              <w:t>Lista de Contatos</w:t>
            </w:r>
          </w:p>
        </w:tc>
      </w:tr>
      <w:tr w:rsidR="00F6044C" w:rsidRPr="00C95909" w14:paraId="2FD349FA"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77A131AF"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3.4. Equipamentos e materiais de resposta</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7DFBFA69" w14:textId="7BA80336" w:rsidR="003C7CAC" w:rsidRPr="00D80C93" w:rsidRDefault="00C8288F" w:rsidP="00E57F9E">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_Ref414612526 \r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8</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_Ref414612532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bCs/>
                <w:sz w:val="20"/>
                <w:szCs w:val="20"/>
                <w:highlight w:val="lightGray"/>
                <w:lang w:val="pt-BR"/>
              </w:rPr>
              <w:t>PROCEDIMENTOS OPERACIONAIS DE RESPOSTA</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e</w:t>
            </w:r>
          </w:p>
          <w:p w14:paraId="46C28774" w14:textId="2B7A81F8" w:rsidR="00F6044C" w:rsidRPr="00D80C93" w:rsidRDefault="00C8288F" w:rsidP="00CE6488">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t xml:space="preserve">APÊNDICE </w:t>
            </w:r>
            <w:r w:rsidR="00CE6488" w:rsidRPr="00D80C93">
              <w:rPr>
                <w:rFonts w:asciiTheme="majorHAnsi" w:hAnsiTheme="majorHAnsi"/>
                <w:sz w:val="20"/>
                <w:szCs w:val="20"/>
                <w:highlight w:val="lightGray"/>
                <w:lang w:val="pt-BR"/>
              </w:rPr>
              <w:t>F</w:t>
            </w:r>
            <w:r w:rsidR="002643F1" w:rsidRPr="00D80C93">
              <w:rPr>
                <w:rFonts w:asciiTheme="majorHAnsi" w:hAnsiTheme="majorHAnsi"/>
                <w:sz w:val="20"/>
                <w:szCs w:val="20"/>
                <w:highlight w:val="lightGray"/>
                <w:lang w:val="pt-BR"/>
              </w:rPr>
              <w:t xml:space="preserve"> – </w:t>
            </w:r>
            <w:r w:rsidR="002643F1" w:rsidRPr="00D80C93">
              <w:rPr>
                <w:rStyle w:val="NegritoVersaleteChar"/>
                <w:b w:val="0"/>
                <w:i w:val="0"/>
                <w:smallCaps w:val="0"/>
                <w:color w:val="auto"/>
                <w:sz w:val="20"/>
                <w:highlight w:val="lightGray"/>
                <w:lang w:val="pt-BR"/>
              </w:rPr>
              <w:t>Inventário dos Recursos de Resposta</w:t>
            </w:r>
          </w:p>
        </w:tc>
      </w:tr>
      <w:tr w:rsidR="00F6044C" w:rsidRPr="0027054E" w14:paraId="1D8F3E9E"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57C9D7AE"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3.5. Procedimentos operacionais de resposta</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75642292" w14:textId="7D44D197" w:rsidR="00F6044C" w:rsidRPr="00D80C93" w:rsidRDefault="00C8288F" w:rsidP="00E57F9E">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_Ref414612561 \r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8</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_Ref414612568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bCs/>
                <w:sz w:val="20"/>
                <w:szCs w:val="20"/>
                <w:highlight w:val="lightGray"/>
                <w:lang w:val="pt-BR"/>
              </w:rPr>
              <w:t>PROCEDIMENTOS OPERACIONAIS DE RESPOSTA</w:t>
            </w:r>
            <w:r w:rsidRPr="00D80C93">
              <w:rPr>
                <w:rFonts w:asciiTheme="majorHAnsi" w:hAnsiTheme="majorHAnsi"/>
                <w:sz w:val="20"/>
                <w:szCs w:val="20"/>
                <w:highlight w:val="lightGray"/>
                <w:lang w:val="pt-BR"/>
              </w:rPr>
              <w:fldChar w:fldCharType="end"/>
            </w:r>
          </w:p>
        </w:tc>
      </w:tr>
      <w:tr w:rsidR="00F6044C" w:rsidRPr="00C95909" w14:paraId="20C5ECF0"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1B61E561"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3.5.1. Procedimentos para interrupção da descarga de óleo</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15A973A3" w14:textId="573E8BAC" w:rsidR="00F6044C" w:rsidRPr="00D80C93" w:rsidRDefault="00C8288F" w:rsidP="00E57F9E">
            <w:pPr>
              <w:pStyle w:val="TableParagraph"/>
              <w:tabs>
                <w:tab w:val="left" w:pos="10490"/>
              </w:tabs>
              <w:spacing w:before="60" w:after="60"/>
              <w:ind w:left="130" w:right="-51"/>
              <w:rPr>
                <w:rFonts w:asciiTheme="majorHAnsi" w:hAnsiTheme="majorHAnsi"/>
                <w:sz w:val="20"/>
                <w:szCs w:val="20"/>
                <w:highlight w:val="lightGray"/>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_Ref414612584 \r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8.2</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_Ref414612875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Sistema de Alerta e Procedimento para a Interrupção da Descarga de Óleo</w:t>
            </w:r>
            <w:r w:rsidRPr="00D80C93">
              <w:rPr>
                <w:rFonts w:asciiTheme="majorHAnsi" w:hAnsiTheme="majorHAnsi"/>
                <w:sz w:val="20"/>
                <w:szCs w:val="20"/>
                <w:highlight w:val="lightGray"/>
                <w:lang w:val="pt-BR"/>
              </w:rPr>
              <w:fldChar w:fldCharType="end"/>
            </w:r>
          </w:p>
        </w:tc>
      </w:tr>
      <w:tr w:rsidR="00F6044C" w:rsidRPr="00C95909" w14:paraId="40CDF840"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641F79EB"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3.5.2. Procedimentos para contenção do derramamento de óleo</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26951832" w14:textId="588FA816" w:rsidR="00F6044C" w:rsidRPr="00D80C93" w:rsidRDefault="00C8288F" w:rsidP="00E57F9E">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_Ref414612593 \r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8.4</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_Ref414612885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Procedimentos para Contenção e Recolhimento de Óleo Derramado</w:t>
            </w:r>
            <w:r w:rsidRPr="00D80C93">
              <w:rPr>
                <w:rFonts w:asciiTheme="majorHAnsi" w:hAnsiTheme="majorHAnsi"/>
                <w:sz w:val="20"/>
                <w:szCs w:val="20"/>
                <w:highlight w:val="lightGray"/>
                <w:lang w:val="pt-BR"/>
              </w:rPr>
              <w:fldChar w:fldCharType="end"/>
            </w:r>
          </w:p>
        </w:tc>
      </w:tr>
      <w:tr w:rsidR="00F6044C" w:rsidRPr="00C95909" w14:paraId="3E080358"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38B99108"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3.5.3. Procedimentos para proteção de áreas vulneráveis</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41FDBB52" w14:textId="37C0AC16" w:rsidR="00F6044C" w:rsidRPr="00D80C93" w:rsidRDefault="00C8288F" w:rsidP="00E57F9E">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_Ref414612607 \r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8.8</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_Ref414612894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Procedimentos para a Proteção de Áreas Vulneráveis e Limpeza de Áreas Atingidas</w:t>
            </w:r>
            <w:r w:rsidRPr="00D80C93">
              <w:rPr>
                <w:rFonts w:asciiTheme="majorHAnsi" w:hAnsiTheme="majorHAnsi"/>
                <w:sz w:val="20"/>
                <w:szCs w:val="20"/>
                <w:highlight w:val="lightGray"/>
                <w:lang w:val="pt-BR"/>
              </w:rPr>
              <w:fldChar w:fldCharType="end"/>
            </w:r>
          </w:p>
        </w:tc>
      </w:tr>
      <w:tr w:rsidR="00F6044C" w:rsidRPr="00C95909" w14:paraId="20C67762"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5475168B"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3.5.4.Procedimentos para monitoramento da mancha de óleo derramado</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2AEEA897" w14:textId="3E413C78" w:rsidR="00F6044C" w:rsidRPr="00D80C93" w:rsidRDefault="00C8288F" w:rsidP="00E57F9E">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_Ref414544194 \r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8.3</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_Ref414544194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Procedimentos para Avaliação e Monitoramento da Mancha de Óleo</w:t>
            </w:r>
            <w:r w:rsidRPr="00D80C93">
              <w:rPr>
                <w:rFonts w:asciiTheme="majorHAnsi" w:hAnsiTheme="majorHAnsi"/>
                <w:sz w:val="20"/>
                <w:szCs w:val="20"/>
                <w:highlight w:val="lightGray"/>
                <w:lang w:val="pt-BR"/>
              </w:rPr>
              <w:fldChar w:fldCharType="end"/>
            </w:r>
          </w:p>
        </w:tc>
      </w:tr>
      <w:tr w:rsidR="00F6044C" w:rsidRPr="00C95909" w14:paraId="2EDB8A9C"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78DEABDC"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3.5.5. Procedimentos para recolhimento do óleo derramado</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11741F25" w14:textId="10F5CA98" w:rsidR="00F6044C" w:rsidRPr="00D80C93" w:rsidRDefault="00C8288F" w:rsidP="00E57F9E">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_Ref414612625 \r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8.4</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w:t>
            </w:r>
            <w:r w:rsidR="003C7CAC"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_Ref414612911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Procedimentos para Contenção e Recolhimento de Óleo Derramado</w:t>
            </w:r>
            <w:r w:rsidRPr="00D80C93">
              <w:rPr>
                <w:rFonts w:asciiTheme="majorHAnsi" w:hAnsiTheme="majorHAnsi"/>
                <w:sz w:val="20"/>
                <w:szCs w:val="20"/>
                <w:highlight w:val="lightGray"/>
                <w:lang w:val="pt-BR"/>
              </w:rPr>
              <w:fldChar w:fldCharType="end"/>
            </w:r>
          </w:p>
        </w:tc>
      </w:tr>
      <w:tr w:rsidR="00F6044C" w:rsidRPr="00C95909" w14:paraId="6E90835B"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3761570B"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3.5.6. Procedimentos para dispersão mecânica e química do óleo derramado</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2C5508B4" w14:textId="0480C9D5" w:rsidR="003C7CAC" w:rsidRPr="00D80C93" w:rsidRDefault="00C8288F" w:rsidP="00E57F9E">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_Ref414612635 \r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8.5</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_Ref414612919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Procedimentos para Dispersão Mecânica</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e</w:t>
            </w:r>
          </w:p>
          <w:p w14:paraId="553BB4B6" w14:textId="024EA97E" w:rsidR="00F6044C" w:rsidRPr="00D80C93" w:rsidRDefault="00C8288F" w:rsidP="00E57F9E">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_Ref414612643 \r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8.6</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_Ref414612927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Procedimentos para Dispersão Química</w:t>
            </w:r>
            <w:r w:rsidRPr="00D80C93">
              <w:rPr>
                <w:rFonts w:asciiTheme="majorHAnsi" w:hAnsiTheme="majorHAnsi"/>
                <w:sz w:val="20"/>
                <w:szCs w:val="20"/>
                <w:highlight w:val="lightGray"/>
                <w:lang w:val="pt-BR"/>
              </w:rPr>
              <w:fldChar w:fldCharType="end"/>
            </w:r>
          </w:p>
        </w:tc>
      </w:tr>
      <w:tr w:rsidR="00F6044C" w:rsidRPr="00C95909" w14:paraId="0AA97582"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390C20B6"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3.5.7. Procedimentos para limpeza das áreas atingidas</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214FBA44" w14:textId="2D4E6269" w:rsidR="00F6044C" w:rsidRPr="00D80C93" w:rsidRDefault="00C8288F" w:rsidP="00E57F9E">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_Ref414612651 \r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8.8</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_Ref414612936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Procedimentos para a Proteção de Áreas Vulneráveis e Limpeza de Áreas Atingidas</w:t>
            </w:r>
            <w:r w:rsidRPr="00D80C93">
              <w:rPr>
                <w:rFonts w:asciiTheme="majorHAnsi" w:hAnsiTheme="majorHAnsi"/>
                <w:sz w:val="20"/>
                <w:szCs w:val="20"/>
                <w:highlight w:val="lightGray"/>
                <w:lang w:val="pt-BR"/>
              </w:rPr>
              <w:fldChar w:fldCharType="end"/>
            </w:r>
          </w:p>
        </w:tc>
      </w:tr>
      <w:tr w:rsidR="00F6044C" w:rsidRPr="00C95909" w14:paraId="620BA8AC"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220DB58D"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3.5.8. Procedimentos para coleta e disposição dos resíduos gerados</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02FA93FB" w14:textId="236974C5" w:rsidR="00F6044C" w:rsidRPr="00D80C93" w:rsidRDefault="007C1F64" w:rsidP="00E57F9E">
            <w:pPr>
              <w:pStyle w:val="TableParagraph"/>
              <w:tabs>
                <w:tab w:val="left" w:pos="10490"/>
              </w:tabs>
              <w:spacing w:before="60" w:after="60"/>
              <w:ind w:left="130" w:right="284"/>
              <w:rPr>
                <w:rFonts w:ascii="Cambria" w:hAnsi="Cambria"/>
                <w:sz w:val="20"/>
                <w:szCs w:val="20"/>
                <w:highlight w:val="lightGray"/>
                <w:lang w:val="pt-BR"/>
              </w:rPr>
            </w:pPr>
            <w:r w:rsidRPr="00D80C93">
              <w:rPr>
                <w:rFonts w:ascii="Cambria" w:hAnsi="Cambria"/>
                <w:sz w:val="20"/>
                <w:szCs w:val="20"/>
                <w:highlight w:val="lightGray"/>
                <w:lang w:val="pt-BR"/>
              </w:rPr>
              <w:fldChar w:fldCharType="begin"/>
            </w:r>
            <w:r w:rsidRPr="00D80C93">
              <w:rPr>
                <w:rFonts w:ascii="Cambria" w:hAnsi="Cambria"/>
                <w:sz w:val="20"/>
                <w:szCs w:val="20"/>
                <w:highlight w:val="lightGray"/>
                <w:lang w:val="pt-BR"/>
              </w:rPr>
              <w:instrText xml:space="preserve"> REF _Ref415472108 \r \h  \* MERGEFORMAT </w:instrText>
            </w:r>
            <w:r w:rsidRPr="00D80C93">
              <w:rPr>
                <w:rFonts w:ascii="Cambria" w:hAnsi="Cambria"/>
                <w:sz w:val="20"/>
                <w:szCs w:val="20"/>
                <w:highlight w:val="lightGray"/>
                <w:lang w:val="pt-BR"/>
              </w:rPr>
            </w:r>
            <w:r w:rsidRPr="00D80C93">
              <w:rPr>
                <w:rFonts w:ascii="Cambria" w:hAnsi="Cambria"/>
                <w:sz w:val="20"/>
                <w:szCs w:val="20"/>
                <w:highlight w:val="lightGray"/>
                <w:lang w:val="pt-BR"/>
              </w:rPr>
              <w:fldChar w:fldCharType="separate"/>
            </w:r>
            <w:r w:rsidR="00A50E67" w:rsidRPr="00D80C93">
              <w:rPr>
                <w:rFonts w:ascii="Cambria" w:hAnsi="Cambria"/>
                <w:sz w:val="20"/>
                <w:szCs w:val="20"/>
                <w:highlight w:val="lightGray"/>
                <w:lang w:val="pt-BR"/>
              </w:rPr>
              <w:t>8.10</w:t>
            </w:r>
            <w:r w:rsidRPr="00D80C93">
              <w:rPr>
                <w:rFonts w:ascii="Cambria" w:hAnsi="Cambria"/>
                <w:sz w:val="20"/>
                <w:szCs w:val="20"/>
                <w:highlight w:val="lightGray"/>
                <w:lang w:val="pt-BR"/>
              </w:rPr>
              <w:fldChar w:fldCharType="end"/>
            </w:r>
            <w:r w:rsidRPr="00D80C93">
              <w:rPr>
                <w:rFonts w:ascii="Cambria" w:hAnsi="Cambria"/>
                <w:sz w:val="20"/>
                <w:szCs w:val="20"/>
                <w:highlight w:val="lightGray"/>
                <w:lang w:val="pt-BR"/>
              </w:rPr>
              <w:t xml:space="preserve">. </w:t>
            </w:r>
            <w:r w:rsidRPr="00D80C93">
              <w:rPr>
                <w:rFonts w:ascii="Cambria" w:hAnsi="Cambria"/>
                <w:sz w:val="20"/>
                <w:szCs w:val="20"/>
                <w:highlight w:val="lightGray"/>
                <w:lang w:val="pt-BR"/>
              </w:rPr>
              <w:fldChar w:fldCharType="begin"/>
            </w:r>
            <w:r w:rsidRPr="00D80C93">
              <w:rPr>
                <w:rFonts w:ascii="Cambria" w:hAnsi="Cambria"/>
                <w:sz w:val="20"/>
                <w:szCs w:val="20"/>
                <w:highlight w:val="lightGray"/>
                <w:lang w:val="pt-BR"/>
              </w:rPr>
              <w:instrText xml:space="preserve"> REF _Ref415472126 \h  \* MERGEFORMAT </w:instrText>
            </w:r>
            <w:r w:rsidRPr="00D80C93">
              <w:rPr>
                <w:rFonts w:ascii="Cambria" w:hAnsi="Cambria"/>
                <w:sz w:val="20"/>
                <w:szCs w:val="20"/>
                <w:highlight w:val="lightGray"/>
                <w:lang w:val="pt-BR"/>
              </w:rPr>
            </w:r>
            <w:r w:rsidRPr="00D80C93">
              <w:rPr>
                <w:rFonts w:ascii="Cambria" w:hAnsi="Cambria"/>
                <w:sz w:val="20"/>
                <w:szCs w:val="20"/>
                <w:highlight w:val="lightGray"/>
                <w:lang w:val="pt-BR"/>
              </w:rPr>
              <w:fldChar w:fldCharType="separate"/>
            </w:r>
            <w:r w:rsidR="00A50E67" w:rsidRPr="00D80C93">
              <w:rPr>
                <w:rFonts w:ascii="Cambria" w:hAnsi="Cambria"/>
                <w:sz w:val="20"/>
                <w:szCs w:val="20"/>
                <w:highlight w:val="lightGray"/>
                <w:lang w:val="pt-BR"/>
              </w:rPr>
              <w:t>Procedimento para Coleta e Destinação Final dos Resíduos Gerados</w:t>
            </w:r>
            <w:r w:rsidRPr="00D80C93">
              <w:rPr>
                <w:rFonts w:ascii="Cambria" w:hAnsi="Cambria"/>
                <w:sz w:val="20"/>
                <w:szCs w:val="20"/>
                <w:highlight w:val="lightGray"/>
                <w:lang w:val="pt-BR"/>
              </w:rPr>
              <w:fldChar w:fldCharType="end"/>
            </w:r>
          </w:p>
        </w:tc>
      </w:tr>
      <w:tr w:rsidR="00F6044C" w:rsidRPr="00C95909" w14:paraId="2402A9A6"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7452B9EE"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3.5.9. Procedimentos para deslocamento dos recursos</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24B3E270" w14:textId="04F15D8B" w:rsidR="00F6044C" w:rsidRPr="00D80C93" w:rsidRDefault="00C8288F" w:rsidP="00E57F9E">
            <w:pPr>
              <w:pStyle w:val="TableParagraph"/>
              <w:tabs>
                <w:tab w:val="left" w:pos="10490"/>
              </w:tabs>
              <w:spacing w:before="60" w:after="60"/>
              <w:ind w:left="130" w:right="-51"/>
              <w:rPr>
                <w:rFonts w:asciiTheme="majorHAnsi" w:hAnsiTheme="majorHAnsi"/>
                <w:sz w:val="20"/>
                <w:szCs w:val="20"/>
                <w:highlight w:val="lightGray"/>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_Ref414612668 \r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7.3</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_Ref414612954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Procedimento para Gestão dos Recursos de Resposta</w:t>
            </w:r>
            <w:r w:rsidRPr="00D80C93">
              <w:rPr>
                <w:rFonts w:asciiTheme="majorHAnsi" w:hAnsiTheme="majorHAnsi"/>
                <w:sz w:val="20"/>
                <w:szCs w:val="20"/>
                <w:highlight w:val="lightGray"/>
                <w:lang w:val="pt-BR"/>
              </w:rPr>
              <w:fldChar w:fldCharType="end"/>
            </w:r>
          </w:p>
        </w:tc>
      </w:tr>
      <w:tr w:rsidR="00F6044C" w:rsidRPr="00C95909" w14:paraId="167688EE"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1532F94F"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3.5.10. Procedimentos para obtenção e atualização de informações relevantes</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5F93016C" w14:textId="619B8A50" w:rsidR="00F6044C" w:rsidRPr="00D80C93" w:rsidRDefault="00C8288F" w:rsidP="00E57F9E">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_Ref414612675 \r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7.1</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_Ref414612959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Procedimentos para Gestão da Informação</w:t>
            </w:r>
            <w:r w:rsidRPr="00D80C93">
              <w:rPr>
                <w:rFonts w:asciiTheme="majorHAnsi" w:hAnsiTheme="majorHAnsi"/>
                <w:sz w:val="20"/>
                <w:szCs w:val="20"/>
                <w:highlight w:val="lightGray"/>
                <w:lang w:val="pt-BR"/>
              </w:rPr>
              <w:fldChar w:fldCharType="end"/>
            </w:r>
            <w:r w:rsidR="00E04B11" w:rsidRPr="00D80C93">
              <w:rPr>
                <w:rFonts w:asciiTheme="majorHAnsi" w:hAnsiTheme="majorHAnsi"/>
                <w:sz w:val="20"/>
                <w:szCs w:val="20"/>
                <w:highlight w:val="lightGray"/>
                <w:lang w:val="pt-BR"/>
              </w:rPr>
              <w:t>;</w:t>
            </w:r>
          </w:p>
          <w:p w14:paraId="25AA6F24" w14:textId="39ECBD02" w:rsidR="00E04B11" w:rsidRPr="00D80C93" w:rsidRDefault="002D2F32" w:rsidP="00CE6488">
            <w:pPr>
              <w:pStyle w:val="TableParagraph"/>
              <w:tabs>
                <w:tab w:val="left" w:pos="10490"/>
              </w:tabs>
              <w:spacing w:before="60" w:after="60"/>
              <w:ind w:left="130" w:right="284"/>
              <w:rPr>
                <w:rFonts w:asciiTheme="majorHAnsi" w:hAnsiTheme="majorHAnsi"/>
                <w:sz w:val="20"/>
                <w:szCs w:val="20"/>
                <w:highlight w:val="lightGray"/>
                <w:lang w:val="pt-BR"/>
              </w:rPr>
            </w:pPr>
            <w:r w:rsidRPr="00D80C93">
              <w:rPr>
                <w:rStyle w:val="NegritoVersaleteChar"/>
                <w:b w:val="0"/>
                <w:i w:val="0"/>
                <w:smallCaps w:val="0"/>
                <w:color w:val="auto"/>
                <w:sz w:val="20"/>
                <w:highlight w:val="lightGray"/>
                <w:lang w:val="pt-BR"/>
              </w:rPr>
              <w:t>APÊNDICE</w:t>
            </w:r>
            <w:r w:rsidR="00E04B11" w:rsidRPr="00D80C93">
              <w:rPr>
                <w:rStyle w:val="NegritoVersaleteChar"/>
                <w:b w:val="0"/>
                <w:i w:val="0"/>
                <w:smallCaps w:val="0"/>
                <w:color w:val="auto"/>
                <w:sz w:val="20"/>
                <w:highlight w:val="lightGray"/>
                <w:lang w:val="pt-BR"/>
              </w:rPr>
              <w:t xml:space="preserve"> </w:t>
            </w:r>
            <w:r w:rsidR="00CE6488" w:rsidRPr="00D80C93">
              <w:rPr>
                <w:rStyle w:val="NegritoVersaleteChar"/>
                <w:b w:val="0"/>
                <w:i w:val="0"/>
                <w:smallCaps w:val="0"/>
                <w:color w:val="auto"/>
                <w:sz w:val="20"/>
                <w:highlight w:val="lightGray"/>
                <w:lang w:val="pt-BR"/>
              </w:rPr>
              <w:t>D</w:t>
            </w:r>
            <w:r w:rsidR="00E04B11" w:rsidRPr="00D80C93">
              <w:rPr>
                <w:rStyle w:val="NegritoVersaleteChar"/>
                <w:b w:val="0"/>
                <w:i w:val="0"/>
                <w:smallCaps w:val="0"/>
                <w:color w:val="auto"/>
                <w:sz w:val="20"/>
                <w:highlight w:val="lightGray"/>
                <w:lang w:val="pt-BR"/>
              </w:rPr>
              <w:t xml:space="preserve"> – Formulários e Relatórios de Apoio à Gestão</w:t>
            </w:r>
          </w:p>
        </w:tc>
      </w:tr>
      <w:tr w:rsidR="00F6044C" w:rsidRPr="00C95909" w14:paraId="4B520846"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5C6FC590"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lastRenderedPageBreak/>
              <w:t>3.5.11. Procedimentos para registro das ações de resposta</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46FAFA82" w14:textId="2966DD7D" w:rsidR="00F6044C" w:rsidRPr="00D80C93" w:rsidRDefault="00C8288F" w:rsidP="00E57F9E">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_Ref414612684 \r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7.1</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_Ref414612964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Procedimentos para Gestão da Informação</w:t>
            </w:r>
            <w:r w:rsidRPr="00D80C93">
              <w:rPr>
                <w:rFonts w:asciiTheme="majorHAnsi" w:hAnsiTheme="majorHAnsi"/>
                <w:sz w:val="20"/>
                <w:szCs w:val="20"/>
                <w:highlight w:val="lightGray"/>
                <w:lang w:val="pt-BR"/>
              </w:rPr>
              <w:fldChar w:fldCharType="end"/>
            </w:r>
            <w:r w:rsidR="00E04B11" w:rsidRPr="00D80C93">
              <w:rPr>
                <w:rFonts w:asciiTheme="majorHAnsi" w:hAnsiTheme="majorHAnsi"/>
                <w:sz w:val="20"/>
                <w:szCs w:val="20"/>
                <w:highlight w:val="lightGray"/>
                <w:lang w:val="pt-BR"/>
              </w:rPr>
              <w:t>;</w:t>
            </w:r>
          </w:p>
          <w:p w14:paraId="256914DC" w14:textId="28051EB4" w:rsidR="00E04B11" w:rsidRPr="00D80C93" w:rsidRDefault="002D2F32" w:rsidP="00CE6488">
            <w:pPr>
              <w:pStyle w:val="TableParagraph"/>
              <w:tabs>
                <w:tab w:val="left" w:pos="10490"/>
              </w:tabs>
              <w:spacing w:before="60" w:after="60"/>
              <w:ind w:left="130" w:right="284"/>
              <w:rPr>
                <w:rFonts w:asciiTheme="majorHAnsi" w:hAnsiTheme="majorHAnsi"/>
                <w:sz w:val="20"/>
                <w:szCs w:val="20"/>
                <w:highlight w:val="lightGray"/>
                <w:lang w:val="pt-BR"/>
              </w:rPr>
            </w:pPr>
            <w:r w:rsidRPr="00D80C93">
              <w:rPr>
                <w:rStyle w:val="NegritoVersaleteChar"/>
                <w:b w:val="0"/>
                <w:i w:val="0"/>
                <w:smallCaps w:val="0"/>
                <w:color w:val="auto"/>
                <w:sz w:val="20"/>
                <w:highlight w:val="lightGray"/>
                <w:lang w:val="pt-BR"/>
              </w:rPr>
              <w:t>APÊNDICE</w:t>
            </w:r>
            <w:r w:rsidR="00E04B11" w:rsidRPr="00D80C93">
              <w:rPr>
                <w:rStyle w:val="NegritoVersaleteChar"/>
                <w:b w:val="0"/>
                <w:i w:val="0"/>
                <w:smallCaps w:val="0"/>
                <w:color w:val="auto"/>
                <w:sz w:val="20"/>
                <w:highlight w:val="lightGray"/>
                <w:lang w:val="pt-BR"/>
              </w:rPr>
              <w:t xml:space="preserve"> </w:t>
            </w:r>
            <w:r w:rsidR="00CE6488" w:rsidRPr="00D80C93">
              <w:rPr>
                <w:rStyle w:val="NegritoVersaleteChar"/>
                <w:b w:val="0"/>
                <w:i w:val="0"/>
                <w:smallCaps w:val="0"/>
                <w:color w:val="auto"/>
                <w:sz w:val="20"/>
                <w:highlight w:val="lightGray"/>
                <w:lang w:val="pt-BR"/>
              </w:rPr>
              <w:t>D</w:t>
            </w:r>
            <w:r w:rsidR="00E04B11" w:rsidRPr="00D80C93">
              <w:rPr>
                <w:rStyle w:val="NegritoVersaleteChar"/>
                <w:b w:val="0"/>
                <w:i w:val="0"/>
                <w:smallCaps w:val="0"/>
                <w:color w:val="auto"/>
                <w:sz w:val="20"/>
                <w:highlight w:val="lightGray"/>
                <w:lang w:val="pt-BR"/>
              </w:rPr>
              <w:t xml:space="preserve"> – Formulários e Relatórios de Apoio à Gestão</w:t>
            </w:r>
          </w:p>
        </w:tc>
      </w:tr>
      <w:tr w:rsidR="00F6044C" w:rsidRPr="00C95909" w14:paraId="31D89BE9"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251442CB"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3.5.12. Procedimentos para proteção das populações</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155325AA" w14:textId="784C496A" w:rsidR="00F6044C" w:rsidRPr="00D80C93" w:rsidRDefault="00C8288F" w:rsidP="00E57F9E">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_Ref414612700 \r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8.7</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_Ref414612974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Procedimentos para Proteção das Populações</w:t>
            </w:r>
            <w:r w:rsidRPr="00D80C93">
              <w:rPr>
                <w:rFonts w:asciiTheme="majorHAnsi" w:hAnsiTheme="majorHAnsi"/>
                <w:sz w:val="20"/>
                <w:szCs w:val="20"/>
                <w:highlight w:val="lightGray"/>
                <w:lang w:val="pt-BR"/>
              </w:rPr>
              <w:fldChar w:fldCharType="end"/>
            </w:r>
          </w:p>
        </w:tc>
      </w:tr>
      <w:tr w:rsidR="00F6044C" w:rsidRPr="00C95909" w14:paraId="603D7C7C"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5DE2197A"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3.5.13 Procedimentos para proteção da fauna</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45F8435F" w14:textId="236317BD" w:rsidR="00F6044C" w:rsidRPr="00D80C93" w:rsidRDefault="00C8288F" w:rsidP="00E57F9E">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_Ref414612706 \r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8.9</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_Ref414612979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Procedimentos para a Proteção à Fauna</w:t>
            </w:r>
            <w:r w:rsidRPr="00D80C93">
              <w:rPr>
                <w:rFonts w:asciiTheme="majorHAnsi" w:hAnsiTheme="majorHAnsi"/>
                <w:sz w:val="20"/>
                <w:szCs w:val="20"/>
                <w:highlight w:val="lightGray"/>
                <w:lang w:val="pt-BR"/>
              </w:rPr>
              <w:fldChar w:fldCharType="end"/>
            </w:r>
          </w:p>
        </w:tc>
      </w:tr>
      <w:tr w:rsidR="00F6044C" w:rsidRPr="00E30CB5" w14:paraId="2833F752"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31DD8D3F"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4. Encerramento das operações</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1B806874" w14:textId="7231DB3A" w:rsidR="00F6044C" w:rsidRPr="00D80C93" w:rsidRDefault="00C8288F" w:rsidP="00E57F9E">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_Ref414455058 \r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10</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_Ref414455058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bCs/>
                <w:sz w:val="20"/>
                <w:szCs w:val="20"/>
                <w:highlight w:val="lightGray"/>
                <w:lang w:val="pt-BR"/>
              </w:rPr>
              <w:t>ENCERRAMENTO DAS AÇÕES DE RESPOSTA</w:t>
            </w:r>
            <w:r w:rsidRPr="00D80C93">
              <w:rPr>
                <w:rFonts w:asciiTheme="majorHAnsi" w:hAnsiTheme="majorHAnsi"/>
                <w:sz w:val="20"/>
                <w:szCs w:val="20"/>
                <w:highlight w:val="lightGray"/>
                <w:lang w:val="pt-BR"/>
              </w:rPr>
              <w:fldChar w:fldCharType="end"/>
            </w:r>
          </w:p>
        </w:tc>
      </w:tr>
      <w:tr w:rsidR="00F6044C" w:rsidRPr="00C95909" w14:paraId="20CD753D"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6CA3BBB6" w14:textId="77777777" w:rsidR="00F6044C" w:rsidRPr="0070789E" w:rsidRDefault="00F6044C" w:rsidP="00E57F9E">
            <w:pPr>
              <w:pStyle w:val="TableParagraph"/>
              <w:tabs>
                <w:tab w:val="left" w:pos="10490"/>
              </w:tabs>
              <w:spacing w:before="60" w:after="60"/>
              <w:ind w:left="130" w:right="-25"/>
              <w:rPr>
                <w:rFonts w:ascii="Cambria" w:hAnsi="Cambria"/>
                <w:sz w:val="20"/>
                <w:szCs w:val="20"/>
                <w:lang w:val="pt-BR"/>
              </w:rPr>
            </w:pPr>
            <w:r w:rsidRPr="0070789E">
              <w:rPr>
                <w:rFonts w:ascii="Cambria" w:hAnsi="Cambria"/>
                <w:sz w:val="20"/>
                <w:szCs w:val="20"/>
                <w:lang w:val="pt-BR"/>
              </w:rPr>
              <w:t>5. Mapas, cartas náuticas, plantas, desenhos e fotografias</w:t>
            </w:r>
          </w:p>
        </w:tc>
        <w:tc>
          <w:tcPr>
            <w:tcW w:w="2500" w:type="pct"/>
            <w:tcBorders>
              <w:top w:val="single" w:sz="18" w:space="0" w:color="FFFFFF"/>
              <w:left w:val="single" w:sz="18" w:space="0" w:color="FFFFFF"/>
              <w:right w:val="single" w:sz="18" w:space="0" w:color="FFFFFF"/>
            </w:tcBorders>
            <w:shd w:val="clear" w:color="auto" w:fill="D9D9D9"/>
            <w:vAlign w:val="center"/>
          </w:tcPr>
          <w:p w14:paraId="6065146D" w14:textId="2E05F887" w:rsidR="00F6044C" w:rsidRPr="003C7CAC" w:rsidRDefault="00C8288F" w:rsidP="00E57F9E">
            <w:pPr>
              <w:pStyle w:val="TableParagraph"/>
              <w:tabs>
                <w:tab w:val="left" w:pos="10490"/>
              </w:tabs>
              <w:spacing w:before="60" w:after="60"/>
              <w:ind w:left="130" w:right="284"/>
              <w:rPr>
                <w:rFonts w:asciiTheme="majorHAnsi" w:hAnsiTheme="majorHAnsi"/>
                <w:lang w:val="pt-BR"/>
              </w:rPr>
            </w:pPr>
            <w:r w:rsidRPr="003C7CAC">
              <w:rPr>
                <w:rFonts w:asciiTheme="majorHAnsi" w:hAnsiTheme="majorHAnsi"/>
                <w:sz w:val="20"/>
                <w:szCs w:val="20"/>
                <w:lang w:val="pt-BR"/>
              </w:rPr>
              <w:t>ANEXO A</w:t>
            </w:r>
            <w:r w:rsidR="003C7CAC" w:rsidRPr="003C7CAC">
              <w:rPr>
                <w:rFonts w:asciiTheme="majorHAnsi" w:hAnsiTheme="majorHAnsi"/>
                <w:sz w:val="20"/>
                <w:szCs w:val="20"/>
                <w:lang w:val="pt-BR"/>
              </w:rPr>
              <w:t xml:space="preserve"> </w:t>
            </w:r>
            <w:r w:rsidR="003C7CAC">
              <w:rPr>
                <w:rFonts w:asciiTheme="majorHAnsi" w:hAnsiTheme="majorHAnsi"/>
                <w:sz w:val="20"/>
                <w:szCs w:val="20"/>
                <w:lang w:val="pt-BR"/>
              </w:rPr>
              <w:t>–</w:t>
            </w:r>
            <w:r w:rsidR="003C7CAC" w:rsidRPr="003C7CAC">
              <w:rPr>
                <w:rFonts w:asciiTheme="majorHAnsi" w:hAnsiTheme="majorHAnsi"/>
                <w:sz w:val="20"/>
                <w:szCs w:val="20"/>
                <w:lang w:val="pt-BR"/>
              </w:rPr>
              <w:t xml:space="preserve"> </w:t>
            </w:r>
            <w:r w:rsidR="003C7CAC" w:rsidRPr="003C7CAC">
              <w:rPr>
                <w:rStyle w:val="NegritoVersaleteChar"/>
                <w:b w:val="0"/>
                <w:i w:val="0"/>
                <w:smallCaps w:val="0"/>
                <w:color w:val="auto"/>
                <w:sz w:val="20"/>
                <w:lang w:val="pt-BR"/>
              </w:rPr>
              <w:t xml:space="preserve">Características da Unidade </w:t>
            </w:r>
            <w:r w:rsidR="00EE16FF">
              <w:rPr>
                <w:rStyle w:val="NegritoVersaleteChar"/>
                <w:b w:val="0"/>
                <w:i w:val="0"/>
                <w:smallCaps w:val="0"/>
                <w:color w:val="auto"/>
                <w:sz w:val="20"/>
                <w:lang w:val="pt-BR"/>
              </w:rPr>
              <w:t>de Perfuração</w:t>
            </w:r>
            <w:r w:rsidR="003C7CAC" w:rsidRPr="003C7CAC">
              <w:rPr>
                <w:rStyle w:val="NegritoVersaleteChar"/>
                <w:b w:val="0"/>
                <w:i w:val="0"/>
                <w:smallCaps w:val="0"/>
                <w:color w:val="auto"/>
                <w:sz w:val="20"/>
                <w:lang w:val="pt-BR"/>
              </w:rPr>
              <w:t xml:space="preserve"> e Embarcações de Apoio e Dedicada</w:t>
            </w:r>
          </w:p>
        </w:tc>
      </w:tr>
      <w:tr w:rsidR="00F6044C" w:rsidRPr="00E30CB5" w14:paraId="10D051E5"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05175E42"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6. Anexos</w:t>
            </w:r>
          </w:p>
        </w:tc>
        <w:tc>
          <w:tcPr>
            <w:tcW w:w="2500" w:type="pct"/>
            <w:tcBorders>
              <w:left w:val="single" w:sz="18" w:space="0" w:color="FFFFFF"/>
              <w:bottom w:val="single" w:sz="18" w:space="0" w:color="FFFFFF"/>
              <w:right w:val="single" w:sz="18" w:space="0" w:color="FFFFFF"/>
            </w:tcBorders>
            <w:shd w:val="clear" w:color="auto" w:fill="D9D9D9"/>
            <w:vAlign w:val="center"/>
          </w:tcPr>
          <w:p w14:paraId="6C87CD2F" w14:textId="6BB27359" w:rsidR="003C7CAC" w:rsidRPr="003C7CAC" w:rsidRDefault="003C7CAC" w:rsidP="00E57F9E">
            <w:pPr>
              <w:pStyle w:val="TableParagraph"/>
              <w:tabs>
                <w:tab w:val="left" w:pos="10490"/>
              </w:tabs>
              <w:spacing w:before="60" w:after="60"/>
              <w:ind w:left="130" w:right="284"/>
              <w:rPr>
                <w:rFonts w:asciiTheme="majorHAnsi" w:hAnsiTheme="majorHAnsi"/>
                <w:sz w:val="20"/>
                <w:szCs w:val="20"/>
                <w:lang w:val="pt-BR"/>
              </w:rPr>
            </w:pPr>
            <w:r w:rsidRPr="003C7CAC">
              <w:rPr>
                <w:rFonts w:asciiTheme="majorHAnsi" w:hAnsiTheme="majorHAnsi"/>
                <w:sz w:val="20"/>
                <w:szCs w:val="20"/>
                <w:lang w:val="pt-BR"/>
              </w:rPr>
              <w:t>ANEXO</w:t>
            </w:r>
            <w:r w:rsidR="00C8288F" w:rsidRPr="003C7CAC">
              <w:rPr>
                <w:rFonts w:asciiTheme="majorHAnsi" w:hAnsiTheme="majorHAnsi"/>
                <w:sz w:val="20"/>
                <w:szCs w:val="20"/>
                <w:lang w:val="pt-BR"/>
              </w:rPr>
              <w:t xml:space="preserve"> A</w:t>
            </w:r>
            <w:r w:rsidRPr="003C7CAC">
              <w:rPr>
                <w:rFonts w:asciiTheme="majorHAnsi" w:hAnsiTheme="majorHAnsi"/>
                <w:sz w:val="20"/>
                <w:szCs w:val="20"/>
                <w:lang w:val="pt-BR"/>
              </w:rPr>
              <w:t xml:space="preserve"> – </w:t>
            </w:r>
            <w:r w:rsidR="00EE16FF" w:rsidRPr="003C7CAC">
              <w:rPr>
                <w:rStyle w:val="NegritoVersaleteChar"/>
                <w:b w:val="0"/>
                <w:i w:val="0"/>
                <w:smallCaps w:val="0"/>
                <w:color w:val="auto"/>
                <w:sz w:val="20"/>
                <w:lang w:val="pt-BR"/>
              </w:rPr>
              <w:t xml:space="preserve">Características da Unidade </w:t>
            </w:r>
            <w:r w:rsidR="00EE16FF">
              <w:rPr>
                <w:rStyle w:val="NegritoVersaleteChar"/>
                <w:b w:val="0"/>
                <w:i w:val="0"/>
                <w:smallCaps w:val="0"/>
                <w:color w:val="auto"/>
                <w:sz w:val="20"/>
                <w:lang w:val="pt-BR"/>
              </w:rPr>
              <w:t>de Perfuração</w:t>
            </w:r>
            <w:r w:rsidR="00EE16FF" w:rsidRPr="003C7CAC">
              <w:rPr>
                <w:rStyle w:val="NegritoVersaleteChar"/>
                <w:b w:val="0"/>
                <w:i w:val="0"/>
                <w:smallCaps w:val="0"/>
                <w:color w:val="auto"/>
                <w:sz w:val="20"/>
                <w:lang w:val="pt-BR"/>
              </w:rPr>
              <w:t xml:space="preserve"> e Embarcações de Apoio e Dedicada</w:t>
            </w:r>
            <w:r w:rsidRPr="003C7CAC">
              <w:rPr>
                <w:rFonts w:asciiTheme="majorHAnsi" w:hAnsiTheme="majorHAnsi"/>
                <w:sz w:val="20"/>
                <w:szCs w:val="20"/>
                <w:lang w:val="pt-BR"/>
              </w:rPr>
              <w:t>;</w:t>
            </w:r>
          </w:p>
          <w:p w14:paraId="30D781A8" w14:textId="64302AA4" w:rsidR="003C7CAC" w:rsidRPr="003C7CAC" w:rsidRDefault="003C7CAC" w:rsidP="00E57F9E">
            <w:pPr>
              <w:pStyle w:val="TableParagraph"/>
              <w:tabs>
                <w:tab w:val="left" w:pos="10490"/>
              </w:tabs>
              <w:spacing w:before="60" w:after="60"/>
              <w:ind w:left="130" w:right="284"/>
              <w:rPr>
                <w:rStyle w:val="NegritoVersaleteChar"/>
                <w:b w:val="0"/>
                <w:i w:val="0"/>
                <w:smallCaps w:val="0"/>
                <w:color w:val="auto"/>
                <w:sz w:val="20"/>
                <w:lang w:val="pt-BR"/>
              </w:rPr>
            </w:pPr>
            <w:r w:rsidRPr="003C7CAC">
              <w:rPr>
                <w:rFonts w:asciiTheme="majorHAnsi" w:hAnsiTheme="majorHAnsi"/>
                <w:sz w:val="20"/>
                <w:szCs w:val="20"/>
                <w:lang w:val="pt-BR"/>
              </w:rPr>
              <w:t xml:space="preserve">ANEXO </w:t>
            </w:r>
            <w:r w:rsidR="00C8288F" w:rsidRPr="003C7CAC">
              <w:rPr>
                <w:rFonts w:asciiTheme="majorHAnsi" w:hAnsiTheme="majorHAnsi"/>
                <w:sz w:val="20"/>
                <w:szCs w:val="20"/>
                <w:lang w:val="pt-BR"/>
              </w:rPr>
              <w:t>B</w:t>
            </w:r>
            <w:r w:rsidRPr="003C7CAC">
              <w:rPr>
                <w:rFonts w:asciiTheme="majorHAnsi" w:hAnsiTheme="majorHAnsi"/>
                <w:sz w:val="20"/>
                <w:szCs w:val="20"/>
                <w:lang w:val="pt-BR"/>
              </w:rPr>
              <w:t xml:space="preserve"> </w:t>
            </w:r>
            <w:r>
              <w:rPr>
                <w:rFonts w:asciiTheme="majorHAnsi" w:hAnsiTheme="majorHAnsi"/>
                <w:sz w:val="20"/>
                <w:szCs w:val="20"/>
                <w:lang w:val="pt-BR"/>
              </w:rPr>
              <w:t>–</w:t>
            </w:r>
            <w:r w:rsidRPr="003C7CAC">
              <w:rPr>
                <w:rFonts w:asciiTheme="majorHAnsi" w:hAnsiTheme="majorHAnsi"/>
                <w:sz w:val="20"/>
                <w:szCs w:val="20"/>
                <w:lang w:val="pt-BR"/>
              </w:rPr>
              <w:t xml:space="preserve"> </w:t>
            </w:r>
            <w:r w:rsidRPr="003C7CAC">
              <w:rPr>
                <w:rStyle w:val="NegritoVersaleteChar"/>
                <w:b w:val="0"/>
                <w:i w:val="0"/>
                <w:smallCaps w:val="0"/>
                <w:color w:val="auto"/>
                <w:sz w:val="20"/>
                <w:lang w:val="pt-BR"/>
              </w:rPr>
              <w:t>Modelagem de Dispersão de Óleo</w:t>
            </w:r>
            <w:r w:rsidR="00460D2A">
              <w:rPr>
                <w:rStyle w:val="NegritoVersaleteChar"/>
                <w:b w:val="0"/>
                <w:i w:val="0"/>
                <w:smallCaps w:val="0"/>
                <w:color w:val="auto"/>
                <w:sz w:val="20"/>
                <w:lang w:val="pt-BR"/>
              </w:rPr>
              <w:t xml:space="preserve"> (referência ao EIA)</w:t>
            </w:r>
            <w:r w:rsidRPr="003C7CAC">
              <w:rPr>
                <w:rStyle w:val="NegritoVersaleteChar"/>
                <w:b w:val="0"/>
                <w:i w:val="0"/>
                <w:smallCaps w:val="0"/>
                <w:color w:val="auto"/>
                <w:sz w:val="20"/>
                <w:lang w:val="pt-BR"/>
              </w:rPr>
              <w:t>;</w:t>
            </w:r>
            <w:r w:rsidR="00EC7CA4">
              <w:rPr>
                <w:rStyle w:val="NegritoVersaleteChar"/>
                <w:b w:val="0"/>
                <w:i w:val="0"/>
                <w:smallCaps w:val="0"/>
                <w:color w:val="auto"/>
                <w:sz w:val="20"/>
                <w:lang w:val="pt-BR"/>
              </w:rPr>
              <w:t xml:space="preserve"> e</w:t>
            </w:r>
          </w:p>
          <w:p w14:paraId="4C0C5972" w14:textId="26E0C78C" w:rsidR="00F6044C" w:rsidRPr="003C7CAC" w:rsidRDefault="003C7CAC" w:rsidP="00E57F9E">
            <w:pPr>
              <w:pStyle w:val="TableParagraph"/>
              <w:tabs>
                <w:tab w:val="left" w:pos="10490"/>
              </w:tabs>
              <w:spacing w:before="60" w:after="60"/>
              <w:ind w:left="130" w:right="284"/>
              <w:rPr>
                <w:rFonts w:asciiTheme="majorHAnsi" w:hAnsiTheme="majorHAnsi"/>
                <w:sz w:val="20"/>
                <w:szCs w:val="20"/>
                <w:lang w:val="pt-BR"/>
              </w:rPr>
            </w:pPr>
            <w:r w:rsidRPr="003C7CAC">
              <w:rPr>
                <w:rFonts w:asciiTheme="majorHAnsi" w:hAnsiTheme="majorHAnsi"/>
                <w:sz w:val="20"/>
                <w:szCs w:val="20"/>
                <w:lang w:val="pt-BR"/>
              </w:rPr>
              <w:t>ANEXO</w:t>
            </w:r>
            <w:r w:rsidR="00C8288F" w:rsidRPr="003C7CAC">
              <w:rPr>
                <w:rFonts w:asciiTheme="majorHAnsi" w:hAnsiTheme="majorHAnsi"/>
                <w:sz w:val="20"/>
                <w:szCs w:val="20"/>
                <w:lang w:val="pt-BR"/>
              </w:rPr>
              <w:t xml:space="preserve"> C</w:t>
            </w:r>
            <w:r w:rsidRPr="003C7CAC">
              <w:rPr>
                <w:rFonts w:asciiTheme="majorHAnsi" w:hAnsiTheme="majorHAnsi"/>
                <w:sz w:val="20"/>
                <w:szCs w:val="20"/>
                <w:lang w:val="pt-BR"/>
              </w:rPr>
              <w:t xml:space="preserve"> </w:t>
            </w:r>
            <w:r w:rsidRPr="003C7CAC">
              <w:rPr>
                <w:rStyle w:val="NegritoVersaleteChar"/>
                <w:b w:val="0"/>
                <w:i w:val="0"/>
                <w:smallCaps w:val="0"/>
                <w:color w:val="auto"/>
                <w:sz w:val="20"/>
                <w:lang w:val="pt-BR"/>
              </w:rPr>
              <w:t xml:space="preserve">– Análise </w:t>
            </w:r>
            <w:r w:rsidR="00EC7CA4">
              <w:rPr>
                <w:rStyle w:val="NegritoVersaleteChar"/>
                <w:b w:val="0"/>
                <w:i w:val="0"/>
                <w:smallCaps w:val="0"/>
                <w:color w:val="auto"/>
                <w:sz w:val="20"/>
                <w:lang w:val="pt-BR"/>
              </w:rPr>
              <w:t xml:space="preserve">e Mapa </w:t>
            </w:r>
            <w:r w:rsidRPr="003C7CAC">
              <w:rPr>
                <w:rStyle w:val="NegritoVersaleteChar"/>
                <w:b w:val="0"/>
                <w:i w:val="0"/>
                <w:smallCaps w:val="0"/>
                <w:color w:val="auto"/>
                <w:sz w:val="20"/>
                <w:lang w:val="pt-BR"/>
              </w:rPr>
              <w:t>de Vulnerabilidade</w:t>
            </w:r>
            <w:r w:rsidR="00EC7CA4">
              <w:rPr>
                <w:rFonts w:asciiTheme="majorHAnsi" w:hAnsiTheme="majorHAnsi"/>
                <w:sz w:val="20"/>
                <w:szCs w:val="20"/>
                <w:lang w:val="pt-BR"/>
              </w:rPr>
              <w:t>;</w:t>
            </w:r>
          </w:p>
        </w:tc>
      </w:tr>
    </w:tbl>
    <w:p w14:paraId="22E26BC0" w14:textId="77777777" w:rsidR="00322277" w:rsidRDefault="00322277" w:rsidP="00E04B11">
      <w:pPr>
        <w:pStyle w:val="tier1Itext"/>
      </w:pPr>
    </w:p>
    <w:tbl>
      <w:tblPr>
        <w:tblW w:w="5000" w:type="pct"/>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left w:w="70" w:type="dxa"/>
          <w:right w:w="70" w:type="dxa"/>
        </w:tblCellMar>
        <w:tblLook w:val="04A0" w:firstRow="1" w:lastRow="0" w:firstColumn="1" w:lastColumn="0" w:noHBand="0" w:noVBand="1"/>
      </w:tblPr>
      <w:tblGrid>
        <w:gridCol w:w="4512"/>
        <w:gridCol w:w="4512"/>
      </w:tblGrid>
      <w:tr w:rsidR="00322277" w:rsidRPr="00E30CB5" w14:paraId="1CCB4BED"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1F497D"/>
            <w:vAlign w:val="center"/>
          </w:tcPr>
          <w:p w14:paraId="634C6902" w14:textId="77777777" w:rsidR="00322277" w:rsidRPr="008001F5" w:rsidRDefault="00322277" w:rsidP="00E57F9E">
            <w:pPr>
              <w:pStyle w:val="TITULOTAB"/>
              <w:rPr>
                <w:lang w:val="pt-BR"/>
              </w:rPr>
            </w:pPr>
            <w:r w:rsidRPr="008001F5">
              <w:rPr>
                <w:lang w:val="pt-BR"/>
              </w:rPr>
              <w:t>Resolução CONAMA Nº 398/08 – Anexo II</w:t>
            </w:r>
          </w:p>
        </w:tc>
        <w:tc>
          <w:tcPr>
            <w:tcW w:w="2500" w:type="pct"/>
            <w:tcBorders>
              <w:top w:val="single" w:sz="18" w:space="0" w:color="FFFFFF"/>
              <w:left w:val="single" w:sz="18" w:space="0" w:color="FFFFFF"/>
              <w:bottom w:val="single" w:sz="18" w:space="0" w:color="FFFFFF"/>
              <w:right w:val="single" w:sz="18" w:space="0" w:color="FFFFFF"/>
            </w:tcBorders>
            <w:shd w:val="clear" w:color="auto" w:fill="1F497D"/>
            <w:vAlign w:val="center"/>
          </w:tcPr>
          <w:p w14:paraId="05655DC7" w14:textId="6A2677AD" w:rsidR="00322277" w:rsidRPr="004269ED" w:rsidRDefault="00322277" w:rsidP="00E57F9E">
            <w:pPr>
              <w:pStyle w:val="TITULOTAB"/>
              <w:rPr>
                <w:lang w:val="pt-BR"/>
              </w:rPr>
            </w:pPr>
            <w:r w:rsidRPr="004269ED">
              <w:rPr>
                <w:lang w:val="pt-BR"/>
              </w:rPr>
              <w:t>Plano de Emergência Individual FZA-M-59</w:t>
            </w:r>
          </w:p>
        </w:tc>
      </w:tr>
      <w:tr w:rsidR="00F6044C" w:rsidRPr="00E30CB5" w14:paraId="66BAC5BE"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3E2C7227"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1. Introdução</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4A241EB4" w14:textId="6E76DD45" w:rsidR="00F6044C" w:rsidRPr="00D80C93" w:rsidRDefault="00C8288F" w:rsidP="00E57F9E">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_Ref414612756 \r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1</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_Ref414612993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rPr>
              <w:t>INTRODUÇÃO</w:t>
            </w:r>
            <w:r w:rsidRPr="00D80C93">
              <w:rPr>
                <w:rFonts w:asciiTheme="majorHAnsi" w:hAnsiTheme="majorHAnsi"/>
                <w:sz w:val="20"/>
                <w:szCs w:val="20"/>
                <w:highlight w:val="lightGray"/>
                <w:lang w:val="pt-BR"/>
              </w:rPr>
              <w:fldChar w:fldCharType="end"/>
            </w:r>
          </w:p>
        </w:tc>
      </w:tr>
      <w:tr w:rsidR="00322277" w:rsidRPr="00C95909" w14:paraId="23249EF1" w14:textId="77777777" w:rsidTr="00E57F9E">
        <w:trPr>
          <w:trHeight w:val="340"/>
        </w:trPr>
        <w:tc>
          <w:tcPr>
            <w:tcW w:w="5000" w:type="pct"/>
            <w:gridSpan w:val="2"/>
            <w:tcBorders>
              <w:top w:val="single" w:sz="18" w:space="0" w:color="FFFFFF"/>
              <w:left w:val="single" w:sz="18" w:space="0" w:color="FFFFFF"/>
              <w:bottom w:val="single" w:sz="18" w:space="0" w:color="FFFFFF"/>
              <w:right w:val="single" w:sz="18" w:space="0" w:color="FFFFFF"/>
            </w:tcBorders>
            <w:shd w:val="clear" w:color="auto" w:fill="D9D9D9"/>
            <w:vAlign w:val="center"/>
          </w:tcPr>
          <w:p w14:paraId="2640E883" w14:textId="77777777" w:rsidR="00322277" w:rsidRPr="00D80C93" w:rsidRDefault="00322277" w:rsidP="00E57F9E">
            <w:pPr>
              <w:pStyle w:val="TableParagraph"/>
              <w:tabs>
                <w:tab w:val="left" w:pos="10490"/>
              </w:tabs>
              <w:spacing w:before="60" w:after="60"/>
              <w:ind w:left="130"/>
              <w:rPr>
                <w:rFonts w:asciiTheme="majorHAnsi" w:hAnsiTheme="majorHAnsi"/>
                <w:sz w:val="20"/>
                <w:szCs w:val="20"/>
                <w:highlight w:val="lightGray"/>
                <w:lang w:val="pt-BR"/>
              </w:rPr>
            </w:pPr>
            <w:r w:rsidRPr="00D80C93">
              <w:rPr>
                <w:rFonts w:ascii="Cambria" w:hAnsi="Cambria"/>
                <w:sz w:val="20"/>
                <w:szCs w:val="20"/>
                <w:highlight w:val="lightGray"/>
                <w:lang w:val="pt-BR"/>
              </w:rPr>
              <w:t>2. Identificação e avaliação dos riscos:</w:t>
            </w:r>
          </w:p>
        </w:tc>
      </w:tr>
      <w:tr w:rsidR="00F6044C" w:rsidRPr="00C95909" w14:paraId="34106A01"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4EF2439D"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2.1. Identificação dos riscos por fonte</w:t>
            </w:r>
          </w:p>
        </w:tc>
        <w:tc>
          <w:tcPr>
            <w:tcW w:w="2500" w:type="pct"/>
            <w:tcBorders>
              <w:left w:val="single" w:sz="18" w:space="0" w:color="FFFFFF"/>
              <w:bottom w:val="single" w:sz="18" w:space="0" w:color="FFFFFF"/>
              <w:right w:val="single" w:sz="18" w:space="0" w:color="FFFFFF"/>
            </w:tcBorders>
            <w:shd w:val="clear" w:color="auto" w:fill="D9D9D9"/>
            <w:vAlign w:val="center"/>
          </w:tcPr>
          <w:p w14:paraId="3F18C37D" w14:textId="77777777" w:rsidR="00F6044C" w:rsidRPr="00D80C93" w:rsidRDefault="007B3A23" w:rsidP="00E57F9E">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t>APÊNDICE A</w:t>
            </w:r>
            <w:r w:rsidR="00322277" w:rsidRPr="00D80C93">
              <w:rPr>
                <w:rStyle w:val="NegritoVersaleteChar"/>
                <w:b w:val="0"/>
                <w:i w:val="0"/>
                <w:smallCaps w:val="0"/>
                <w:color w:val="auto"/>
                <w:sz w:val="20"/>
                <w:highlight w:val="lightGray"/>
                <w:lang w:val="pt-BR"/>
              </w:rPr>
              <w:t xml:space="preserve"> – Identificação dos Riscos por Fonte</w:t>
            </w:r>
          </w:p>
        </w:tc>
      </w:tr>
      <w:tr w:rsidR="00F6044C" w:rsidRPr="00E30CB5" w14:paraId="04DFF2D9"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74BF68CC"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2.2. Hipóteses acidentais</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6E246267" w14:textId="4B1E1814" w:rsidR="00F6044C" w:rsidRPr="00D80C93" w:rsidRDefault="00C8288F" w:rsidP="00E57F9E">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_Ref414525557 \r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3</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_Ref414525557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CENÁRIOS ACIDENTAIS</w:t>
            </w:r>
            <w:r w:rsidRPr="00D80C93">
              <w:rPr>
                <w:rFonts w:asciiTheme="majorHAnsi" w:hAnsiTheme="majorHAnsi"/>
                <w:sz w:val="20"/>
                <w:szCs w:val="20"/>
                <w:highlight w:val="lightGray"/>
                <w:lang w:val="pt-BR"/>
              </w:rPr>
              <w:fldChar w:fldCharType="end"/>
            </w:r>
          </w:p>
        </w:tc>
      </w:tr>
      <w:tr w:rsidR="00F6044C" w:rsidRPr="0027054E" w14:paraId="5BC5CFF4"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1E7411D3"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2.2.1. Descarga de pior caso</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65DC9ED2" w14:textId="487E9C45" w:rsidR="00F6044C" w:rsidRPr="00D80C93" w:rsidRDefault="00C8288F" w:rsidP="00E57F9E">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_Ref414525557 \r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3</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_Ref414525557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CENÁRIOS ACIDENTAIS</w:t>
            </w:r>
            <w:r w:rsidRPr="00D80C93">
              <w:rPr>
                <w:rFonts w:asciiTheme="majorHAnsi" w:hAnsiTheme="majorHAnsi"/>
                <w:sz w:val="20"/>
                <w:szCs w:val="20"/>
                <w:highlight w:val="lightGray"/>
                <w:lang w:val="pt-BR"/>
              </w:rPr>
              <w:fldChar w:fldCharType="end"/>
            </w:r>
          </w:p>
        </w:tc>
      </w:tr>
      <w:tr w:rsidR="00F6044C" w:rsidRPr="00E30CB5" w14:paraId="02406FFC"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4EC7B289"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 Análise de vulnerabilidade</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5E190503" w14:textId="649214FF" w:rsidR="00322277" w:rsidRPr="00D80C93" w:rsidRDefault="00C8288F" w:rsidP="00E57F9E">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_Ref414544801 \r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4</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_Ref414544801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ANÁLISE DE VULNERABILIDADE</w:t>
            </w:r>
            <w:r w:rsidRPr="00D80C93">
              <w:rPr>
                <w:rFonts w:asciiTheme="majorHAnsi" w:hAnsiTheme="majorHAnsi"/>
                <w:sz w:val="20"/>
                <w:szCs w:val="20"/>
                <w:highlight w:val="lightGray"/>
                <w:lang w:val="pt-BR"/>
              </w:rPr>
              <w:fldChar w:fldCharType="end"/>
            </w:r>
            <w:r w:rsidR="007B3A23" w:rsidRPr="00D80C93">
              <w:rPr>
                <w:rFonts w:asciiTheme="majorHAnsi" w:hAnsiTheme="majorHAnsi"/>
                <w:sz w:val="20"/>
                <w:szCs w:val="20"/>
                <w:highlight w:val="lightGray"/>
                <w:lang w:val="pt-BR"/>
              </w:rPr>
              <w:t>; e</w:t>
            </w:r>
          </w:p>
          <w:p w14:paraId="00E23CBB" w14:textId="119AF914" w:rsidR="00F6044C" w:rsidRPr="00D80C93" w:rsidRDefault="00322277" w:rsidP="00E57F9E">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t>ANEXO</w:t>
            </w:r>
            <w:r w:rsidR="007B3A23" w:rsidRPr="00D80C93">
              <w:rPr>
                <w:rFonts w:asciiTheme="majorHAnsi" w:hAnsiTheme="majorHAnsi"/>
                <w:sz w:val="20"/>
                <w:szCs w:val="20"/>
                <w:highlight w:val="lightGray"/>
                <w:lang w:val="pt-BR"/>
              </w:rPr>
              <w:t xml:space="preserve"> C</w:t>
            </w:r>
            <w:r w:rsidRPr="00D80C93">
              <w:rPr>
                <w:rStyle w:val="NegritoVersaleteChar"/>
                <w:b w:val="0"/>
                <w:i w:val="0"/>
                <w:smallCaps w:val="0"/>
                <w:color w:val="auto"/>
                <w:sz w:val="20"/>
                <w:highlight w:val="lightGray"/>
                <w:lang w:val="pt-BR"/>
              </w:rPr>
              <w:t xml:space="preserve"> – </w:t>
            </w:r>
            <w:r w:rsidR="002D2F32" w:rsidRPr="00D80C93">
              <w:rPr>
                <w:rStyle w:val="NegritoVersaleteChar"/>
                <w:b w:val="0"/>
                <w:i w:val="0"/>
                <w:smallCaps w:val="0"/>
                <w:color w:val="auto"/>
                <w:sz w:val="20"/>
                <w:highlight w:val="lightGray"/>
                <w:lang w:val="pt-BR"/>
              </w:rPr>
              <w:t>Análise e Mapa de Vulnerabilidade</w:t>
            </w:r>
          </w:p>
        </w:tc>
      </w:tr>
      <w:tr w:rsidR="00F6044C" w:rsidRPr="00C95909" w14:paraId="7DAC69D7"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7D14C3CD"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4. Treinamento de pessoal e exercícios de resposta</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20A89016" w14:textId="73E22271" w:rsidR="00F6044C" w:rsidRPr="00D80C93" w:rsidRDefault="007B3A23" w:rsidP="00CE6488">
            <w:pPr>
              <w:pStyle w:val="TableParagraph"/>
              <w:tabs>
                <w:tab w:val="left" w:pos="10490"/>
              </w:tabs>
              <w:spacing w:before="60" w:after="60"/>
              <w:ind w:left="130"/>
              <w:rPr>
                <w:rFonts w:asciiTheme="majorHAnsi" w:hAnsiTheme="majorHAnsi"/>
                <w:sz w:val="20"/>
                <w:szCs w:val="20"/>
                <w:highlight w:val="lightGray"/>
                <w:lang w:val="pt-BR"/>
              </w:rPr>
            </w:pPr>
            <w:r w:rsidRPr="00D80C93">
              <w:rPr>
                <w:rFonts w:asciiTheme="majorHAnsi" w:hAnsiTheme="majorHAnsi"/>
                <w:sz w:val="20"/>
                <w:szCs w:val="20"/>
                <w:highlight w:val="lightGray"/>
                <w:lang w:val="pt-BR"/>
              </w:rPr>
              <w:t xml:space="preserve">APÊNDICE </w:t>
            </w:r>
            <w:r w:rsidR="00CE6488" w:rsidRPr="00D80C93">
              <w:rPr>
                <w:rFonts w:asciiTheme="majorHAnsi" w:hAnsiTheme="majorHAnsi"/>
                <w:sz w:val="20"/>
                <w:szCs w:val="20"/>
                <w:highlight w:val="lightGray"/>
                <w:lang w:val="pt-BR"/>
              </w:rPr>
              <w:t>C</w:t>
            </w:r>
            <w:r w:rsidR="00322277" w:rsidRPr="00D80C93">
              <w:rPr>
                <w:rStyle w:val="NegritoVersaleteChar"/>
                <w:b w:val="0"/>
                <w:i w:val="0"/>
                <w:smallCaps w:val="0"/>
                <w:color w:val="auto"/>
                <w:sz w:val="20"/>
                <w:highlight w:val="lightGray"/>
                <w:lang w:val="pt-BR"/>
              </w:rPr>
              <w:t xml:space="preserve"> – Treinamentos e Simulados</w:t>
            </w:r>
          </w:p>
        </w:tc>
      </w:tr>
      <w:tr w:rsidR="00F6044C" w:rsidRPr="00E30CB5" w14:paraId="117C9010"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5A6552BE" w14:textId="77777777" w:rsidR="00F6044C" w:rsidRPr="00E04B11" w:rsidRDefault="00F6044C" w:rsidP="00E57F9E">
            <w:pPr>
              <w:pStyle w:val="TableParagraph"/>
              <w:tabs>
                <w:tab w:val="left" w:pos="10490"/>
              </w:tabs>
              <w:spacing w:before="60" w:after="60"/>
              <w:ind w:left="130" w:right="284"/>
              <w:rPr>
                <w:rFonts w:ascii="Cambria" w:hAnsi="Cambria"/>
                <w:sz w:val="20"/>
                <w:szCs w:val="20"/>
                <w:lang w:val="pt-BR"/>
              </w:rPr>
            </w:pPr>
            <w:r w:rsidRPr="00E04B11">
              <w:rPr>
                <w:rFonts w:ascii="Cambria" w:hAnsi="Cambria"/>
                <w:sz w:val="20"/>
                <w:szCs w:val="20"/>
                <w:lang w:val="pt-BR"/>
              </w:rPr>
              <w:t>5. Referências bibliográficas</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7C2423C1" w14:textId="245FED9B" w:rsidR="00F6044C" w:rsidRPr="00D80C93" w:rsidRDefault="00C8288F" w:rsidP="00E57F9E">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_Ref414612808 \r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13</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_Ref414613019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bCs/>
                <w:sz w:val="20"/>
                <w:szCs w:val="20"/>
                <w:highlight w:val="lightGray"/>
                <w:lang w:val="pt-BR"/>
              </w:rPr>
              <w:t>REFERÊNCIAS BIBLIOGRÁFICAS</w:t>
            </w:r>
            <w:r w:rsidRPr="00D80C93">
              <w:rPr>
                <w:rFonts w:asciiTheme="majorHAnsi" w:hAnsiTheme="majorHAnsi"/>
                <w:sz w:val="20"/>
                <w:szCs w:val="20"/>
                <w:highlight w:val="lightGray"/>
                <w:lang w:val="pt-BR"/>
              </w:rPr>
              <w:fldChar w:fldCharType="end"/>
            </w:r>
          </w:p>
        </w:tc>
      </w:tr>
      <w:tr w:rsidR="00F6044C" w:rsidRPr="00C95909" w14:paraId="01E70402"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72AF6D7B" w14:textId="77777777" w:rsidR="00F6044C" w:rsidRPr="0070789E" w:rsidRDefault="00F6044C" w:rsidP="00E57F9E">
            <w:pPr>
              <w:pStyle w:val="TableParagraph"/>
              <w:tabs>
                <w:tab w:val="left" w:pos="2268"/>
                <w:tab w:val="left" w:pos="10490"/>
              </w:tabs>
              <w:spacing w:before="60" w:after="60"/>
              <w:ind w:left="130" w:right="-25"/>
              <w:rPr>
                <w:rFonts w:ascii="Cambria" w:hAnsi="Cambria"/>
                <w:sz w:val="20"/>
                <w:szCs w:val="20"/>
                <w:lang w:val="pt-BR"/>
              </w:rPr>
            </w:pPr>
            <w:r w:rsidRPr="0070789E">
              <w:rPr>
                <w:rFonts w:ascii="Cambria" w:hAnsi="Cambria"/>
                <w:sz w:val="20"/>
                <w:szCs w:val="20"/>
                <w:lang w:val="pt-BR"/>
              </w:rPr>
              <w:t>6. Responsáveis técnicos pela elaboração do PEI</w:t>
            </w:r>
          </w:p>
        </w:tc>
        <w:tc>
          <w:tcPr>
            <w:tcW w:w="2500" w:type="pct"/>
            <w:tcBorders>
              <w:top w:val="single" w:sz="18" w:space="0" w:color="FFFFFF"/>
              <w:left w:val="single" w:sz="18" w:space="0" w:color="FFFFFF"/>
              <w:right w:val="single" w:sz="18" w:space="0" w:color="FFFFFF"/>
            </w:tcBorders>
            <w:shd w:val="clear" w:color="auto" w:fill="D9D9D9"/>
            <w:vAlign w:val="center"/>
          </w:tcPr>
          <w:p w14:paraId="4F080650" w14:textId="0AF57DC4" w:rsidR="00F6044C" w:rsidRPr="00D80C93" w:rsidRDefault="00C8288F" w:rsidP="00E57F9E">
            <w:pPr>
              <w:pStyle w:val="TableParagraph"/>
              <w:tabs>
                <w:tab w:val="left" w:pos="10490"/>
              </w:tabs>
              <w:spacing w:before="60" w:after="60"/>
              <w:ind w:left="130"/>
              <w:rPr>
                <w:rFonts w:asciiTheme="majorHAnsi" w:hAnsiTheme="majorHAnsi"/>
                <w:sz w:val="20"/>
                <w:szCs w:val="20"/>
                <w:highlight w:val="lightGray"/>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_Ref414612816 \r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11</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_Ref414613023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bCs/>
                <w:sz w:val="20"/>
                <w:szCs w:val="20"/>
                <w:highlight w:val="lightGray"/>
                <w:lang w:val="pt-BR"/>
              </w:rPr>
              <w:t>RESPONSÁVEIS TÉCNICOS PELA ELABORAÇÃO DO PEI</w:t>
            </w:r>
            <w:r w:rsidRPr="00D80C93">
              <w:rPr>
                <w:rFonts w:asciiTheme="majorHAnsi" w:hAnsiTheme="majorHAnsi"/>
                <w:sz w:val="20"/>
                <w:szCs w:val="20"/>
                <w:highlight w:val="lightGray"/>
                <w:lang w:val="pt-BR"/>
              </w:rPr>
              <w:fldChar w:fldCharType="end"/>
            </w:r>
          </w:p>
        </w:tc>
      </w:tr>
      <w:tr w:rsidR="00F6044C" w:rsidRPr="00C95909" w14:paraId="125620AF"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16916525"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7. Responsáveis pela execução do PEI</w:t>
            </w:r>
          </w:p>
        </w:tc>
        <w:tc>
          <w:tcPr>
            <w:tcW w:w="2500" w:type="pct"/>
            <w:tcBorders>
              <w:left w:val="single" w:sz="18" w:space="0" w:color="FFFFFF"/>
              <w:bottom w:val="single" w:sz="18" w:space="0" w:color="FFFFFF"/>
              <w:right w:val="single" w:sz="18" w:space="0" w:color="FFFFFF"/>
            </w:tcBorders>
            <w:shd w:val="clear" w:color="auto" w:fill="D9D9D9"/>
            <w:vAlign w:val="center"/>
          </w:tcPr>
          <w:p w14:paraId="62E1FA8F" w14:textId="5893B103" w:rsidR="00F6044C" w:rsidRPr="00D80C93" w:rsidRDefault="00C8288F" w:rsidP="00E57F9E">
            <w:pPr>
              <w:pStyle w:val="TableParagraph"/>
              <w:tabs>
                <w:tab w:val="left" w:pos="10490"/>
              </w:tabs>
              <w:spacing w:before="60" w:after="60"/>
              <w:ind w:left="130" w:right="284"/>
              <w:rPr>
                <w:rFonts w:asciiTheme="majorHAnsi" w:hAnsiTheme="majorHAnsi"/>
                <w:sz w:val="20"/>
                <w:szCs w:val="20"/>
                <w:highlight w:val="lightGray"/>
                <w:lang w:val="pt-BR"/>
              </w:rPr>
            </w:pP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_Ref414612820 \r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sz w:val="20"/>
                <w:szCs w:val="20"/>
                <w:highlight w:val="lightGray"/>
                <w:lang w:val="pt-BR"/>
              </w:rPr>
              <w:t>12</w:t>
            </w:r>
            <w:r w:rsidRPr="00D80C93">
              <w:rPr>
                <w:rFonts w:asciiTheme="majorHAnsi" w:hAnsiTheme="majorHAnsi"/>
                <w:sz w:val="20"/>
                <w:szCs w:val="20"/>
                <w:highlight w:val="lightGray"/>
                <w:lang w:val="pt-BR"/>
              </w:rPr>
              <w:fldChar w:fldCharType="end"/>
            </w:r>
            <w:r w:rsidRPr="00D80C93">
              <w:rPr>
                <w:rFonts w:asciiTheme="majorHAnsi" w:hAnsiTheme="majorHAnsi"/>
                <w:sz w:val="20"/>
                <w:szCs w:val="20"/>
                <w:highlight w:val="lightGray"/>
                <w:lang w:val="pt-BR"/>
              </w:rPr>
              <w:t xml:space="preserve">. </w:t>
            </w:r>
            <w:r w:rsidRPr="00D80C93">
              <w:rPr>
                <w:rFonts w:asciiTheme="majorHAnsi" w:hAnsiTheme="majorHAnsi"/>
                <w:sz w:val="20"/>
                <w:szCs w:val="20"/>
                <w:highlight w:val="lightGray"/>
                <w:lang w:val="pt-BR"/>
              </w:rPr>
              <w:fldChar w:fldCharType="begin"/>
            </w:r>
            <w:r w:rsidRPr="00D80C93">
              <w:rPr>
                <w:rFonts w:asciiTheme="majorHAnsi" w:hAnsiTheme="majorHAnsi"/>
                <w:sz w:val="20"/>
                <w:szCs w:val="20"/>
                <w:highlight w:val="lightGray"/>
                <w:lang w:val="pt-BR"/>
              </w:rPr>
              <w:instrText xml:space="preserve"> REF _Ref414613028 \h </w:instrText>
            </w:r>
            <w:r w:rsidR="007B3A23" w:rsidRPr="00D80C93">
              <w:rPr>
                <w:rFonts w:asciiTheme="majorHAnsi" w:hAnsiTheme="majorHAnsi"/>
                <w:sz w:val="20"/>
                <w:szCs w:val="20"/>
                <w:highlight w:val="lightGray"/>
                <w:lang w:val="pt-BR"/>
              </w:rPr>
              <w:instrText xml:space="preserve"> \* MERGEFORMAT </w:instrText>
            </w:r>
            <w:r w:rsidRPr="00D80C93">
              <w:rPr>
                <w:rFonts w:asciiTheme="majorHAnsi" w:hAnsiTheme="majorHAnsi"/>
                <w:sz w:val="20"/>
                <w:szCs w:val="20"/>
                <w:highlight w:val="lightGray"/>
                <w:lang w:val="pt-BR"/>
              </w:rPr>
            </w:r>
            <w:r w:rsidRPr="00D80C93">
              <w:rPr>
                <w:rFonts w:asciiTheme="majorHAnsi" w:hAnsiTheme="majorHAnsi"/>
                <w:sz w:val="20"/>
                <w:szCs w:val="20"/>
                <w:highlight w:val="lightGray"/>
                <w:lang w:val="pt-BR"/>
              </w:rPr>
              <w:fldChar w:fldCharType="separate"/>
            </w:r>
            <w:r w:rsidR="00A50E67" w:rsidRPr="00D80C93">
              <w:rPr>
                <w:rFonts w:asciiTheme="majorHAnsi" w:hAnsiTheme="majorHAnsi"/>
                <w:bCs/>
                <w:sz w:val="20"/>
                <w:szCs w:val="20"/>
                <w:highlight w:val="lightGray"/>
                <w:lang w:val="pt-BR"/>
              </w:rPr>
              <w:t>RESPONSÁVEIS TÉCNICOS PELA EXECUÇÃO DO PEI</w:t>
            </w:r>
            <w:r w:rsidRPr="00D80C93">
              <w:rPr>
                <w:rFonts w:asciiTheme="majorHAnsi" w:hAnsiTheme="majorHAnsi"/>
                <w:sz w:val="20"/>
                <w:szCs w:val="20"/>
                <w:highlight w:val="lightGray"/>
                <w:lang w:val="pt-BR"/>
              </w:rPr>
              <w:fldChar w:fldCharType="end"/>
            </w:r>
          </w:p>
        </w:tc>
      </w:tr>
    </w:tbl>
    <w:p w14:paraId="0D30A029" w14:textId="77777777" w:rsidR="00322277" w:rsidRDefault="00322277" w:rsidP="00E04B11">
      <w:pPr>
        <w:pStyle w:val="tier1Itext"/>
      </w:pPr>
      <w:r>
        <w:br w:type="page"/>
      </w:r>
    </w:p>
    <w:tbl>
      <w:tblPr>
        <w:tblW w:w="5000" w:type="pct"/>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left w:w="70" w:type="dxa"/>
          <w:right w:w="70" w:type="dxa"/>
        </w:tblCellMar>
        <w:tblLook w:val="04A0" w:firstRow="1" w:lastRow="0" w:firstColumn="1" w:lastColumn="0" w:noHBand="0" w:noVBand="1"/>
      </w:tblPr>
      <w:tblGrid>
        <w:gridCol w:w="4512"/>
        <w:gridCol w:w="4512"/>
      </w:tblGrid>
      <w:tr w:rsidR="00322277" w:rsidRPr="00E30CB5" w14:paraId="2D0D0890"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1F497D"/>
            <w:vAlign w:val="center"/>
          </w:tcPr>
          <w:p w14:paraId="1D7CFC6B" w14:textId="77777777" w:rsidR="00322277" w:rsidRPr="008001F5" w:rsidRDefault="00322277" w:rsidP="00E57F9E">
            <w:pPr>
              <w:pStyle w:val="TITULOTAB"/>
              <w:rPr>
                <w:lang w:val="pt-BR"/>
              </w:rPr>
            </w:pPr>
            <w:r w:rsidRPr="008001F5">
              <w:rPr>
                <w:lang w:val="pt-BR"/>
              </w:rPr>
              <w:lastRenderedPageBreak/>
              <w:t>Resolução CONAMA Nº 398/08 – Anexo III</w:t>
            </w:r>
          </w:p>
        </w:tc>
        <w:tc>
          <w:tcPr>
            <w:tcW w:w="2500" w:type="pct"/>
            <w:tcBorders>
              <w:top w:val="single" w:sz="18" w:space="0" w:color="FFFFFF"/>
              <w:left w:val="single" w:sz="18" w:space="0" w:color="FFFFFF"/>
              <w:bottom w:val="single" w:sz="18" w:space="0" w:color="FFFFFF"/>
              <w:right w:val="single" w:sz="18" w:space="0" w:color="FFFFFF"/>
            </w:tcBorders>
            <w:shd w:val="clear" w:color="auto" w:fill="1F497D"/>
            <w:vAlign w:val="center"/>
          </w:tcPr>
          <w:p w14:paraId="5EEC5F33" w14:textId="60CA21FB" w:rsidR="00322277" w:rsidRPr="004269ED" w:rsidRDefault="00322277" w:rsidP="00E57F9E">
            <w:pPr>
              <w:pStyle w:val="TITULOTAB"/>
              <w:rPr>
                <w:lang w:val="pt-BR"/>
              </w:rPr>
            </w:pPr>
            <w:r w:rsidRPr="004269ED">
              <w:rPr>
                <w:lang w:val="pt-BR"/>
              </w:rPr>
              <w:t>Plano de Emergência Individual FZA-M-59</w:t>
            </w:r>
          </w:p>
        </w:tc>
      </w:tr>
      <w:tr w:rsidR="00F6044C" w:rsidRPr="00C95909" w14:paraId="2597C5E7"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680E3867"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1. Dimensionamento da capacidade de resposta</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0496BB30" w14:textId="3516E8C7" w:rsidR="00F6044C" w:rsidRPr="00322277" w:rsidRDefault="007B3A23" w:rsidP="00CE6488">
            <w:pPr>
              <w:pStyle w:val="TableParagraph"/>
              <w:tabs>
                <w:tab w:val="left" w:pos="10490"/>
              </w:tabs>
              <w:spacing w:before="60" w:after="60"/>
              <w:ind w:left="130" w:right="284"/>
              <w:rPr>
                <w:rFonts w:asciiTheme="majorHAnsi" w:hAnsiTheme="majorHAnsi"/>
                <w:sz w:val="20"/>
                <w:szCs w:val="20"/>
                <w:lang w:val="pt-BR"/>
              </w:rPr>
            </w:pPr>
            <w:r w:rsidRPr="00322277">
              <w:rPr>
                <w:rFonts w:asciiTheme="majorHAnsi" w:hAnsiTheme="majorHAnsi"/>
                <w:sz w:val="20"/>
                <w:szCs w:val="20"/>
                <w:lang w:val="pt-BR"/>
              </w:rPr>
              <w:t xml:space="preserve">APÊNDICE </w:t>
            </w:r>
            <w:r w:rsidR="00CE6488">
              <w:rPr>
                <w:rFonts w:asciiTheme="majorHAnsi" w:hAnsiTheme="majorHAnsi"/>
                <w:sz w:val="20"/>
                <w:szCs w:val="20"/>
                <w:lang w:val="pt-BR"/>
              </w:rPr>
              <w:t>E</w:t>
            </w:r>
            <w:r w:rsidR="00322277" w:rsidRPr="00322277">
              <w:rPr>
                <w:rStyle w:val="NegritoVersaleteChar"/>
                <w:b w:val="0"/>
                <w:i w:val="0"/>
                <w:smallCaps w:val="0"/>
                <w:color w:val="auto"/>
                <w:sz w:val="20"/>
                <w:lang w:val="pt-BR"/>
              </w:rPr>
              <w:t xml:space="preserve"> – Dimensionamento da Capacidade de Resposta</w:t>
            </w:r>
          </w:p>
        </w:tc>
      </w:tr>
      <w:tr w:rsidR="00322277" w:rsidRPr="0027054E" w14:paraId="11A4580D" w14:textId="77777777" w:rsidTr="00E57F9E">
        <w:trPr>
          <w:trHeight w:val="20"/>
        </w:trPr>
        <w:tc>
          <w:tcPr>
            <w:tcW w:w="5000" w:type="pct"/>
            <w:gridSpan w:val="2"/>
            <w:tcBorders>
              <w:top w:val="single" w:sz="18" w:space="0" w:color="FFFFFF"/>
              <w:left w:val="single" w:sz="18" w:space="0" w:color="FFFFFF"/>
              <w:bottom w:val="single" w:sz="18" w:space="0" w:color="FFFFFF"/>
              <w:right w:val="single" w:sz="18" w:space="0" w:color="FFFFFF"/>
            </w:tcBorders>
            <w:shd w:val="clear" w:color="auto" w:fill="D9D9D9"/>
            <w:vAlign w:val="center"/>
          </w:tcPr>
          <w:p w14:paraId="4A9001DD" w14:textId="77777777" w:rsidR="00322277" w:rsidRPr="00322277" w:rsidRDefault="00322277" w:rsidP="00E57F9E">
            <w:pPr>
              <w:pStyle w:val="TableParagraph"/>
              <w:tabs>
                <w:tab w:val="left" w:pos="10490"/>
              </w:tabs>
              <w:spacing w:before="60" w:after="60"/>
              <w:ind w:left="130" w:right="284"/>
              <w:rPr>
                <w:rFonts w:asciiTheme="majorHAnsi" w:hAnsiTheme="majorHAnsi"/>
                <w:sz w:val="20"/>
                <w:szCs w:val="20"/>
                <w:lang w:val="pt-BR"/>
              </w:rPr>
            </w:pPr>
            <w:r w:rsidRPr="0070789E">
              <w:rPr>
                <w:rFonts w:ascii="Cambria" w:hAnsi="Cambria"/>
                <w:sz w:val="20"/>
                <w:szCs w:val="20"/>
                <w:lang w:val="pt-BR"/>
              </w:rPr>
              <w:t>2. Capacidade de resposta</w:t>
            </w:r>
            <w:r>
              <w:rPr>
                <w:rFonts w:ascii="Cambria" w:hAnsi="Cambria"/>
                <w:sz w:val="20"/>
                <w:szCs w:val="20"/>
                <w:lang w:val="pt-BR"/>
              </w:rPr>
              <w:t>:</w:t>
            </w:r>
          </w:p>
        </w:tc>
      </w:tr>
      <w:tr w:rsidR="00322277" w:rsidRPr="00E30CB5" w14:paraId="3AE41D22"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68D29940" w14:textId="77777777" w:rsidR="00322277" w:rsidRPr="0070789E" w:rsidRDefault="00322277"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2.1. Barreiras de contenção</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724E24BB" w14:textId="7C1453EA" w:rsidR="00322277" w:rsidRPr="00322277" w:rsidRDefault="00322277" w:rsidP="00CE6488">
            <w:pPr>
              <w:pStyle w:val="TableParagraph"/>
              <w:tabs>
                <w:tab w:val="left" w:pos="10490"/>
              </w:tabs>
              <w:spacing w:before="60" w:after="60"/>
              <w:ind w:left="130" w:right="284"/>
              <w:rPr>
                <w:rFonts w:asciiTheme="majorHAnsi" w:hAnsiTheme="majorHAnsi"/>
                <w:sz w:val="20"/>
                <w:szCs w:val="20"/>
                <w:lang w:val="pt-BR"/>
              </w:rPr>
            </w:pPr>
            <w:r w:rsidRPr="00322277">
              <w:rPr>
                <w:rFonts w:asciiTheme="majorHAnsi" w:hAnsiTheme="majorHAnsi"/>
                <w:sz w:val="20"/>
                <w:szCs w:val="20"/>
                <w:lang w:val="pt-BR"/>
              </w:rPr>
              <w:t xml:space="preserve">APÊNDICE </w:t>
            </w:r>
            <w:r w:rsidR="00CE6488">
              <w:rPr>
                <w:rFonts w:asciiTheme="majorHAnsi" w:hAnsiTheme="majorHAnsi"/>
                <w:sz w:val="20"/>
                <w:szCs w:val="20"/>
                <w:lang w:val="pt-BR"/>
              </w:rPr>
              <w:t>E</w:t>
            </w:r>
            <w:r w:rsidRPr="00322277">
              <w:rPr>
                <w:rStyle w:val="NegritoVersaleteChar"/>
                <w:b w:val="0"/>
                <w:i w:val="0"/>
                <w:smallCaps w:val="0"/>
                <w:color w:val="auto"/>
                <w:sz w:val="20"/>
                <w:lang w:val="pt-BR"/>
              </w:rPr>
              <w:t xml:space="preserve"> – Dimensionamento da Capacidade de Resposta</w:t>
            </w:r>
          </w:p>
        </w:tc>
      </w:tr>
      <w:tr w:rsidR="00322277" w:rsidRPr="00E30CB5" w14:paraId="52190849"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5C3E7D4A" w14:textId="77777777" w:rsidR="00322277" w:rsidRPr="0070789E" w:rsidRDefault="00322277"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2.2. Recolhedores</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645954D9" w14:textId="7536C4DA" w:rsidR="00322277" w:rsidRPr="00322277" w:rsidRDefault="00322277" w:rsidP="00CE6488">
            <w:pPr>
              <w:pStyle w:val="TableParagraph"/>
              <w:tabs>
                <w:tab w:val="left" w:pos="10490"/>
              </w:tabs>
              <w:spacing w:before="60" w:after="60"/>
              <w:ind w:left="130" w:right="284"/>
              <w:rPr>
                <w:rFonts w:asciiTheme="majorHAnsi" w:hAnsiTheme="majorHAnsi"/>
                <w:sz w:val="20"/>
                <w:szCs w:val="20"/>
                <w:lang w:val="pt-BR"/>
              </w:rPr>
            </w:pPr>
            <w:r w:rsidRPr="00322277">
              <w:rPr>
                <w:rFonts w:asciiTheme="majorHAnsi" w:hAnsiTheme="majorHAnsi"/>
                <w:sz w:val="20"/>
                <w:szCs w:val="20"/>
                <w:lang w:val="pt-BR"/>
              </w:rPr>
              <w:t xml:space="preserve">APÊNDICE </w:t>
            </w:r>
            <w:r w:rsidR="00CE6488">
              <w:rPr>
                <w:rFonts w:asciiTheme="majorHAnsi" w:hAnsiTheme="majorHAnsi"/>
                <w:sz w:val="20"/>
                <w:szCs w:val="20"/>
                <w:lang w:val="pt-BR"/>
              </w:rPr>
              <w:t>E</w:t>
            </w:r>
            <w:r w:rsidRPr="00322277">
              <w:rPr>
                <w:rStyle w:val="NegritoVersaleteChar"/>
                <w:b w:val="0"/>
                <w:i w:val="0"/>
                <w:smallCaps w:val="0"/>
                <w:color w:val="auto"/>
                <w:sz w:val="20"/>
                <w:lang w:val="pt-BR"/>
              </w:rPr>
              <w:t xml:space="preserve"> – Dimensionamento da Capacidade de Resposta</w:t>
            </w:r>
          </w:p>
        </w:tc>
      </w:tr>
      <w:tr w:rsidR="00322277" w:rsidRPr="00E30CB5" w14:paraId="3D294EC0"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255FB13D" w14:textId="77777777" w:rsidR="00322277" w:rsidRPr="0070789E" w:rsidRDefault="00322277"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2.3. Dispersantes químicos</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631F2708" w14:textId="72145CE4" w:rsidR="00322277" w:rsidRPr="00322277" w:rsidRDefault="00322277" w:rsidP="00CE6488">
            <w:pPr>
              <w:pStyle w:val="TableParagraph"/>
              <w:tabs>
                <w:tab w:val="left" w:pos="10490"/>
              </w:tabs>
              <w:spacing w:before="60" w:after="60"/>
              <w:ind w:left="130" w:right="284"/>
              <w:rPr>
                <w:rFonts w:asciiTheme="majorHAnsi" w:hAnsiTheme="majorHAnsi"/>
                <w:sz w:val="20"/>
                <w:szCs w:val="20"/>
                <w:lang w:val="pt-BR"/>
              </w:rPr>
            </w:pPr>
            <w:r w:rsidRPr="00322277">
              <w:rPr>
                <w:rFonts w:asciiTheme="majorHAnsi" w:hAnsiTheme="majorHAnsi"/>
                <w:sz w:val="20"/>
                <w:szCs w:val="20"/>
                <w:lang w:val="pt-BR"/>
              </w:rPr>
              <w:t xml:space="preserve">APÊNDICE </w:t>
            </w:r>
            <w:r w:rsidR="00CE6488">
              <w:rPr>
                <w:rFonts w:asciiTheme="majorHAnsi" w:hAnsiTheme="majorHAnsi"/>
                <w:sz w:val="20"/>
                <w:szCs w:val="20"/>
                <w:lang w:val="pt-BR"/>
              </w:rPr>
              <w:t>E</w:t>
            </w:r>
            <w:r w:rsidRPr="00322277">
              <w:rPr>
                <w:rStyle w:val="NegritoVersaleteChar"/>
                <w:b w:val="0"/>
                <w:i w:val="0"/>
                <w:smallCaps w:val="0"/>
                <w:color w:val="auto"/>
                <w:sz w:val="20"/>
                <w:lang w:val="pt-BR"/>
              </w:rPr>
              <w:t xml:space="preserve"> – Dimensionamento da Capacidade de Resposta</w:t>
            </w:r>
          </w:p>
        </w:tc>
      </w:tr>
      <w:tr w:rsidR="00322277" w:rsidRPr="00E30CB5" w14:paraId="1679B895"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74BEE45A" w14:textId="77777777" w:rsidR="00322277" w:rsidRPr="0070789E" w:rsidRDefault="00322277"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2.4. Dispersão mecânica</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5A4B5145" w14:textId="38C5C7BA" w:rsidR="00322277" w:rsidRPr="00322277" w:rsidRDefault="00322277" w:rsidP="00CE6488">
            <w:pPr>
              <w:pStyle w:val="TableParagraph"/>
              <w:tabs>
                <w:tab w:val="left" w:pos="10490"/>
              </w:tabs>
              <w:spacing w:before="60" w:after="60"/>
              <w:ind w:left="130" w:right="284"/>
              <w:rPr>
                <w:rFonts w:asciiTheme="majorHAnsi" w:hAnsiTheme="majorHAnsi"/>
                <w:sz w:val="20"/>
                <w:szCs w:val="20"/>
                <w:lang w:val="pt-BR"/>
              </w:rPr>
            </w:pPr>
            <w:r w:rsidRPr="00322277">
              <w:rPr>
                <w:rFonts w:asciiTheme="majorHAnsi" w:hAnsiTheme="majorHAnsi"/>
                <w:sz w:val="20"/>
                <w:szCs w:val="20"/>
                <w:lang w:val="pt-BR"/>
              </w:rPr>
              <w:t xml:space="preserve">APÊNDICE </w:t>
            </w:r>
            <w:r w:rsidR="00CE6488">
              <w:rPr>
                <w:rFonts w:asciiTheme="majorHAnsi" w:hAnsiTheme="majorHAnsi"/>
                <w:sz w:val="20"/>
                <w:szCs w:val="20"/>
                <w:lang w:val="pt-BR"/>
              </w:rPr>
              <w:t>E</w:t>
            </w:r>
            <w:r w:rsidRPr="00322277">
              <w:rPr>
                <w:rStyle w:val="NegritoVersaleteChar"/>
                <w:b w:val="0"/>
                <w:i w:val="0"/>
                <w:smallCaps w:val="0"/>
                <w:color w:val="auto"/>
                <w:sz w:val="20"/>
                <w:lang w:val="pt-BR"/>
              </w:rPr>
              <w:t xml:space="preserve"> – Dimensionamento da Capacidade de Resposta</w:t>
            </w:r>
          </w:p>
        </w:tc>
      </w:tr>
      <w:tr w:rsidR="00322277" w:rsidRPr="00E30CB5" w14:paraId="66421950"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56AAF0E9" w14:textId="77777777" w:rsidR="00322277" w:rsidRPr="0070789E" w:rsidRDefault="00322277"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2.5. Armazenamento temporário</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76E9111A" w14:textId="132AB1FC" w:rsidR="00322277" w:rsidRPr="00322277" w:rsidRDefault="00322277" w:rsidP="00CE6488">
            <w:pPr>
              <w:pStyle w:val="TableParagraph"/>
              <w:tabs>
                <w:tab w:val="left" w:pos="10490"/>
              </w:tabs>
              <w:spacing w:before="60" w:after="60"/>
              <w:ind w:left="130" w:right="284"/>
              <w:rPr>
                <w:rFonts w:asciiTheme="majorHAnsi" w:hAnsiTheme="majorHAnsi"/>
                <w:sz w:val="20"/>
                <w:szCs w:val="20"/>
                <w:lang w:val="pt-BR"/>
              </w:rPr>
            </w:pPr>
            <w:r w:rsidRPr="00322277">
              <w:rPr>
                <w:rFonts w:asciiTheme="majorHAnsi" w:hAnsiTheme="majorHAnsi"/>
                <w:sz w:val="20"/>
                <w:szCs w:val="20"/>
                <w:lang w:val="pt-BR"/>
              </w:rPr>
              <w:t xml:space="preserve">APÊNDICE </w:t>
            </w:r>
            <w:r w:rsidR="00CE6488">
              <w:rPr>
                <w:rFonts w:asciiTheme="majorHAnsi" w:hAnsiTheme="majorHAnsi"/>
                <w:sz w:val="20"/>
                <w:szCs w:val="20"/>
                <w:lang w:val="pt-BR"/>
              </w:rPr>
              <w:t>E</w:t>
            </w:r>
            <w:r w:rsidRPr="00322277">
              <w:rPr>
                <w:rStyle w:val="NegritoVersaleteChar"/>
                <w:b w:val="0"/>
                <w:i w:val="0"/>
                <w:smallCaps w:val="0"/>
                <w:color w:val="auto"/>
                <w:sz w:val="20"/>
                <w:lang w:val="pt-BR"/>
              </w:rPr>
              <w:t xml:space="preserve"> – Dimensionamento da Capacidade de Resposta</w:t>
            </w:r>
          </w:p>
        </w:tc>
      </w:tr>
      <w:tr w:rsidR="00322277" w:rsidRPr="00E30CB5" w14:paraId="40632AE4"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10D21078" w14:textId="77777777" w:rsidR="00322277" w:rsidRPr="0070789E" w:rsidRDefault="00322277"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2.6. Absorventes</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65CE8F7A" w14:textId="1CA3304F" w:rsidR="00322277" w:rsidRPr="00322277" w:rsidRDefault="00322277" w:rsidP="00CE6488">
            <w:pPr>
              <w:pStyle w:val="TableParagraph"/>
              <w:tabs>
                <w:tab w:val="left" w:pos="10490"/>
              </w:tabs>
              <w:spacing w:before="60" w:after="60"/>
              <w:ind w:left="130" w:right="284"/>
              <w:rPr>
                <w:rFonts w:asciiTheme="majorHAnsi" w:hAnsiTheme="majorHAnsi"/>
                <w:sz w:val="20"/>
                <w:szCs w:val="20"/>
                <w:lang w:val="pt-BR"/>
              </w:rPr>
            </w:pPr>
            <w:r w:rsidRPr="00322277">
              <w:rPr>
                <w:rFonts w:asciiTheme="majorHAnsi" w:hAnsiTheme="majorHAnsi"/>
                <w:sz w:val="20"/>
                <w:szCs w:val="20"/>
                <w:lang w:val="pt-BR"/>
              </w:rPr>
              <w:t xml:space="preserve">APÊNDICE </w:t>
            </w:r>
            <w:r w:rsidR="00CE6488">
              <w:rPr>
                <w:rFonts w:asciiTheme="majorHAnsi" w:hAnsiTheme="majorHAnsi"/>
                <w:sz w:val="20"/>
                <w:szCs w:val="20"/>
                <w:lang w:val="pt-BR"/>
              </w:rPr>
              <w:t>E</w:t>
            </w:r>
            <w:r w:rsidRPr="00322277">
              <w:rPr>
                <w:rStyle w:val="NegritoVersaleteChar"/>
                <w:b w:val="0"/>
                <w:i w:val="0"/>
                <w:smallCaps w:val="0"/>
                <w:color w:val="auto"/>
                <w:sz w:val="20"/>
                <w:lang w:val="pt-BR"/>
              </w:rPr>
              <w:t xml:space="preserve"> – Dimensionamento da Capacidade de Resposta</w:t>
            </w:r>
          </w:p>
        </w:tc>
      </w:tr>
      <w:tr w:rsidR="00322277" w:rsidRPr="0027054E" w14:paraId="19E28835"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37713210" w14:textId="77777777" w:rsidR="00322277" w:rsidRPr="0070789E" w:rsidRDefault="00322277"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 Recursos materiais para plataforma</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0C9A635C" w14:textId="5EA87AE8" w:rsidR="00322277" w:rsidRPr="00322277" w:rsidRDefault="00322277" w:rsidP="00CE6488">
            <w:pPr>
              <w:pStyle w:val="TableParagraph"/>
              <w:tabs>
                <w:tab w:val="left" w:pos="10490"/>
              </w:tabs>
              <w:spacing w:before="60" w:after="60"/>
              <w:ind w:left="130" w:right="284"/>
              <w:rPr>
                <w:rFonts w:asciiTheme="majorHAnsi" w:hAnsiTheme="majorHAnsi"/>
                <w:sz w:val="20"/>
                <w:szCs w:val="20"/>
                <w:lang w:val="pt-BR"/>
              </w:rPr>
            </w:pPr>
            <w:r w:rsidRPr="00322277">
              <w:rPr>
                <w:rFonts w:asciiTheme="majorHAnsi" w:hAnsiTheme="majorHAnsi"/>
                <w:sz w:val="20"/>
                <w:szCs w:val="20"/>
                <w:lang w:val="pt-BR"/>
              </w:rPr>
              <w:t xml:space="preserve">APÊNDICE </w:t>
            </w:r>
            <w:r w:rsidR="00CE6488">
              <w:rPr>
                <w:rFonts w:asciiTheme="majorHAnsi" w:hAnsiTheme="majorHAnsi"/>
                <w:sz w:val="20"/>
                <w:szCs w:val="20"/>
                <w:lang w:val="pt-BR"/>
              </w:rPr>
              <w:t>E</w:t>
            </w:r>
            <w:r w:rsidRPr="00322277">
              <w:rPr>
                <w:rStyle w:val="NegritoVersaleteChar"/>
                <w:b w:val="0"/>
                <w:i w:val="0"/>
                <w:smallCaps w:val="0"/>
                <w:color w:val="auto"/>
                <w:sz w:val="20"/>
                <w:lang w:val="pt-BR"/>
              </w:rPr>
              <w:t xml:space="preserve"> – Dimensionamento da Capacidade de Resposta</w:t>
            </w:r>
          </w:p>
        </w:tc>
      </w:tr>
    </w:tbl>
    <w:p w14:paraId="22900D2E" w14:textId="77777777" w:rsidR="005E32C0" w:rsidRPr="00322277" w:rsidRDefault="005E32C0" w:rsidP="00150CAE">
      <w:pPr>
        <w:pStyle w:val="tier1Itext"/>
      </w:pPr>
    </w:p>
    <w:p w14:paraId="0B5672D5" w14:textId="77777777" w:rsidR="00150CAE" w:rsidRDefault="00150CAE" w:rsidP="00150CAE">
      <w:pPr>
        <w:pStyle w:val="tier1Itext"/>
        <w:sectPr w:rsidR="00150CAE" w:rsidSect="00656D39">
          <w:headerReference w:type="default" r:id="rId14"/>
          <w:footerReference w:type="default" r:id="rId15"/>
          <w:pgSz w:w="11906" w:h="16840" w:code="9"/>
          <w:pgMar w:top="1418" w:right="1418" w:bottom="1418" w:left="1418" w:header="170" w:footer="0" w:gutter="0"/>
          <w:pgNumType w:fmt="lowerRoman" w:start="1"/>
          <w:cols w:space="708"/>
          <w:docGrid w:linePitch="360"/>
        </w:sectPr>
      </w:pPr>
      <w:bookmarkStart w:id="2" w:name="_Toc391298539"/>
      <w:bookmarkStart w:id="3" w:name="_Toc391299266"/>
      <w:bookmarkStart w:id="4" w:name="_Toc391298540"/>
      <w:bookmarkStart w:id="5" w:name="_Toc391299267"/>
      <w:bookmarkStart w:id="6" w:name="_Toc391298541"/>
      <w:bookmarkStart w:id="7" w:name="_Toc391299268"/>
      <w:bookmarkStart w:id="8" w:name="_Toc391298546"/>
      <w:bookmarkStart w:id="9" w:name="_Toc391299273"/>
      <w:bookmarkStart w:id="10" w:name="_Toc391298547"/>
      <w:bookmarkStart w:id="11" w:name="_Toc391299274"/>
      <w:bookmarkStart w:id="12" w:name="_Toc391298548"/>
      <w:bookmarkStart w:id="13" w:name="_Toc391299275"/>
      <w:bookmarkStart w:id="14" w:name="_Toc391298549"/>
      <w:bookmarkStart w:id="15" w:name="_Toc391299276"/>
      <w:bookmarkStart w:id="16" w:name="_Toc400041385"/>
      <w:bookmarkStart w:id="17" w:name="_Toc330559647"/>
      <w:bookmarkEnd w:id="2"/>
      <w:bookmarkEnd w:id="3"/>
      <w:bookmarkEnd w:id="4"/>
      <w:bookmarkEnd w:id="5"/>
      <w:bookmarkEnd w:id="6"/>
      <w:bookmarkEnd w:id="7"/>
      <w:bookmarkEnd w:id="8"/>
      <w:bookmarkEnd w:id="9"/>
      <w:bookmarkEnd w:id="10"/>
      <w:bookmarkEnd w:id="11"/>
      <w:bookmarkEnd w:id="12"/>
      <w:bookmarkEnd w:id="13"/>
      <w:bookmarkEnd w:id="14"/>
      <w:bookmarkEnd w:id="15"/>
    </w:p>
    <w:p w14:paraId="0E80160C" w14:textId="77777777" w:rsidR="0039465D" w:rsidRPr="00CE6488" w:rsidRDefault="00C070E1" w:rsidP="00C3335E">
      <w:pPr>
        <w:pStyle w:val="Ttulo1"/>
      </w:pPr>
      <w:bookmarkStart w:id="18" w:name="_Ref414612756"/>
      <w:bookmarkStart w:id="19" w:name="_Ref414612993"/>
      <w:bookmarkStart w:id="20" w:name="_Toc527990399"/>
      <w:r w:rsidRPr="00CE6488">
        <w:lastRenderedPageBreak/>
        <w:t>INTROD</w:t>
      </w:r>
      <w:bookmarkEnd w:id="16"/>
      <w:r w:rsidR="000F3DA6" w:rsidRPr="00CE6488">
        <w:t>UÇÃO</w:t>
      </w:r>
      <w:bookmarkEnd w:id="18"/>
      <w:bookmarkEnd w:id="19"/>
      <w:bookmarkEnd w:id="20"/>
    </w:p>
    <w:p w14:paraId="62DA7478" w14:textId="7C797DF3" w:rsidR="00707CE1" w:rsidRPr="00EE0E12" w:rsidRDefault="00707CE1" w:rsidP="00723A97">
      <w:pPr>
        <w:pStyle w:val="tier1Itext"/>
      </w:pPr>
      <w:r w:rsidRPr="00EE0E12">
        <w:t>O presente documento constitui o Plano de Emergência Individual para incidentes de poluição por óleo</w:t>
      </w:r>
      <w:r w:rsidRPr="00EE0E12">
        <w:rPr>
          <w:b/>
        </w:rPr>
        <w:t xml:space="preserve"> </w:t>
      </w:r>
      <w:r w:rsidRPr="00EE0E12">
        <w:t xml:space="preserve">no mar, eventualmente originados durante a atividade </w:t>
      </w:r>
      <w:r w:rsidR="0049107D">
        <w:t xml:space="preserve">da unidade de perfuração ENSCO DS-9 na </w:t>
      </w:r>
      <w:r w:rsidRPr="00EE0E12">
        <w:t>perfuração marítima exploratória da BP Energy do Brasil Ltda. no Bloco FZA-M-59, situado no setor SFZA-AP1 da Bacia de Foz do Amazonas (FZA) (</w:t>
      </w:r>
      <w:r w:rsidRPr="00EE0E12">
        <w:rPr>
          <w:b/>
        </w:rPr>
        <w:fldChar w:fldCharType="begin"/>
      </w:r>
      <w:r w:rsidRPr="00EE0E12">
        <w:rPr>
          <w:b/>
        </w:rPr>
        <w:instrText xml:space="preserve"> REF _Ref408493338 \h  \* MERGEFORMAT </w:instrText>
      </w:r>
      <w:r w:rsidRPr="00EE0E12">
        <w:rPr>
          <w:b/>
        </w:rPr>
      </w:r>
      <w:r w:rsidRPr="00EE0E12">
        <w:rPr>
          <w:b/>
        </w:rPr>
        <w:fldChar w:fldCharType="separate"/>
      </w:r>
      <w:r w:rsidR="00A50E67" w:rsidRPr="00A50E67">
        <w:rPr>
          <w:b/>
        </w:rPr>
        <w:t xml:space="preserve">Figura </w:t>
      </w:r>
      <w:r w:rsidR="00A50E67" w:rsidRPr="00A50E67">
        <w:rPr>
          <w:b/>
          <w:noProof/>
        </w:rPr>
        <w:t>1</w:t>
      </w:r>
      <w:r w:rsidRPr="00EE0E12">
        <w:rPr>
          <w:b/>
        </w:rPr>
        <w:fldChar w:fldCharType="end"/>
      </w:r>
      <w:r w:rsidRPr="00B22B6F">
        <w:t>)</w:t>
      </w:r>
      <w:r w:rsidRPr="00EE0E12">
        <w:t>.</w:t>
      </w:r>
    </w:p>
    <w:p w14:paraId="71B2FC94" w14:textId="77777777" w:rsidR="00707CE1" w:rsidRPr="00EE0E12" w:rsidRDefault="00946134" w:rsidP="00946134">
      <w:pPr>
        <w:pStyle w:val="tier1Itext"/>
        <w:spacing w:before="0" w:after="0" w:line="240" w:lineRule="auto"/>
      </w:pPr>
      <w:r>
        <w:rPr>
          <w:noProof/>
          <w:lang w:val="en-US"/>
        </w:rPr>
        <w:drawing>
          <wp:inline distT="0" distB="0" distL="0" distR="0" wp14:anchorId="4E8D5A98" wp14:editId="3D056130">
            <wp:extent cx="5754900" cy="4072131"/>
            <wp:effectExtent l="0" t="0" r="0" b="508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atricia.meg\AppData\Roaming\Skype\pat.meg\media_messaging\media_cache\^BC295634264D935D9866D8C2319BA6D470254811FF7BB9FF7B^pimgpsh_fullsize_distr.jpg"/>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5754900" cy="4072131"/>
                    </a:xfrm>
                    <a:prstGeom prst="rect">
                      <a:avLst/>
                    </a:prstGeom>
                    <a:noFill/>
                    <a:ln>
                      <a:noFill/>
                    </a:ln>
                  </pic:spPr>
                </pic:pic>
              </a:graphicData>
            </a:graphic>
          </wp:inline>
        </w:drawing>
      </w:r>
    </w:p>
    <w:p w14:paraId="7A90A390" w14:textId="62ECBF2A" w:rsidR="00707CE1" w:rsidRPr="003252AA" w:rsidRDefault="00707CE1" w:rsidP="007C0F9B">
      <w:pPr>
        <w:pStyle w:val="Legenda"/>
        <w:spacing w:before="0" w:line="240" w:lineRule="auto"/>
      </w:pPr>
      <w:bookmarkStart w:id="21" w:name="_Ref408493338"/>
      <w:bookmarkStart w:id="22" w:name="_Toc409019694"/>
      <w:bookmarkStart w:id="23" w:name="_Toc413412283"/>
      <w:bookmarkStart w:id="24" w:name="_Toc413663928"/>
      <w:bookmarkStart w:id="25" w:name="_Toc527990448"/>
      <w:r w:rsidRPr="003252AA">
        <w:t xml:space="preserve">Figura </w:t>
      </w:r>
      <w:fldSimple w:instr=" SEQ Figura \* ARABIC ">
        <w:r w:rsidR="00A50E67">
          <w:rPr>
            <w:noProof/>
          </w:rPr>
          <w:t>1</w:t>
        </w:r>
      </w:fldSimple>
      <w:bookmarkEnd w:id="21"/>
      <w:r w:rsidRPr="003252AA">
        <w:t>: Bloco FZA-M-59, Bacia da Foz do Rio Amazonas (FZA)</w:t>
      </w:r>
      <w:bookmarkEnd w:id="22"/>
      <w:r w:rsidR="007C0F9B" w:rsidRPr="003252AA">
        <w:t xml:space="preserve"> (</w:t>
      </w:r>
      <w:r w:rsidR="00B86422">
        <w:t>Fonte: Witt|O’Brien’s</w:t>
      </w:r>
      <w:r w:rsidR="007C0F9B" w:rsidRPr="003252AA">
        <w:t>)</w:t>
      </w:r>
      <w:r w:rsidRPr="003252AA">
        <w:t>.</w:t>
      </w:r>
      <w:bookmarkEnd w:id="23"/>
      <w:bookmarkEnd w:id="24"/>
      <w:bookmarkEnd w:id="25"/>
    </w:p>
    <w:p w14:paraId="19DFB770" w14:textId="42DC0368" w:rsidR="00707CE1" w:rsidRPr="00EE0E12" w:rsidRDefault="00707CE1" w:rsidP="007C0F9B">
      <w:pPr>
        <w:pStyle w:val="tier1Itext"/>
        <w:spacing w:before="360"/>
      </w:pPr>
      <w:r w:rsidRPr="00EE0E12">
        <w:t>Em conformidade com a Resolução CONAMA n° 398, de 11 de junho de 2008, este Plano define as atribuições e responsabilidades dos membros da Estrutura Organizacional de Resposta (EOR) à emergência</w:t>
      </w:r>
      <w:r w:rsidR="00B07A0A">
        <w:t>s</w:t>
      </w:r>
      <w:r w:rsidRPr="00EE0E12">
        <w:t xml:space="preserve"> da BP</w:t>
      </w:r>
      <w:r w:rsidR="00BA4A90">
        <w:t xml:space="preserve"> Energy do Brasil (BP Energy)</w:t>
      </w:r>
      <w:r w:rsidRPr="00EE0E12">
        <w:t xml:space="preserve">; </w:t>
      </w:r>
      <w:r w:rsidR="0049107D">
        <w:t xml:space="preserve">apresenta as funções exercidas pelo membros da ENSCO a bordo da DS-9; </w:t>
      </w:r>
      <w:r w:rsidRPr="00EE0E12">
        <w:t xml:space="preserve">lista os recursos </w:t>
      </w:r>
      <w:r w:rsidR="00B07A0A">
        <w:t xml:space="preserve">humanos e </w:t>
      </w:r>
      <w:r w:rsidRPr="00EE0E12">
        <w:t xml:space="preserve">materiais previstos para a implementação das ações de resposta; e descreve os procedimentos de gerenciamento e de resposta tática </w:t>
      </w:r>
      <w:r w:rsidR="0049107D">
        <w:t>a</w:t>
      </w:r>
      <w:r w:rsidRPr="00EE0E12">
        <w:t xml:space="preserve"> emergência</w:t>
      </w:r>
      <w:r w:rsidR="0049107D">
        <w:t>s com vazamento de óleo</w:t>
      </w:r>
      <w:r w:rsidRPr="00EE0E12">
        <w:t>.</w:t>
      </w:r>
    </w:p>
    <w:p w14:paraId="368CFB5C" w14:textId="50634E69" w:rsidR="00707CE1" w:rsidRPr="00EE0E12" w:rsidRDefault="00707CE1" w:rsidP="00723A97">
      <w:pPr>
        <w:pStyle w:val="tier1Itext"/>
      </w:pPr>
      <w:r w:rsidRPr="00EE0E12">
        <w:t xml:space="preserve">Cabe salientar que as ações previstas neste Plano foram planejadas para atendimento aos cenários acidentais inerentes às operações da unidade </w:t>
      </w:r>
      <w:r w:rsidR="00BA4A90" w:rsidRPr="00C45C9A">
        <w:t>de perfuração</w:t>
      </w:r>
      <w:r w:rsidRPr="00EE0E12">
        <w:t>, e para aqueles envolvendo as embarcações que suportarão as atividades de perfuração</w:t>
      </w:r>
      <w:r w:rsidR="0049107D">
        <w:t xml:space="preserve">, quando em operação junto a esta unidade,  </w:t>
      </w:r>
      <w:r w:rsidRPr="00EE0E12">
        <w:t xml:space="preserve">quando resultarem em </w:t>
      </w:r>
      <w:r w:rsidR="0049107D">
        <w:t xml:space="preserve">eventos de </w:t>
      </w:r>
      <w:r w:rsidRPr="00EE0E12">
        <w:t>poluição por óleo no mar.</w:t>
      </w:r>
    </w:p>
    <w:p w14:paraId="5993D0B0" w14:textId="72DE0FE4" w:rsidR="00707CE1" w:rsidRPr="00EE0E12" w:rsidRDefault="00707CE1" w:rsidP="00723A97">
      <w:pPr>
        <w:pStyle w:val="tier1Itext"/>
      </w:pPr>
      <w:r w:rsidRPr="00EE0E12">
        <w:lastRenderedPageBreak/>
        <w:t xml:space="preserve">Este PEI não é aplicável, portanto, aos incidentes com derramamento de óleo restrito às instalações da unidade </w:t>
      </w:r>
      <w:r w:rsidR="00BA4A90">
        <w:t>de perfuração</w:t>
      </w:r>
      <w:r w:rsidR="00BA4A90" w:rsidRPr="00EE0E12">
        <w:t xml:space="preserve"> </w:t>
      </w:r>
      <w:r w:rsidRPr="00EE0E12">
        <w:t xml:space="preserve">e dos barcos de apoio, cujas respostas </w:t>
      </w:r>
      <w:r w:rsidR="00DC73C0">
        <w:t>estão</w:t>
      </w:r>
      <w:r w:rsidRPr="00EE0E12">
        <w:t xml:space="preserve"> contempladas nos </w:t>
      </w:r>
      <w:r w:rsidRPr="00EE0E12">
        <w:rPr>
          <w:i/>
        </w:rPr>
        <w:t xml:space="preserve">Shipboard Oil Pollution Emergency Plans </w:t>
      </w:r>
      <w:r w:rsidRPr="00EE0E12">
        <w:t>(SOPEPs) dessas instalações.</w:t>
      </w:r>
    </w:p>
    <w:p w14:paraId="16B9C8BB" w14:textId="2FADCB27" w:rsidR="00707CE1" w:rsidRDefault="00707CE1" w:rsidP="00723A97">
      <w:pPr>
        <w:pStyle w:val="tier1Itext"/>
      </w:pPr>
      <w:r w:rsidRPr="00EE0E12">
        <w:t>Da mesma forma, também não estão contempladas as respostas aos incidentes ocorridos na instalação terrestre a ser utilizada como base de apoio logístico. Tais incidentes serão combatidos no âmbito do Plano de Emergência Individual d</w:t>
      </w:r>
      <w:r w:rsidR="00BA4A90">
        <w:t>est</w:t>
      </w:r>
      <w:r w:rsidRPr="00EE0E12">
        <w:t>a unidade.</w:t>
      </w:r>
    </w:p>
    <w:p w14:paraId="39577248" w14:textId="77777777" w:rsidR="00DC73C0" w:rsidRPr="00EE0E12" w:rsidRDefault="00DC73C0" w:rsidP="00723A97">
      <w:pPr>
        <w:pStyle w:val="tier1Itext"/>
      </w:pPr>
    </w:p>
    <w:p w14:paraId="70566AC6" w14:textId="77777777" w:rsidR="000F3DA6" w:rsidRPr="00CE6488" w:rsidRDefault="000F3DA6" w:rsidP="00C3335E">
      <w:pPr>
        <w:pStyle w:val="Ttulo1"/>
        <w:rPr>
          <w:lang w:val="pt-BR"/>
        </w:rPr>
      </w:pPr>
      <w:bookmarkStart w:id="26" w:name="_Ref414611892"/>
      <w:bookmarkStart w:id="27" w:name="_Ref414611898"/>
      <w:bookmarkStart w:id="28" w:name="_Ref414611906"/>
      <w:bookmarkStart w:id="29" w:name="_Ref414611934"/>
      <w:bookmarkStart w:id="30" w:name="_Ref414612112"/>
      <w:bookmarkStart w:id="31" w:name="_Ref414612128"/>
      <w:bookmarkStart w:id="32" w:name="_Toc527990400"/>
      <w:r w:rsidRPr="00CE6488">
        <w:rPr>
          <w:lang w:val="pt-BR"/>
        </w:rPr>
        <w:t>IDENTIFICAÇÃO DA INSTALAÇÃO E CARACTERIZAÇÃO DAS ATIVIDADES</w:t>
      </w:r>
      <w:bookmarkEnd w:id="26"/>
      <w:bookmarkEnd w:id="27"/>
      <w:bookmarkEnd w:id="28"/>
      <w:bookmarkEnd w:id="29"/>
      <w:bookmarkEnd w:id="30"/>
      <w:bookmarkEnd w:id="31"/>
      <w:bookmarkEnd w:id="32"/>
    </w:p>
    <w:p w14:paraId="3E4B1AA7" w14:textId="75331B7F" w:rsidR="00707CE1" w:rsidRPr="005A6D9E" w:rsidRDefault="00707CE1" w:rsidP="00723A97">
      <w:pPr>
        <w:pStyle w:val="tier1Itext"/>
      </w:pPr>
      <w:r w:rsidRPr="00EE0E12">
        <w:t>Durante a 11ª Rodada de Licitações da Agência Nacional do Petróleo, Gás e Biocombustíveis (ANP), realizada em 2013, a BP Energy</w:t>
      </w:r>
      <w:r w:rsidRPr="00B43B3F">
        <w:t xml:space="preserve"> obteve</w:t>
      </w:r>
      <w:r w:rsidRPr="00EE0E12">
        <w:t xml:space="preserve"> a concessão do Bloco FZA-M-59, em parceira com a Petróleo Brasileiro S.A.</w:t>
      </w:r>
      <w:r w:rsidR="005A6D9E">
        <w:t xml:space="preserve"> (Petrobras).</w:t>
      </w:r>
      <w:r w:rsidRPr="00EE0E12">
        <w:t xml:space="preserve"> Com 70% de participação no ativo, a BP Energy atuará como empresa operadora durante a atividade de perfuração marítima de poços no Bloco. Neste contexto, e em atendimento à Resolução CONAMA n° 398/2008, a </w:t>
      </w:r>
      <w:r w:rsidRPr="00EE0E12">
        <w:rPr>
          <w:b/>
        </w:rPr>
        <w:fldChar w:fldCharType="begin"/>
      </w:r>
      <w:r w:rsidRPr="00EE0E12">
        <w:rPr>
          <w:b/>
        </w:rPr>
        <w:instrText xml:space="preserve"> REF _Ref412568101 \h  \* MERGEFORMAT </w:instrText>
      </w:r>
      <w:r w:rsidRPr="00EE0E12">
        <w:rPr>
          <w:b/>
        </w:rPr>
      </w:r>
      <w:r w:rsidRPr="00EE0E12">
        <w:rPr>
          <w:b/>
        </w:rPr>
        <w:fldChar w:fldCharType="separate"/>
      </w:r>
      <w:r w:rsidR="00A50E67" w:rsidRPr="00A50E67">
        <w:rPr>
          <w:b/>
          <w:szCs w:val="22"/>
        </w:rPr>
        <w:t xml:space="preserve">Tabela </w:t>
      </w:r>
      <w:r w:rsidR="00A50E67" w:rsidRPr="00A50E67">
        <w:rPr>
          <w:b/>
          <w:noProof/>
          <w:szCs w:val="22"/>
        </w:rPr>
        <w:t>1</w:t>
      </w:r>
      <w:r w:rsidRPr="00EE0E12">
        <w:rPr>
          <w:b/>
        </w:rPr>
        <w:fldChar w:fldCharType="end"/>
      </w:r>
      <w:r w:rsidRPr="00EE0E12">
        <w:t xml:space="preserve"> e a </w:t>
      </w:r>
      <w:r w:rsidR="00C45C9A" w:rsidRPr="0085528A">
        <w:rPr>
          <w:b/>
        </w:rPr>
        <w:fldChar w:fldCharType="begin"/>
      </w:r>
      <w:r w:rsidR="00C45C9A" w:rsidRPr="0085528A">
        <w:rPr>
          <w:b/>
        </w:rPr>
        <w:instrText xml:space="preserve"> REF _Ref415057542 \h  \* MERGEFORMAT </w:instrText>
      </w:r>
      <w:r w:rsidR="00C45C9A" w:rsidRPr="0085528A">
        <w:rPr>
          <w:b/>
        </w:rPr>
      </w:r>
      <w:r w:rsidR="00C45C9A" w:rsidRPr="0085528A">
        <w:rPr>
          <w:b/>
        </w:rPr>
        <w:fldChar w:fldCharType="separate"/>
      </w:r>
      <w:r w:rsidR="00A50E67" w:rsidRPr="00A50E67">
        <w:rPr>
          <w:b/>
        </w:rPr>
        <w:t xml:space="preserve">Tabela </w:t>
      </w:r>
      <w:r w:rsidR="00A50E67" w:rsidRPr="00A50E67">
        <w:rPr>
          <w:b/>
          <w:noProof/>
        </w:rPr>
        <w:t>2</w:t>
      </w:r>
      <w:r w:rsidR="00C45C9A" w:rsidRPr="0085528A">
        <w:rPr>
          <w:b/>
        </w:rPr>
        <w:fldChar w:fldCharType="end"/>
      </w:r>
      <w:r w:rsidR="0085528A">
        <w:t xml:space="preserve"> </w:t>
      </w:r>
      <w:r w:rsidRPr="00EE0E12">
        <w:t>apresentam respectivamente os dados cadastrais da BP Energy</w:t>
      </w:r>
      <w:r w:rsidR="004C0B64">
        <w:t>,</w:t>
      </w:r>
      <w:r w:rsidRPr="00EE0E12">
        <w:t xml:space="preserve"> </w:t>
      </w:r>
      <w:r w:rsidR="004C414F">
        <w:t xml:space="preserve">e os dados </w:t>
      </w:r>
      <w:r w:rsidRPr="00EE0E12">
        <w:t>do seu Representante Legal</w:t>
      </w:r>
      <w:r w:rsidR="00194801">
        <w:rPr>
          <w:rStyle w:val="Refdenotaderodap"/>
        </w:rPr>
        <w:footnoteReference w:id="2"/>
      </w:r>
      <w:r w:rsidR="00194801">
        <w:t xml:space="preserve"> </w:t>
      </w:r>
      <w:r w:rsidRPr="00EE0E12">
        <w:t xml:space="preserve">e do Responsável Técnico. O Coordenador das Ações de Resposta é representado por uma posição específica no Sistema de Gerenciamento de Incidentes da BP Energy, o Comandante do Incidente (IC </w:t>
      </w:r>
      <w:r w:rsidR="004C0B64">
        <w:t>–</w:t>
      </w:r>
      <w:r w:rsidRPr="00EE0E12">
        <w:t xml:space="preserve"> </w:t>
      </w:r>
      <w:r w:rsidRPr="00EE0E12">
        <w:rPr>
          <w:i/>
        </w:rPr>
        <w:t>Incident Commander</w:t>
      </w:r>
      <w:r w:rsidRPr="00EE0E12">
        <w:t>)</w:t>
      </w:r>
      <w:r w:rsidR="004C0B64">
        <w:t>,</w:t>
      </w:r>
      <w:r w:rsidRPr="00EE0E12">
        <w:t xml:space="preserve"> no momento da ocorrência de um vazamento, dentre as pessoas de seu corpo técnico, treinadas e capacitadas para </w:t>
      </w:r>
      <w:r w:rsidR="00DC73C0">
        <w:t>exercerem</w:t>
      </w:r>
      <w:r w:rsidR="004C0B64" w:rsidRPr="00EE0E12">
        <w:t xml:space="preserve"> </w:t>
      </w:r>
      <w:r w:rsidRPr="00EE0E12">
        <w:t>esta posição.</w:t>
      </w:r>
    </w:p>
    <w:tbl>
      <w:tblPr>
        <w:tblW w:w="5000" w:type="pct"/>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left w:w="70" w:type="dxa"/>
          <w:right w:w="70" w:type="dxa"/>
        </w:tblCellMar>
        <w:tblLook w:val="04A0" w:firstRow="1" w:lastRow="0" w:firstColumn="1" w:lastColumn="0" w:noHBand="0" w:noVBand="1"/>
      </w:tblPr>
      <w:tblGrid>
        <w:gridCol w:w="4236"/>
        <w:gridCol w:w="4788"/>
      </w:tblGrid>
      <w:tr w:rsidR="00707CE1" w:rsidRPr="002C2D05" w14:paraId="55C833DE" w14:textId="77777777" w:rsidTr="008766E9">
        <w:trPr>
          <w:trHeight w:val="340"/>
          <w:tblHeader/>
        </w:trPr>
        <w:tc>
          <w:tcPr>
            <w:tcW w:w="5000" w:type="pct"/>
            <w:gridSpan w:val="2"/>
            <w:tcBorders>
              <w:top w:val="single" w:sz="18" w:space="0" w:color="FFFFFF"/>
              <w:left w:val="single" w:sz="18" w:space="0" w:color="FFFFFF"/>
              <w:bottom w:val="single" w:sz="18" w:space="0" w:color="FFFFFF"/>
              <w:right w:val="single" w:sz="18" w:space="0" w:color="FFFFFF"/>
            </w:tcBorders>
            <w:shd w:val="clear" w:color="auto" w:fill="auto"/>
            <w:noWrap/>
            <w:vAlign w:val="bottom"/>
            <w:hideMark/>
          </w:tcPr>
          <w:p w14:paraId="624A41B9" w14:textId="21FF504C" w:rsidR="00707CE1" w:rsidRPr="00EE0E12" w:rsidRDefault="00707CE1" w:rsidP="008766E9">
            <w:pPr>
              <w:pStyle w:val="Legenda"/>
              <w:spacing w:before="0" w:after="0" w:line="240" w:lineRule="auto"/>
              <w:jc w:val="left"/>
              <w:rPr>
                <w:rFonts w:cs="Calibri"/>
                <w:color w:val="FFFFFF"/>
              </w:rPr>
            </w:pPr>
            <w:bookmarkStart w:id="33" w:name="_Ref412568101"/>
            <w:bookmarkStart w:id="34" w:name="_Toc412642138"/>
            <w:bookmarkStart w:id="35" w:name="_Toc527990476"/>
            <w:r w:rsidRPr="00EE0E12">
              <w:t xml:space="preserve">Tabela </w:t>
            </w:r>
            <w:fldSimple w:instr=" SEQ Tabela \* ARABIC ">
              <w:r w:rsidR="00A50E67">
                <w:rPr>
                  <w:noProof/>
                </w:rPr>
                <w:t>1</w:t>
              </w:r>
            </w:fldSimple>
            <w:bookmarkEnd w:id="33"/>
            <w:r w:rsidRPr="00EE0E12">
              <w:t>: Informações da empresa operadora.</w:t>
            </w:r>
            <w:bookmarkEnd w:id="34"/>
            <w:bookmarkEnd w:id="35"/>
          </w:p>
        </w:tc>
      </w:tr>
      <w:tr w:rsidR="00707CE1" w:rsidRPr="002C2D05" w14:paraId="3AB7862D" w14:textId="77777777" w:rsidTr="00BB5D3B">
        <w:trPr>
          <w:trHeight w:val="283"/>
        </w:trPr>
        <w:tc>
          <w:tcPr>
            <w:tcW w:w="2347" w:type="pct"/>
            <w:tcBorders>
              <w:top w:val="single" w:sz="18" w:space="0" w:color="FFFFFF"/>
              <w:left w:val="single" w:sz="18" w:space="0" w:color="FFFFFF"/>
              <w:right w:val="single" w:sz="18" w:space="0" w:color="FFFFFF"/>
            </w:tcBorders>
            <w:shd w:val="clear" w:color="auto" w:fill="1F497D"/>
            <w:vAlign w:val="center"/>
          </w:tcPr>
          <w:p w14:paraId="7C7AA76F" w14:textId="77777777" w:rsidR="00707CE1" w:rsidRPr="00EE0E12" w:rsidRDefault="00707CE1" w:rsidP="00BB5D3B">
            <w:pPr>
              <w:pStyle w:val="TableParagraph"/>
              <w:tabs>
                <w:tab w:val="left" w:pos="10490"/>
              </w:tabs>
              <w:ind w:left="130" w:right="284"/>
              <w:jc w:val="both"/>
              <w:rPr>
                <w:rFonts w:asciiTheme="majorHAnsi" w:hAnsiTheme="majorHAnsi"/>
                <w:b/>
                <w:bCs/>
                <w:color w:val="FFFFFF"/>
                <w:sz w:val="20"/>
                <w:szCs w:val="20"/>
                <w:lang w:val="pt-BR"/>
              </w:rPr>
            </w:pPr>
            <w:r w:rsidRPr="00EE0E12">
              <w:rPr>
                <w:rFonts w:asciiTheme="majorHAnsi" w:hAnsiTheme="majorHAnsi"/>
                <w:b/>
                <w:bCs/>
                <w:color w:val="FFFFFF"/>
                <w:sz w:val="20"/>
                <w:szCs w:val="20"/>
                <w:lang w:val="pt-BR"/>
              </w:rPr>
              <w:t>Nome:</w:t>
            </w:r>
          </w:p>
        </w:tc>
        <w:tc>
          <w:tcPr>
            <w:tcW w:w="2653"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08763AB9" w14:textId="77777777" w:rsidR="00707CE1" w:rsidRPr="00EE0E12" w:rsidRDefault="00707CE1" w:rsidP="00BB5D3B">
            <w:pPr>
              <w:pStyle w:val="TableParagraph"/>
              <w:tabs>
                <w:tab w:val="left" w:pos="10490"/>
              </w:tabs>
              <w:ind w:left="130" w:right="284"/>
              <w:rPr>
                <w:rFonts w:asciiTheme="majorHAnsi" w:hAnsiTheme="majorHAnsi"/>
                <w:sz w:val="20"/>
                <w:szCs w:val="20"/>
                <w:highlight w:val="yellow"/>
                <w:lang w:val="pt-BR"/>
              </w:rPr>
            </w:pPr>
            <w:r w:rsidRPr="00EE0E12">
              <w:rPr>
                <w:rFonts w:asciiTheme="majorHAnsi" w:hAnsiTheme="majorHAnsi"/>
                <w:sz w:val="20"/>
                <w:szCs w:val="20"/>
                <w:lang w:val="pt-BR"/>
              </w:rPr>
              <w:t>BP Energy do Brasil Ltda.</w:t>
            </w:r>
          </w:p>
        </w:tc>
      </w:tr>
      <w:tr w:rsidR="00707CE1" w:rsidRPr="00F828F9" w14:paraId="3EC7C14C" w14:textId="77777777" w:rsidTr="00BB5D3B">
        <w:trPr>
          <w:trHeight w:val="20"/>
        </w:trPr>
        <w:tc>
          <w:tcPr>
            <w:tcW w:w="2347" w:type="pct"/>
            <w:tcBorders>
              <w:top w:val="single" w:sz="18" w:space="0" w:color="FFFFFF"/>
              <w:left w:val="single" w:sz="18" w:space="0" w:color="FFFFFF"/>
              <w:right w:val="single" w:sz="18" w:space="0" w:color="FFFFFF"/>
            </w:tcBorders>
            <w:shd w:val="clear" w:color="auto" w:fill="1F497D"/>
            <w:vAlign w:val="center"/>
            <w:hideMark/>
          </w:tcPr>
          <w:p w14:paraId="2DA34451" w14:textId="77777777" w:rsidR="00707CE1" w:rsidRPr="00EE0E12" w:rsidRDefault="00707CE1" w:rsidP="00BB5D3B">
            <w:pPr>
              <w:pStyle w:val="TableParagraph"/>
              <w:tabs>
                <w:tab w:val="left" w:pos="10490"/>
              </w:tabs>
              <w:ind w:left="130" w:right="284"/>
              <w:jc w:val="both"/>
              <w:rPr>
                <w:rFonts w:asciiTheme="majorHAnsi" w:hAnsiTheme="majorHAnsi"/>
                <w:b/>
                <w:bCs/>
                <w:color w:val="FFFFFF"/>
                <w:sz w:val="20"/>
                <w:szCs w:val="20"/>
                <w:lang w:val="pt-BR"/>
              </w:rPr>
            </w:pPr>
            <w:r w:rsidRPr="00EE0E12">
              <w:rPr>
                <w:rFonts w:asciiTheme="majorHAnsi" w:hAnsiTheme="majorHAnsi"/>
                <w:b/>
                <w:bCs/>
                <w:color w:val="FFFFFF"/>
                <w:sz w:val="20"/>
                <w:szCs w:val="20"/>
                <w:lang w:val="pt-BR"/>
              </w:rPr>
              <w:t>Endereço:</w:t>
            </w:r>
          </w:p>
        </w:tc>
        <w:tc>
          <w:tcPr>
            <w:tcW w:w="2653"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6B809457" w14:textId="26D34F1C" w:rsidR="00707CE1" w:rsidRPr="00EE0E12" w:rsidRDefault="00707CE1" w:rsidP="00DC73C0">
            <w:pPr>
              <w:pStyle w:val="TableParagraph"/>
              <w:tabs>
                <w:tab w:val="left" w:pos="10490"/>
              </w:tabs>
              <w:ind w:left="130" w:right="284"/>
              <w:rPr>
                <w:rFonts w:asciiTheme="majorHAnsi" w:hAnsiTheme="majorHAnsi"/>
                <w:sz w:val="20"/>
                <w:szCs w:val="20"/>
                <w:highlight w:val="yellow"/>
                <w:lang w:val="pt-BR"/>
              </w:rPr>
            </w:pPr>
            <w:r w:rsidRPr="00EE0E12">
              <w:rPr>
                <w:rFonts w:asciiTheme="majorHAnsi" w:hAnsiTheme="majorHAnsi"/>
                <w:sz w:val="20"/>
                <w:szCs w:val="20"/>
                <w:lang w:val="pt-BR"/>
              </w:rPr>
              <w:t xml:space="preserve">Condomínio Mario Henrique Simonsen - Avenida das Américas, 3434, Bloco </w:t>
            </w:r>
            <w:r w:rsidR="00DC73C0">
              <w:rPr>
                <w:rFonts w:asciiTheme="majorHAnsi" w:hAnsiTheme="majorHAnsi"/>
                <w:sz w:val="20"/>
                <w:szCs w:val="20"/>
                <w:lang w:val="pt-BR"/>
              </w:rPr>
              <w:t>7</w:t>
            </w:r>
            <w:r w:rsidRPr="00EE0E12">
              <w:rPr>
                <w:rFonts w:asciiTheme="majorHAnsi" w:hAnsiTheme="majorHAnsi"/>
                <w:sz w:val="20"/>
                <w:szCs w:val="20"/>
                <w:lang w:val="pt-BR"/>
              </w:rPr>
              <w:t xml:space="preserve"> - </w:t>
            </w:r>
            <w:r w:rsidR="00DC73C0">
              <w:rPr>
                <w:rFonts w:asciiTheme="majorHAnsi" w:hAnsiTheme="majorHAnsi"/>
                <w:sz w:val="20"/>
                <w:szCs w:val="20"/>
                <w:lang w:val="pt-BR"/>
              </w:rPr>
              <w:t>3</w:t>
            </w:r>
            <w:r w:rsidRPr="00EE0E12">
              <w:rPr>
                <w:rFonts w:asciiTheme="majorHAnsi" w:hAnsiTheme="majorHAnsi"/>
                <w:sz w:val="20"/>
                <w:szCs w:val="20"/>
                <w:lang w:val="pt-BR"/>
              </w:rPr>
              <w:t>º andar - Barra da Tijuca, Rio de Janeiro/RJ – Cep: 22640-102</w:t>
            </w:r>
          </w:p>
        </w:tc>
      </w:tr>
      <w:tr w:rsidR="00707CE1" w:rsidRPr="00F45CBB" w14:paraId="57B2A6C8" w14:textId="77777777" w:rsidTr="00BB5D3B">
        <w:trPr>
          <w:trHeight w:val="20"/>
        </w:trPr>
        <w:tc>
          <w:tcPr>
            <w:tcW w:w="2347" w:type="pct"/>
            <w:tcBorders>
              <w:left w:val="single" w:sz="18" w:space="0" w:color="FFFFFF"/>
              <w:right w:val="single" w:sz="18" w:space="0" w:color="FFFFFF"/>
            </w:tcBorders>
            <w:shd w:val="clear" w:color="auto" w:fill="1F497D"/>
            <w:vAlign w:val="center"/>
          </w:tcPr>
          <w:p w14:paraId="104F4579" w14:textId="77777777" w:rsidR="00707CE1" w:rsidRPr="00EE0E12" w:rsidRDefault="00707CE1" w:rsidP="00BB5D3B">
            <w:pPr>
              <w:pStyle w:val="TableParagraph"/>
              <w:tabs>
                <w:tab w:val="left" w:pos="10490"/>
              </w:tabs>
              <w:ind w:left="130" w:right="284"/>
              <w:jc w:val="both"/>
              <w:rPr>
                <w:rFonts w:asciiTheme="majorHAnsi" w:hAnsiTheme="majorHAnsi"/>
                <w:b/>
                <w:bCs/>
                <w:color w:val="FFFFFF"/>
                <w:sz w:val="20"/>
                <w:szCs w:val="20"/>
                <w:lang w:val="pt-BR"/>
              </w:rPr>
            </w:pPr>
            <w:r w:rsidRPr="00EE0E12">
              <w:rPr>
                <w:rFonts w:asciiTheme="majorHAnsi" w:hAnsiTheme="majorHAnsi"/>
                <w:b/>
                <w:bCs/>
                <w:color w:val="FFFFFF"/>
                <w:sz w:val="20"/>
                <w:szCs w:val="20"/>
                <w:lang w:val="pt-BR"/>
              </w:rPr>
              <w:t>CNPJ:</w:t>
            </w:r>
          </w:p>
        </w:tc>
        <w:tc>
          <w:tcPr>
            <w:tcW w:w="2653"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4C28E3A9" w14:textId="77777777" w:rsidR="00707CE1" w:rsidRPr="00EE0E12" w:rsidRDefault="00707CE1" w:rsidP="00BB5D3B">
            <w:pPr>
              <w:pStyle w:val="TableParagraph"/>
              <w:tabs>
                <w:tab w:val="left" w:pos="10490"/>
              </w:tabs>
              <w:ind w:left="130" w:right="284"/>
              <w:rPr>
                <w:rFonts w:asciiTheme="majorHAnsi" w:hAnsiTheme="majorHAnsi"/>
                <w:sz w:val="20"/>
                <w:szCs w:val="20"/>
                <w:lang w:val="pt-BR"/>
              </w:rPr>
            </w:pPr>
            <w:r w:rsidRPr="00EE0E12">
              <w:rPr>
                <w:rFonts w:asciiTheme="majorHAnsi" w:hAnsiTheme="majorHAnsi" w:cs="TT1D8t00"/>
                <w:sz w:val="20"/>
                <w:szCs w:val="20"/>
              </w:rPr>
              <w:t>02.873.528/0001-09</w:t>
            </w:r>
          </w:p>
        </w:tc>
      </w:tr>
      <w:tr w:rsidR="00707CE1" w:rsidRPr="00F45CBB" w14:paraId="3A8FF7BE" w14:textId="77777777" w:rsidTr="00BB5D3B">
        <w:trPr>
          <w:trHeight w:val="20"/>
        </w:trPr>
        <w:tc>
          <w:tcPr>
            <w:tcW w:w="2347" w:type="pct"/>
            <w:tcBorders>
              <w:left w:val="single" w:sz="18" w:space="0" w:color="FFFFFF"/>
              <w:right w:val="single" w:sz="18" w:space="0" w:color="FFFFFF"/>
            </w:tcBorders>
            <w:shd w:val="clear" w:color="auto" w:fill="1F497D"/>
            <w:vAlign w:val="center"/>
          </w:tcPr>
          <w:p w14:paraId="7BB51F11" w14:textId="77777777" w:rsidR="00707CE1" w:rsidRPr="00EE0E12" w:rsidRDefault="00707CE1" w:rsidP="00BB5D3B">
            <w:pPr>
              <w:pStyle w:val="TableParagraph"/>
              <w:tabs>
                <w:tab w:val="left" w:pos="10490"/>
              </w:tabs>
              <w:ind w:left="130" w:right="284"/>
              <w:jc w:val="both"/>
              <w:rPr>
                <w:rFonts w:asciiTheme="majorHAnsi" w:hAnsiTheme="majorHAnsi"/>
                <w:b/>
                <w:bCs/>
                <w:color w:val="FFFFFF"/>
                <w:sz w:val="20"/>
                <w:szCs w:val="20"/>
                <w:lang w:val="pt-BR"/>
              </w:rPr>
            </w:pPr>
            <w:r w:rsidRPr="00EE0E12">
              <w:rPr>
                <w:rFonts w:asciiTheme="majorHAnsi" w:hAnsiTheme="majorHAnsi"/>
                <w:b/>
                <w:bCs/>
                <w:color w:val="FFFFFF"/>
                <w:sz w:val="20"/>
                <w:szCs w:val="20"/>
                <w:lang w:val="pt-BR"/>
              </w:rPr>
              <w:t>Cadastro Técnico Federal IBAMA de Atividades Potencialmente Poluidoras</w:t>
            </w:r>
          </w:p>
        </w:tc>
        <w:tc>
          <w:tcPr>
            <w:tcW w:w="2653"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6E75DC43" w14:textId="77777777" w:rsidR="00707CE1" w:rsidRPr="00EE0E12" w:rsidRDefault="00707CE1" w:rsidP="00BB5D3B">
            <w:pPr>
              <w:pStyle w:val="TableParagraph"/>
              <w:tabs>
                <w:tab w:val="left" w:pos="10490"/>
              </w:tabs>
              <w:ind w:left="130" w:right="284"/>
              <w:rPr>
                <w:rFonts w:asciiTheme="majorHAnsi" w:hAnsiTheme="majorHAnsi"/>
                <w:sz w:val="20"/>
                <w:szCs w:val="20"/>
                <w:highlight w:val="yellow"/>
                <w:lang w:val="pt-BR"/>
              </w:rPr>
            </w:pPr>
            <w:r w:rsidRPr="00EE0E12">
              <w:rPr>
                <w:rFonts w:asciiTheme="majorHAnsi" w:hAnsiTheme="majorHAnsi" w:cs="TT1D8t00"/>
                <w:sz w:val="20"/>
                <w:szCs w:val="20"/>
              </w:rPr>
              <w:t>27.847</w:t>
            </w:r>
          </w:p>
        </w:tc>
      </w:tr>
      <w:tr w:rsidR="00707CE1" w:rsidRPr="00F45CBB" w14:paraId="4F361173" w14:textId="77777777" w:rsidTr="00BB5D3B">
        <w:trPr>
          <w:trHeight w:val="283"/>
        </w:trPr>
        <w:tc>
          <w:tcPr>
            <w:tcW w:w="2347" w:type="pct"/>
            <w:tcBorders>
              <w:left w:val="single" w:sz="18" w:space="0" w:color="FFFFFF"/>
              <w:right w:val="single" w:sz="18" w:space="0" w:color="FFFFFF"/>
            </w:tcBorders>
            <w:shd w:val="clear" w:color="auto" w:fill="1F497D"/>
            <w:vAlign w:val="center"/>
          </w:tcPr>
          <w:p w14:paraId="4020022D" w14:textId="77777777" w:rsidR="00707CE1" w:rsidRPr="00EE0E12" w:rsidRDefault="00707CE1" w:rsidP="00BB5D3B">
            <w:pPr>
              <w:pStyle w:val="TableParagraph"/>
              <w:tabs>
                <w:tab w:val="left" w:pos="10490"/>
              </w:tabs>
              <w:ind w:left="130" w:right="284"/>
              <w:jc w:val="both"/>
              <w:rPr>
                <w:rFonts w:asciiTheme="majorHAnsi" w:hAnsiTheme="majorHAnsi"/>
                <w:b/>
                <w:bCs/>
                <w:color w:val="FFFFFF"/>
                <w:sz w:val="20"/>
                <w:szCs w:val="20"/>
                <w:lang w:val="pt-BR"/>
              </w:rPr>
            </w:pPr>
            <w:r w:rsidRPr="00EE0E12">
              <w:rPr>
                <w:rFonts w:asciiTheme="majorHAnsi" w:hAnsiTheme="majorHAnsi"/>
                <w:b/>
                <w:bCs/>
                <w:color w:val="FFFFFF"/>
                <w:sz w:val="20"/>
                <w:szCs w:val="20"/>
                <w:lang w:val="pt-BR"/>
              </w:rPr>
              <w:t>Telefone/Fax:</w:t>
            </w:r>
          </w:p>
        </w:tc>
        <w:tc>
          <w:tcPr>
            <w:tcW w:w="2653"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27003D22" w14:textId="276D00C0" w:rsidR="00707CE1" w:rsidRPr="00EE0E12" w:rsidRDefault="00707CE1" w:rsidP="00DC73C0">
            <w:pPr>
              <w:pStyle w:val="TableParagraph"/>
              <w:tabs>
                <w:tab w:val="left" w:pos="10490"/>
              </w:tabs>
              <w:ind w:left="130" w:right="284"/>
              <w:rPr>
                <w:rFonts w:asciiTheme="majorHAnsi" w:hAnsiTheme="majorHAnsi"/>
                <w:sz w:val="20"/>
                <w:szCs w:val="20"/>
                <w:highlight w:val="yellow"/>
                <w:lang w:val="pt-BR"/>
              </w:rPr>
            </w:pPr>
            <w:r w:rsidRPr="00EE0E12">
              <w:rPr>
                <w:rFonts w:asciiTheme="majorHAnsi" w:hAnsiTheme="majorHAnsi"/>
                <w:sz w:val="20"/>
                <w:szCs w:val="20"/>
                <w:lang w:val="pt-BR"/>
              </w:rPr>
              <w:t xml:space="preserve">+55 (21) </w:t>
            </w:r>
            <w:r w:rsidR="00DC73C0">
              <w:rPr>
                <w:rFonts w:asciiTheme="majorHAnsi" w:hAnsiTheme="majorHAnsi"/>
                <w:sz w:val="20"/>
                <w:szCs w:val="20"/>
                <w:lang w:val="pt-BR"/>
              </w:rPr>
              <w:t>3721-2700</w:t>
            </w:r>
            <w:r w:rsidRPr="00EE0E12">
              <w:rPr>
                <w:rFonts w:asciiTheme="majorHAnsi" w:hAnsiTheme="majorHAnsi"/>
                <w:sz w:val="20"/>
                <w:szCs w:val="20"/>
                <w:lang w:val="pt-BR"/>
              </w:rPr>
              <w:t xml:space="preserve"> / +55 (21) </w:t>
            </w:r>
            <w:r w:rsidR="00DC73C0">
              <w:rPr>
                <w:rFonts w:asciiTheme="majorHAnsi" w:hAnsiTheme="majorHAnsi"/>
                <w:sz w:val="20"/>
                <w:szCs w:val="20"/>
                <w:lang w:val="pt-BR"/>
              </w:rPr>
              <w:t>3721</w:t>
            </w:r>
            <w:r w:rsidRPr="00EE0E12">
              <w:rPr>
                <w:rFonts w:asciiTheme="majorHAnsi" w:hAnsiTheme="majorHAnsi"/>
                <w:sz w:val="20"/>
                <w:szCs w:val="20"/>
                <w:lang w:val="pt-BR"/>
              </w:rPr>
              <w:t>-</w:t>
            </w:r>
            <w:r w:rsidR="00DC73C0" w:rsidRPr="00DC73C0">
              <w:rPr>
                <w:rFonts w:asciiTheme="majorHAnsi" w:hAnsiTheme="majorHAnsi"/>
                <w:sz w:val="20"/>
                <w:szCs w:val="20"/>
                <w:lang w:val="pt-BR"/>
              </w:rPr>
              <w:t>2850</w:t>
            </w:r>
          </w:p>
        </w:tc>
      </w:tr>
    </w:tbl>
    <w:p w14:paraId="68484948" w14:textId="77777777" w:rsidR="00707CE1" w:rsidRPr="00194801" w:rsidRDefault="00707CE1" w:rsidP="004C414F">
      <w:pPr>
        <w:spacing w:after="240"/>
        <w:rPr>
          <w:rFonts w:asciiTheme="majorHAnsi" w:eastAsia="Times New Roman" w:hAnsiTheme="majorHAnsi" w:cs="Calibri"/>
          <w:szCs w:val="24"/>
          <w:lang w:eastAsia="en-US"/>
        </w:rPr>
      </w:pPr>
    </w:p>
    <w:tbl>
      <w:tblPr>
        <w:tblStyle w:val="Tabelacomgrade"/>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Look w:val="04A0" w:firstRow="1" w:lastRow="0" w:firstColumn="1" w:lastColumn="0" w:noHBand="0" w:noVBand="1"/>
      </w:tblPr>
      <w:tblGrid>
        <w:gridCol w:w="1627"/>
        <w:gridCol w:w="1293"/>
        <w:gridCol w:w="1804"/>
        <w:gridCol w:w="4316"/>
      </w:tblGrid>
      <w:tr w:rsidR="00707CE1" w:rsidRPr="00BB5D3B" w14:paraId="301C5133" w14:textId="77777777" w:rsidTr="00BB5D3B">
        <w:trPr>
          <w:cantSplit/>
          <w:trHeight w:val="340"/>
          <w:tblHeader/>
        </w:trPr>
        <w:tc>
          <w:tcPr>
            <w:tcW w:w="5000" w:type="pct"/>
            <w:gridSpan w:val="4"/>
            <w:shd w:val="clear" w:color="auto" w:fill="FFFFFF" w:themeFill="background1"/>
            <w:vAlign w:val="bottom"/>
          </w:tcPr>
          <w:p w14:paraId="38304D90" w14:textId="24162260" w:rsidR="00707CE1" w:rsidRPr="00EE6892" w:rsidRDefault="00EE6892" w:rsidP="00EE6892">
            <w:pPr>
              <w:pStyle w:val="Legenda"/>
              <w:spacing w:before="0" w:after="0" w:line="240" w:lineRule="auto"/>
              <w:jc w:val="both"/>
              <w:rPr>
                <w:szCs w:val="20"/>
              </w:rPr>
            </w:pPr>
            <w:bookmarkStart w:id="36" w:name="_Ref415057542"/>
            <w:bookmarkStart w:id="37" w:name="_Toc412642139"/>
            <w:bookmarkStart w:id="38" w:name="_Toc527990477"/>
            <w:r>
              <w:lastRenderedPageBreak/>
              <w:t xml:space="preserve">Tabela </w:t>
            </w:r>
            <w:fldSimple w:instr=" SEQ Tabela \* ARABIC ">
              <w:r w:rsidR="00A50E67">
                <w:rPr>
                  <w:noProof/>
                </w:rPr>
                <w:t>2</w:t>
              </w:r>
            </w:fldSimple>
            <w:bookmarkEnd w:id="36"/>
            <w:r w:rsidR="00707CE1" w:rsidRPr="00EE6892">
              <w:rPr>
                <w:szCs w:val="20"/>
              </w:rPr>
              <w:t>: Informações do Representante Legal</w:t>
            </w:r>
            <w:r w:rsidR="00D913B3">
              <w:rPr>
                <w:szCs w:val="20"/>
              </w:rPr>
              <w:t xml:space="preserve"> </w:t>
            </w:r>
            <w:r w:rsidR="004C414F" w:rsidRPr="00EE6892">
              <w:rPr>
                <w:szCs w:val="20"/>
              </w:rPr>
              <w:t xml:space="preserve">e do </w:t>
            </w:r>
            <w:r w:rsidR="00707CE1" w:rsidRPr="00EE6892">
              <w:rPr>
                <w:szCs w:val="20"/>
              </w:rPr>
              <w:t>Responsável Técnico.</w:t>
            </w:r>
            <w:bookmarkEnd w:id="37"/>
            <w:bookmarkEnd w:id="38"/>
          </w:p>
        </w:tc>
      </w:tr>
      <w:tr w:rsidR="00707CE1" w:rsidRPr="00BB5D3B" w14:paraId="69DF8485" w14:textId="77777777" w:rsidTr="00BB5D3B">
        <w:trPr>
          <w:cantSplit/>
          <w:trHeight w:val="400"/>
          <w:tblHeader/>
        </w:trPr>
        <w:tc>
          <w:tcPr>
            <w:tcW w:w="900" w:type="pct"/>
            <w:shd w:val="clear" w:color="auto" w:fill="1F497D"/>
            <w:vAlign w:val="center"/>
          </w:tcPr>
          <w:p w14:paraId="4963DABB" w14:textId="77777777" w:rsidR="00707CE1" w:rsidRPr="00EE6892" w:rsidRDefault="00707CE1" w:rsidP="004C414F">
            <w:pPr>
              <w:keepNext/>
              <w:keepLines/>
              <w:spacing w:before="0" w:line="240" w:lineRule="auto"/>
              <w:jc w:val="center"/>
              <w:rPr>
                <w:rFonts w:asciiTheme="majorHAnsi" w:hAnsiTheme="majorHAnsi" w:cs="Times New Roman"/>
                <w:b/>
                <w:color w:val="FFFFFF" w:themeColor="background1"/>
                <w:sz w:val="20"/>
                <w:szCs w:val="20"/>
                <w:lang w:eastAsia="pt-BR"/>
              </w:rPr>
            </w:pPr>
            <w:r w:rsidRPr="00EE6892">
              <w:rPr>
                <w:rFonts w:asciiTheme="majorHAnsi" w:hAnsiTheme="majorHAnsi" w:cs="Times New Roman"/>
                <w:b/>
                <w:color w:val="FFFFFF" w:themeColor="background1"/>
                <w:sz w:val="20"/>
                <w:szCs w:val="20"/>
                <w:lang w:eastAsia="pt-BR"/>
              </w:rPr>
              <w:t>Função</w:t>
            </w:r>
          </w:p>
        </w:tc>
        <w:tc>
          <w:tcPr>
            <w:tcW w:w="715" w:type="pct"/>
            <w:shd w:val="clear" w:color="auto" w:fill="1F497D"/>
            <w:vAlign w:val="center"/>
          </w:tcPr>
          <w:p w14:paraId="16CB2389" w14:textId="77777777" w:rsidR="00707CE1" w:rsidRPr="00EE6892" w:rsidRDefault="00707CE1" w:rsidP="004C414F">
            <w:pPr>
              <w:keepNext/>
              <w:keepLines/>
              <w:spacing w:before="0" w:line="240" w:lineRule="auto"/>
              <w:jc w:val="center"/>
              <w:rPr>
                <w:rFonts w:asciiTheme="majorHAnsi" w:hAnsiTheme="majorHAnsi" w:cs="Times New Roman"/>
                <w:b/>
                <w:color w:val="FFFFFF" w:themeColor="background1"/>
                <w:sz w:val="20"/>
                <w:szCs w:val="20"/>
                <w:lang w:eastAsia="pt-BR"/>
              </w:rPr>
            </w:pPr>
            <w:r w:rsidRPr="00EE6892">
              <w:rPr>
                <w:rFonts w:asciiTheme="majorHAnsi" w:hAnsiTheme="majorHAnsi" w:cs="Times New Roman"/>
                <w:b/>
                <w:color w:val="FFFFFF" w:themeColor="background1"/>
                <w:sz w:val="20"/>
                <w:szCs w:val="20"/>
                <w:lang w:eastAsia="pt-BR"/>
              </w:rPr>
              <w:t>Nome</w:t>
            </w:r>
          </w:p>
        </w:tc>
        <w:tc>
          <w:tcPr>
            <w:tcW w:w="998" w:type="pct"/>
            <w:shd w:val="clear" w:color="auto" w:fill="1F497D"/>
            <w:vAlign w:val="center"/>
          </w:tcPr>
          <w:p w14:paraId="0A1EEBF4" w14:textId="77777777" w:rsidR="00707CE1" w:rsidRPr="00EE6892" w:rsidRDefault="00707CE1" w:rsidP="004C414F">
            <w:pPr>
              <w:keepNext/>
              <w:keepLines/>
              <w:spacing w:before="0" w:line="240" w:lineRule="auto"/>
              <w:jc w:val="center"/>
              <w:rPr>
                <w:rFonts w:asciiTheme="majorHAnsi" w:hAnsiTheme="majorHAnsi" w:cs="Times New Roman"/>
                <w:b/>
                <w:color w:val="FFFFFF" w:themeColor="background1"/>
                <w:sz w:val="20"/>
                <w:szCs w:val="20"/>
                <w:lang w:eastAsia="pt-BR"/>
              </w:rPr>
            </w:pPr>
            <w:r w:rsidRPr="00EE6892">
              <w:rPr>
                <w:rFonts w:asciiTheme="majorHAnsi" w:hAnsiTheme="majorHAnsi" w:cs="Times New Roman"/>
                <w:b/>
                <w:color w:val="FFFFFF" w:themeColor="background1"/>
                <w:sz w:val="20"/>
                <w:szCs w:val="20"/>
                <w:lang w:eastAsia="pt-BR"/>
              </w:rPr>
              <w:t>CPF</w:t>
            </w:r>
          </w:p>
        </w:tc>
        <w:tc>
          <w:tcPr>
            <w:tcW w:w="2387" w:type="pct"/>
            <w:shd w:val="clear" w:color="auto" w:fill="1F497D"/>
            <w:vAlign w:val="center"/>
          </w:tcPr>
          <w:p w14:paraId="5F4EB76C" w14:textId="77777777" w:rsidR="00707CE1" w:rsidRPr="00EE6892" w:rsidRDefault="00707CE1" w:rsidP="004C414F">
            <w:pPr>
              <w:keepNext/>
              <w:keepLines/>
              <w:spacing w:before="0" w:line="240" w:lineRule="auto"/>
              <w:jc w:val="center"/>
              <w:rPr>
                <w:rFonts w:asciiTheme="majorHAnsi" w:hAnsiTheme="majorHAnsi" w:cs="Times New Roman"/>
                <w:b/>
                <w:color w:val="FFFFFF" w:themeColor="background1"/>
                <w:sz w:val="20"/>
                <w:szCs w:val="20"/>
                <w:lang w:eastAsia="pt-BR"/>
              </w:rPr>
            </w:pPr>
            <w:r w:rsidRPr="00EE6892">
              <w:rPr>
                <w:rFonts w:asciiTheme="majorHAnsi" w:hAnsiTheme="majorHAnsi" w:cs="Times New Roman"/>
                <w:b/>
                <w:color w:val="FFFFFF" w:themeColor="background1"/>
                <w:sz w:val="20"/>
                <w:szCs w:val="20"/>
                <w:lang w:eastAsia="pt-BR"/>
              </w:rPr>
              <w:t>Contato/Endereço</w:t>
            </w:r>
          </w:p>
        </w:tc>
      </w:tr>
      <w:tr w:rsidR="00707CE1" w:rsidRPr="00BB5D3B" w14:paraId="4EA3C1AE" w14:textId="77777777" w:rsidTr="00BB5D3B">
        <w:trPr>
          <w:cantSplit/>
        </w:trPr>
        <w:tc>
          <w:tcPr>
            <w:tcW w:w="900" w:type="pct"/>
            <w:shd w:val="clear" w:color="auto" w:fill="D9D9D9" w:themeFill="background1" w:themeFillShade="D9"/>
            <w:vAlign w:val="center"/>
          </w:tcPr>
          <w:p w14:paraId="3EEBDDCC" w14:textId="77777777" w:rsidR="00707CE1" w:rsidRPr="00EE6892" w:rsidRDefault="00707CE1" w:rsidP="004C414F">
            <w:pPr>
              <w:pStyle w:val="tier1Itext"/>
              <w:spacing w:before="0" w:after="0" w:line="240" w:lineRule="auto"/>
              <w:rPr>
                <w:sz w:val="20"/>
                <w:szCs w:val="20"/>
              </w:rPr>
            </w:pPr>
            <w:r w:rsidRPr="00EE6892">
              <w:rPr>
                <w:sz w:val="20"/>
                <w:szCs w:val="20"/>
              </w:rPr>
              <w:t>Representante Legal</w:t>
            </w:r>
          </w:p>
        </w:tc>
        <w:tc>
          <w:tcPr>
            <w:tcW w:w="715" w:type="pct"/>
            <w:shd w:val="clear" w:color="auto" w:fill="D9D9D9" w:themeFill="background1" w:themeFillShade="D9"/>
            <w:vAlign w:val="center"/>
          </w:tcPr>
          <w:p w14:paraId="79A8C222" w14:textId="77777777" w:rsidR="00707CE1" w:rsidRPr="00EE6892" w:rsidRDefault="00707CE1" w:rsidP="004C414F">
            <w:pPr>
              <w:pStyle w:val="tier1Itext"/>
              <w:spacing w:before="0" w:after="0" w:line="240" w:lineRule="auto"/>
              <w:rPr>
                <w:sz w:val="20"/>
                <w:szCs w:val="20"/>
              </w:rPr>
            </w:pPr>
            <w:r w:rsidRPr="00EE6892">
              <w:rPr>
                <w:sz w:val="20"/>
                <w:szCs w:val="20"/>
              </w:rPr>
              <w:t>Humberto Quintas</w:t>
            </w:r>
          </w:p>
        </w:tc>
        <w:tc>
          <w:tcPr>
            <w:tcW w:w="998" w:type="pct"/>
            <w:shd w:val="clear" w:color="auto" w:fill="D9D9D9" w:themeFill="background1" w:themeFillShade="D9"/>
            <w:vAlign w:val="center"/>
          </w:tcPr>
          <w:p w14:paraId="5A2C8930" w14:textId="77777777" w:rsidR="00707CE1" w:rsidRPr="00EE6892" w:rsidRDefault="00707CE1" w:rsidP="004C414F">
            <w:pPr>
              <w:pStyle w:val="tier1Itext"/>
              <w:spacing w:before="0" w:after="0" w:line="240" w:lineRule="auto"/>
              <w:rPr>
                <w:sz w:val="20"/>
                <w:szCs w:val="20"/>
              </w:rPr>
            </w:pPr>
            <w:r w:rsidRPr="00EE6892">
              <w:rPr>
                <w:sz w:val="20"/>
                <w:szCs w:val="20"/>
              </w:rPr>
              <w:t>052.367.157-17</w:t>
            </w:r>
          </w:p>
        </w:tc>
        <w:tc>
          <w:tcPr>
            <w:tcW w:w="2387" w:type="pct"/>
            <w:shd w:val="clear" w:color="auto" w:fill="D9D9D9" w:themeFill="background1" w:themeFillShade="D9"/>
            <w:vAlign w:val="center"/>
          </w:tcPr>
          <w:p w14:paraId="509C7FC6" w14:textId="5D6D001B" w:rsidR="00707CE1" w:rsidRDefault="00707CE1" w:rsidP="004C414F">
            <w:pPr>
              <w:keepNext/>
              <w:keepLines/>
              <w:spacing w:before="0" w:line="240" w:lineRule="auto"/>
              <w:rPr>
                <w:rFonts w:asciiTheme="majorHAnsi" w:hAnsiTheme="majorHAnsi" w:cs="Univers-45Light"/>
                <w:sz w:val="20"/>
                <w:szCs w:val="20"/>
              </w:rPr>
            </w:pPr>
            <w:r w:rsidRPr="00EE6892">
              <w:rPr>
                <w:rFonts w:asciiTheme="majorHAnsi" w:hAnsiTheme="majorHAnsi" w:cs="Times New Roman"/>
                <w:color w:val="000000"/>
                <w:sz w:val="20"/>
                <w:szCs w:val="20"/>
              </w:rPr>
              <w:t>Telefone:</w:t>
            </w:r>
            <w:r w:rsidRPr="00EE6892">
              <w:rPr>
                <w:rFonts w:asciiTheme="majorHAnsi" w:hAnsiTheme="majorHAnsi" w:cs="Univers-45Light"/>
                <w:sz w:val="20"/>
                <w:szCs w:val="20"/>
              </w:rPr>
              <w:t xml:space="preserve"> +55 (21) </w:t>
            </w:r>
            <w:r w:rsidR="00366B62">
              <w:rPr>
                <w:rFonts w:asciiTheme="majorHAnsi" w:hAnsiTheme="majorHAnsi" w:cs="Univers-45Light"/>
                <w:sz w:val="20"/>
                <w:szCs w:val="20"/>
              </w:rPr>
              <w:t>3</w:t>
            </w:r>
            <w:r w:rsidR="00276F5F">
              <w:rPr>
                <w:rFonts w:asciiTheme="majorHAnsi" w:hAnsiTheme="majorHAnsi" w:cs="Univers-45Light"/>
                <w:sz w:val="20"/>
                <w:szCs w:val="20"/>
              </w:rPr>
              <w:t>721</w:t>
            </w:r>
            <w:r w:rsidRPr="00EE6892">
              <w:rPr>
                <w:rFonts w:asciiTheme="majorHAnsi" w:hAnsiTheme="majorHAnsi" w:cs="Univers-45Light"/>
                <w:sz w:val="20"/>
                <w:szCs w:val="20"/>
              </w:rPr>
              <w:t>-</w:t>
            </w:r>
            <w:r w:rsidR="00366B62">
              <w:rPr>
                <w:rFonts w:asciiTheme="majorHAnsi" w:hAnsiTheme="majorHAnsi" w:cs="Univers-45Light"/>
                <w:sz w:val="20"/>
                <w:szCs w:val="20"/>
              </w:rPr>
              <w:t>2711</w:t>
            </w:r>
          </w:p>
          <w:p w14:paraId="326BD0F0" w14:textId="0179A462" w:rsidR="00DC73C0" w:rsidRPr="00EE6892" w:rsidRDefault="00DC73C0" w:rsidP="00DC73C0">
            <w:pPr>
              <w:keepNext/>
              <w:keepLines/>
              <w:spacing w:before="0" w:line="240" w:lineRule="auto"/>
              <w:rPr>
                <w:rFonts w:asciiTheme="majorHAnsi" w:hAnsiTheme="majorHAnsi" w:cs="Times New Roman"/>
                <w:color w:val="000000"/>
                <w:sz w:val="20"/>
                <w:szCs w:val="20"/>
                <w:lang w:eastAsia="pt-BR"/>
              </w:rPr>
            </w:pPr>
            <w:r w:rsidRPr="00EE6892">
              <w:rPr>
                <w:rFonts w:asciiTheme="majorHAnsi" w:hAnsiTheme="majorHAnsi" w:cs="Times New Roman"/>
                <w:color w:val="000000"/>
                <w:sz w:val="20"/>
                <w:szCs w:val="20"/>
                <w:lang w:eastAsia="pt-BR"/>
              </w:rPr>
              <w:t xml:space="preserve">FAX: +55 </w:t>
            </w:r>
            <w:r w:rsidR="00366B62">
              <w:rPr>
                <w:rFonts w:asciiTheme="majorHAnsi" w:hAnsiTheme="majorHAnsi" w:cs="Times New Roman"/>
                <w:color w:val="000000"/>
                <w:sz w:val="20"/>
                <w:szCs w:val="20"/>
                <w:lang w:eastAsia="pt-BR"/>
              </w:rPr>
              <w:t>(</w:t>
            </w:r>
            <w:r w:rsidRPr="00EE6892">
              <w:rPr>
                <w:rFonts w:asciiTheme="majorHAnsi" w:hAnsiTheme="majorHAnsi" w:cs="Times New Roman"/>
                <w:color w:val="000000"/>
                <w:sz w:val="20"/>
                <w:szCs w:val="20"/>
                <w:lang w:eastAsia="pt-BR"/>
              </w:rPr>
              <w:t>21</w:t>
            </w:r>
            <w:r w:rsidR="00366B62">
              <w:rPr>
                <w:rFonts w:asciiTheme="majorHAnsi" w:hAnsiTheme="majorHAnsi" w:cs="Times New Roman"/>
                <w:color w:val="000000"/>
                <w:sz w:val="20"/>
                <w:szCs w:val="20"/>
                <w:lang w:eastAsia="pt-BR"/>
              </w:rPr>
              <w:t>)</w:t>
            </w:r>
            <w:r w:rsidRPr="00EE6892">
              <w:rPr>
                <w:rFonts w:asciiTheme="majorHAnsi" w:hAnsiTheme="majorHAnsi" w:cs="Times New Roman"/>
                <w:color w:val="000000"/>
                <w:sz w:val="20"/>
                <w:szCs w:val="20"/>
                <w:lang w:eastAsia="pt-BR"/>
              </w:rPr>
              <w:t xml:space="preserve"> </w:t>
            </w:r>
            <w:r w:rsidR="00366B62">
              <w:rPr>
                <w:rFonts w:asciiTheme="majorHAnsi" w:hAnsiTheme="majorHAnsi" w:cs="Times New Roman"/>
                <w:color w:val="000000"/>
                <w:sz w:val="20"/>
                <w:szCs w:val="20"/>
                <w:lang w:eastAsia="pt-BR"/>
              </w:rPr>
              <w:t>3721</w:t>
            </w:r>
            <w:r w:rsidRPr="00EE6892">
              <w:rPr>
                <w:rFonts w:asciiTheme="majorHAnsi" w:hAnsiTheme="majorHAnsi" w:cs="Times New Roman"/>
                <w:color w:val="000000"/>
                <w:sz w:val="20"/>
                <w:szCs w:val="20"/>
                <w:lang w:eastAsia="pt-BR"/>
              </w:rPr>
              <w:t>-</w:t>
            </w:r>
            <w:r w:rsidR="00366B62">
              <w:rPr>
                <w:rFonts w:asciiTheme="majorHAnsi" w:hAnsiTheme="majorHAnsi" w:cs="Times New Roman"/>
                <w:color w:val="000000"/>
                <w:sz w:val="20"/>
                <w:szCs w:val="20"/>
                <w:lang w:eastAsia="pt-BR"/>
              </w:rPr>
              <w:t>2850</w:t>
            </w:r>
          </w:p>
          <w:p w14:paraId="1EDEB2F6" w14:textId="77777777" w:rsidR="00707CE1" w:rsidRPr="00EE6892" w:rsidRDefault="00707CE1" w:rsidP="004C414F">
            <w:pPr>
              <w:pStyle w:val="tier1Itext"/>
              <w:spacing w:before="0" w:after="0" w:line="240" w:lineRule="auto"/>
              <w:rPr>
                <w:rStyle w:val="Hyperlink"/>
                <w:sz w:val="20"/>
                <w:szCs w:val="20"/>
                <w:lang w:eastAsia="pt-BR"/>
              </w:rPr>
            </w:pPr>
            <w:r w:rsidRPr="005A72E5">
              <w:rPr>
                <w:sz w:val="20"/>
                <w:szCs w:val="20"/>
                <w:lang w:eastAsia="pt-BR"/>
              </w:rPr>
              <w:t xml:space="preserve">E-mail: </w:t>
            </w:r>
            <w:hyperlink r:id="rId17" w:history="1">
              <w:r w:rsidRPr="00EE6892">
                <w:rPr>
                  <w:rStyle w:val="Hyperlink"/>
                  <w:sz w:val="20"/>
                  <w:szCs w:val="20"/>
                  <w:lang w:eastAsia="pt-BR"/>
                </w:rPr>
                <w:t>humberto.quintas@bp.com</w:t>
              </w:r>
            </w:hyperlink>
          </w:p>
          <w:p w14:paraId="60844DA6" w14:textId="47B57318" w:rsidR="00707CE1" w:rsidRPr="00EE6892" w:rsidRDefault="00707CE1" w:rsidP="00DC73C0">
            <w:pPr>
              <w:pStyle w:val="tier1Itext"/>
              <w:spacing w:before="0" w:after="0" w:line="240" w:lineRule="auto"/>
              <w:rPr>
                <w:sz w:val="20"/>
                <w:szCs w:val="20"/>
              </w:rPr>
            </w:pPr>
            <w:r w:rsidRPr="00EE6892">
              <w:rPr>
                <w:sz w:val="20"/>
                <w:szCs w:val="20"/>
              </w:rPr>
              <w:t xml:space="preserve">Condomínio Mario Henrique Simonsen - Avenida das Américas, 3434, Bloco </w:t>
            </w:r>
            <w:r w:rsidR="00DC73C0">
              <w:rPr>
                <w:sz w:val="20"/>
                <w:szCs w:val="20"/>
              </w:rPr>
              <w:t>7</w:t>
            </w:r>
            <w:r w:rsidRPr="00EE6892">
              <w:rPr>
                <w:sz w:val="20"/>
                <w:szCs w:val="20"/>
              </w:rPr>
              <w:t xml:space="preserve"> - </w:t>
            </w:r>
            <w:r w:rsidR="00DC73C0">
              <w:rPr>
                <w:sz w:val="20"/>
                <w:szCs w:val="20"/>
              </w:rPr>
              <w:t>3</w:t>
            </w:r>
            <w:r w:rsidRPr="00EE6892">
              <w:rPr>
                <w:sz w:val="20"/>
                <w:szCs w:val="20"/>
              </w:rPr>
              <w:t>º andar</w:t>
            </w:r>
            <w:r w:rsidR="00DC73C0">
              <w:rPr>
                <w:sz w:val="20"/>
                <w:szCs w:val="20"/>
              </w:rPr>
              <w:t xml:space="preserve"> - </w:t>
            </w:r>
            <w:r w:rsidRPr="00EE6892">
              <w:rPr>
                <w:sz w:val="20"/>
                <w:szCs w:val="20"/>
              </w:rPr>
              <w:t>Barra da Tijuca, Rio de Janeiro/RJ – Cep: 22640-102</w:t>
            </w:r>
          </w:p>
        </w:tc>
      </w:tr>
      <w:tr w:rsidR="00707CE1" w:rsidRPr="00BB5D3B" w14:paraId="03CF0E62" w14:textId="77777777" w:rsidTr="00BB5D3B">
        <w:trPr>
          <w:cantSplit/>
        </w:trPr>
        <w:tc>
          <w:tcPr>
            <w:tcW w:w="900" w:type="pct"/>
            <w:shd w:val="clear" w:color="auto" w:fill="D9D9D9" w:themeFill="background1" w:themeFillShade="D9"/>
            <w:vAlign w:val="center"/>
          </w:tcPr>
          <w:p w14:paraId="7B4A0B05" w14:textId="77777777" w:rsidR="00707CE1" w:rsidRPr="00EE6892" w:rsidRDefault="00707CE1" w:rsidP="004C414F">
            <w:pPr>
              <w:pStyle w:val="tier1Itext"/>
              <w:spacing w:before="0" w:after="0" w:line="240" w:lineRule="auto"/>
              <w:rPr>
                <w:sz w:val="20"/>
                <w:szCs w:val="20"/>
              </w:rPr>
            </w:pPr>
            <w:r w:rsidRPr="00EE6892">
              <w:rPr>
                <w:sz w:val="20"/>
                <w:szCs w:val="20"/>
              </w:rPr>
              <w:t>Responsável Técnico</w:t>
            </w:r>
          </w:p>
        </w:tc>
        <w:tc>
          <w:tcPr>
            <w:tcW w:w="715" w:type="pct"/>
            <w:shd w:val="clear" w:color="auto" w:fill="D9D9D9" w:themeFill="background1" w:themeFillShade="D9"/>
            <w:vAlign w:val="center"/>
          </w:tcPr>
          <w:p w14:paraId="6295C4B6" w14:textId="77777777" w:rsidR="00707CE1" w:rsidRPr="00EE6892" w:rsidRDefault="00707CE1" w:rsidP="004C414F">
            <w:pPr>
              <w:pStyle w:val="tier1Itext"/>
              <w:spacing w:before="0" w:after="0" w:line="240" w:lineRule="auto"/>
              <w:rPr>
                <w:sz w:val="20"/>
                <w:szCs w:val="20"/>
              </w:rPr>
            </w:pPr>
            <w:r w:rsidRPr="00EE6892">
              <w:rPr>
                <w:sz w:val="20"/>
                <w:szCs w:val="20"/>
              </w:rPr>
              <w:t>Anderson Cantarino</w:t>
            </w:r>
          </w:p>
        </w:tc>
        <w:tc>
          <w:tcPr>
            <w:tcW w:w="998" w:type="pct"/>
            <w:shd w:val="clear" w:color="auto" w:fill="D9D9D9" w:themeFill="background1" w:themeFillShade="D9"/>
            <w:vAlign w:val="center"/>
          </w:tcPr>
          <w:p w14:paraId="26A86ABC" w14:textId="77777777" w:rsidR="00707CE1" w:rsidRPr="00EE6892" w:rsidRDefault="00707CE1" w:rsidP="004C414F">
            <w:pPr>
              <w:pStyle w:val="tier1Itext"/>
              <w:spacing w:before="0" w:after="0" w:line="240" w:lineRule="auto"/>
              <w:rPr>
                <w:sz w:val="20"/>
                <w:szCs w:val="20"/>
              </w:rPr>
            </w:pPr>
            <w:r w:rsidRPr="00EE6892">
              <w:rPr>
                <w:sz w:val="20"/>
                <w:szCs w:val="20"/>
              </w:rPr>
              <w:t>963.468.337-15</w:t>
            </w:r>
          </w:p>
        </w:tc>
        <w:tc>
          <w:tcPr>
            <w:tcW w:w="2387" w:type="pct"/>
            <w:shd w:val="clear" w:color="auto" w:fill="D9D9D9" w:themeFill="background1" w:themeFillShade="D9"/>
            <w:vAlign w:val="center"/>
          </w:tcPr>
          <w:p w14:paraId="566317FF" w14:textId="4799A195" w:rsidR="00707CE1" w:rsidRDefault="00707CE1" w:rsidP="004C414F">
            <w:pPr>
              <w:spacing w:before="0" w:line="240" w:lineRule="auto"/>
              <w:rPr>
                <w:rFonts w:asciiTheme="majorHAnsi" w:hAnsiTheme="majorHAnsi" w:cs="Univers-45Light"/>
                <w:sz w:val="20"/>
                <w:szCs w:val="20"/>
              </w:rPr>
            </w:pPr>
            <w:r w:rsidRPr="005A72E5">
              <w:rPr>
                <w:rFonts w:asciiTheme="majorHAnsi" w:hAnsiTheme="majorHAnsi" w:cs="Times New Roman"/>
                <w:color w:val="000000"/>
                <w:sz w:val="20"/>
                <w:szCs w:val="20"/>
              </w:rPr>
              <w:t xml:space="preserve">Telefone +55 (21) </w:t>
            </w:r>
            <w:r w:rsidR="00366B62">
              <w:rPr>
                <w:rFonts w:asciiTheme="majorHAnsi" w:hAnsiTheme="majorHAnsi" w:cs="Univers-45Light"/>
                <w:sz w:val="20"/>
                <w:szCs w:val="20"/>
              </w:rPr>
              <w:t>3721</w:t>
            </w:r>
            <w:r w:rsidRPr="009F0EA7">
              <w:rPr>
                <w:rFonts w:asciiTheme="majorHAnsi" w:hAnsiTheme="majorHAnsi" w:cs="Univers-45Light"/>
                <w:sz w:val="20"/>
                <w:szCs w:val="20"/>
              </w:rPr>
              <w:t>-</w:t>
            </w:r>
            <w:r w:rsidR="00366B62">
              <w:rPr>
                <w:rFonts w:asciiTheme="majorHAnsi" w:hAnsiTheme="majorHAnsi" w:cs="Univers-45Light"/>
                <w:sz w:val="20"/>
                <w:szCs w:val="20"/>
              </w:rPr>
              <w:t>2722</w:t>
            </w:r>
          </w:p>
          <w:p w14:paraId="7A104C04" w14:textId="3343EAA8" w:rsidR="00366B62" w:rsidRPr="00EE6892" w:rsidRDefault="00366B62" w:rsidP="00366B62">
            <w:pPr>
              <w:spacing w:before="0" w:line="240" w:lineRule="auto"/>
              <w:rPr>
                <w:rFonts w:asciiTheme="majorHAnsi" w:hAnsiTheme="majorHAnsi" w:cs="Times New Roman"/>
                <w:color w:val="000000"/>
                <w:sz w:val="20"/>
                <w:szCs w:val="20"/>
                <w:lang w:eastAsia="pt-BR"/>
              </w:rPr>
            </w:pPr>
            <w:r w:rsidRPr="00EE6892">
              <w:rPr>
                <w:rFonts w:asciiTheme="majorHAnsi" w:hAnsiTheme="majorHAnsi" w:cs="Times New Roman"/>
                <w:color w:val="000000"/>
                <w:sz w:val="20"/>
                <w:szCs w:val="20"/>
                <w:lang w:eastAsia="pt-BR"/>
              </w:rPr>
              <w:t>FAX:</w:t>
            </w:r>
            <w:r>
              <w:rPr>
                <w:rFonts w:asciiTheme="majorHAnsi" w:hAnsiTheme="majorHAnsi" w:cs="Times New Roman"/>
                <w:color w:val="000000"/>
                <w:sz w:val="20"/>
                <w:szCs w:val="20"/>
                <w:lang w:eastAsia="pt-BR"/>
              </w:rPr>
              <w:t xml:space="preserve"> </w:t>
            </w:r>
            <w:r w:rsidRPr="00EE6892">
              <w:rPr>
                <w:rFonts w:asciiTheme="majorHAnsi" w:hAnsiTheme="majorHAnsi" w:cs="Univers-45Light"/>
                <w:sz w:val="20"/>
                <w:szCs w:val="20"/>
              </w:rPr>
              <w:t xml:space="preserve">+55 </w:t>
            </w:r>
            <w:r>
              <w:rPr>
                <w:rFonts w:asciiTheme="majorHAnsi" w:hAnsiTheme="majorHAnsi" w:cs="Univers-45Light"/>
                <w:sz w:val="20"/>
                <w:szCs w:val="20"/>
              </w:rPr>
              <w:t>(</w:t>
            </w:r>
            <w:r w:rsidRPr="00EE6892">
              <w:rPr>
                <w:rFonts w:asciiTheme="majorHAnsi" w:hAnsiTheme="majorHAnsi" w:cs="Univers-45Light"/>
                <w:sz w:val="20"/>
                <w:szCs w:val="20"/>
              </w:rPr>
              <w:t>21</w:t>
            </w:r>
            <w:r>
              <w:rPr>
                <w:rFonts w:asciiTheme="majorHAnsi" w:hAnsiTheme="majorHAnsi" w:cs="Univers-45Light"/>
                <w:sz w:val="20"/>
                <w:szCs w:val="20"/>
              </w:rPr>
              <w:t>)</w:t>
            </w:r>
            <w:r w:rsidRPr="00EE6892">
              <w:rPr>
                <w:rFonts w:asciiTheme="majorHAnsi" w:hAnsiTheme="majorHAnsi" w:cs="Univers-45Light"/>
                <w:sz w:val="20"/>
                <w:szCs w:val="20"/>
              </w:rPr>
              <w:t xml:space="preserve"> </w:t>
            </w:r>
            <w:r>
              <w:rPr>
                <w:rFonts w:asciiTheme="majorHAnsi" w:hAnsiTheme="majorHAnsi" w:cs="Univers-45Light"/>
                <w:sz w:val="20"/>
                <w:szCs w:val="20"/>
              </w:rPr>
              <w:t>3721</w:t>
            </w:r>
            <w:r w:rsidRPr="00EE6892">
              <w:rPr>
                <w:rFonts w:asciiTheme="majorHAnsi" w:hAnsiTheme="majorHAnsi" w:cs="Times New Roman"/>
                <w:color w:val="000000"/>
                <w:sz w:val="20"/>
                <w:szCs w:val="20"/>
                <w:lang w:eastAsia="pt-BR"/>
              </w:rPr>
              <w:t>-</w:t>
            </w:r>
            <w:r>
              <w:rPr>
                <w:rFonts w:asciiTheme="majorHAnsi" w:hAnsiTheme="majorHAnsi" w:cs="Times New Roman"/>
                <w:color w:val="000000"/>
                <w:sz w:val="20"/>
                <w:szCs w:val="20"/>
                <w:lang w:eastAsia="pt-BR"/>
              </w:rPr>
              <w:t>2850</w:t>
            </w:r>
          </w:p>
          <w:p w14:paraId="329C8507" w14:textId="77777777" w:rsidR="00707CE1" w:rsidRPr="00EE6892" w:rsidRDefault="00707CE1" w:rsidP="004C414F">
            <w:pPr>
              <w:pStyle w:val="tier1Itext"/>
              <w:spacing w:before="0" w:after="0" w:line="240" w:lineRule="auto"/>
              <w:rPr>
                <w:sz w:val="20"/>
                <w:szCs w:val="20"/>
                <w:lang w:eastAsia="pt-BR"/>
              </w:rPr>
            </w:pPr>
            <w:r w:rsidRPr="00FA1E16">
              <w:rPr>
                <w:sz w:val="20"/>
                <w:szCs w:val="20"/>
                <w:lang w:eastAsia="pt-BR"/>
              </w:rPr>
              <w:t xml:space="preserve">E-mail: </w:t>
            </w:r>
            <w:hyperlink r:id="rId18" w:history="1">
              <w:r w:rsidRPr="00EE6892">
                <w:rPr>
                  <w:rStyle w:val="Hyperlink"/>
                  <w:sz w:val="20"/>
                  <w:szCs w:val="20"/>
                  <w:lang w:eastAsia="pt-BR"/>
                </w:rPr>
                <w:t>anderson.cantarino@bp.com</w:t>
              </w:r>
            </w:hyperlink>
          </w:p>
          <w:p w14:paraId="39A82CE5" w14:textId="4F8DFD55" w:rsidR="00707CE1" w:rsidRPr="00EE6892" w:rsidRDefault="00707CE1" w:rsidP="00DC73C0">
            <w:pPr>
              <w:pStyle w:val="tier1Itext"/>
              <w:spacing w:before="0" w:after="0" w:line="240" w:lineRule="auto"/>
              <w:rPr>
                <w:sz w:val="20"/>
                <w:szCs w:val="20"/>
              </w:rPr>
            </w:pPr>
            <w:r w:rsidRPr="00EE6892">
              <w:rPr>
                <w:sz w:val="20"/>
                <w:szCs w:val="20"/>
              </w:rPr>
              <w:t xml:space="preserve">Condomínio Mario Henrique Simonsen - Avenida das Américas, 3434, Bloco </w:t>
            </w:r>
            <w:r w:rsidR="00DC73C0">
              <w:rPr>
                <w:sz w:val="20"/>
                <w:szCs w:val="20"/>
              </w:rPr>
              <w:t>7</w:t>
            </w:r>
            <w:r w:rsidRPr="00EE6892">
              <w:rPr>
                <w:sz w:val="20"/>
                <w:szCs w:val="20"/>
              </w:rPr>
              <w:t xml:space="preserve"> - </w:t>
            </w:r>
            <w:r w:rsidR="00DC73C0">
              <w:rPr>
                <w:sz w:val="20"/>
                <w:szCs w:val="20"/>
              </w:rPr>
              <w:t>3</w:t>
            </w:r>
            <w:r w:rsidRPr="00EE6892">
              <w:rPr>
                <w:sz w:val="20"/>
                <w:szCs w:val="20"/>
              </w:rPr>
              <w:t>º andar</w:t>
            </w:r>
            <w:r w:rsidR="00366B62">
              <w:rPr>
                <w:sz w:val="20"/>
                <w:szCs w:val="20"/>
              </w:rPr>
              <w:t xml:space="preserve"> - </w:t>
            </w:r>
            <w:r w:rsidRPr="00EE6892">
              <w:rPr>
                <w:sz w:val="20"/>
                <w:szCs w:val="20"/>
              </w:rPr>
              <w:t>Barra da Tijuca, Rio de Janeiro/RJ – Cep: 22640-102</w:t>
            </w:r>
          </w:p>
        </w:tc>
      </w:tr>
    </w:tbl>
    <w:p w14:paraId="39677A21" w14:textId="04D4D80F" w:rsidR="00707CE1" w:rsidRPr="00EE0E12" w:rsidRDefault="00707CE1" w:rsidP="00BB5D3B">
      <w:pPr>
        <w:pStyle w:val="tier1Itext"/>
        <w:keepLines w:val="0"/>
        <w:spacing w:before="360"/>
      </w:pPr>
      <w:r w:rsidRPr="00EE0E12">
        <w:t xml:space="preserve">Como dito anteriormente, o Bloco FZA-M-59 está situado no setor SFZA-AP1 da Bacia de Foz do Amazonas (FZA), a uma distância de aproximadamente 160 km (aproximadamente 90 milhas náuticas) da costa do município de Oiapoque, no Estado do Amapá (AP), em águas ultraprofundas (com lâmina d’água variando entre 2.400 e 3.400 m). A </w:t>
      </w:r>
      <w:r w:rsidRPr="00EE0E12">
        <w:rPr>
          <w:b/>
        </w:rPr>
        <w:fldChar w:fldCharType="begin"/>
      </w:r>
      <w:r w:rsidRPr="00EE0E12">
        <w:rPr>
          <w:b/>
        </w:rPr>
        <w:instrText xml:space="preserve"> REF _Ref407716063 \h  \* MERGEFORMAT </w:instrText>
      </w:r>
      <w:r w:rsidRPr="00EE0E12">
        <w:rPr>
          <w:b/>
        </w:rPr>
      </w:r>
      <w:r w:rsidRPr="00EE0E12">
        <w:rPr>
          <w:b/>
        </w:rPr>
        <w:fldChar w:fldCharType="separate"/>
      </w:r>
      <w:r w:rsidR="00A50E67" w:rsidRPr="00A50E67">
        <w:rPr>
          <w:b/>
        </w:rPr>
        <w:t xml:space="preserve">Tabela </w:t>
      </w:r>
      <w:r w:rsidR="00A50E67" w:rsidRPr="00A50E67">
        <w:rPr>
          <w:b/>
          <w:noProof/>
        </w:rPr>
        <w:t>3</w:t>
      </w:r>
      <w:r w:rsidRPr="00EE0E12">
        <w:rPr>
          <w:b/>
        </w:rPr>
        <w:fldChar w:fldCharType="end"/>
      </w:r>
      <w:r w:rsidRPr="00EE0E12">
        <w:t xml:space="preserve"> apresenta as coordenadas geográficas do Bloco.</w:t>
      </w:r>
    </w:p>
    <w:tbl>
      <w:tblPr>
        <w:tblW w:w="5000" w:type="pct"/>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left w:w="70" w:type="dxa"/>
          <w:right w:w="70" w:type="dxa"/>
        </w:tblCellMar>
        <w:tblLook w:val="0000" w:firstRow="0" w:lastRow="0" w:firstColumn="0" w:lastColumn="0" w:noHBand="0" w:noVBand="0"/>
      </w:tblPr>
      <w:tblGrid>
        <w:gridCol w:w="1734"/>
        <w:gridCol w:w="3646"/>
        <w:gridCol w:w="3644"/>
      </w:tblGrid>
      <w:tr w:rsidR="00707CE1" w:rsidRPr="002C2D05" w14:paraId="0E3C2C0D" w14:textId="77777777" w:rsidTr="00BB5D3B">
        <w:trPr>
          <w:trHeight w:val="340"/>
        </w:trPr>
        <w:tc>
          <w:tcPr>
            <w:tcW w:w="5000" w:type="pct"/>
            <w:gridSpan w:val="3"/>
            <w:shd w:val="clear" w:color="auto" w:fill="FFFFFF" w:themeFill="background1"/>
            <w:vAlign w:val="bottom"/>
          </w:tcPr>
          <w:p w14:paraId="51C50420" w14:textId="4A84BB4A" w:rsidR="00707CE1" w:rsidRPr="00EE0E12" w:rsidRDefault="00707CE1" w:rsidP="004C414F">
            <w:pPr>
              <w:pStyle w:val="Legenda"/>
              <w:keepNext w:val="0"/>
              <w:spacing w:before="0" w:after="0" w:line="240" w:lineRule="auto"/>
              <w:jc w:val="left"/>
              <w:rPr>
                <w:rFonts w:cs="Calibri"/>
                <w:color w:val="FFFFFF"/>
              </w:rPr>
            </w:pPr>
            <w:bookmarkStart w:id="39" w:name="_Ref407716063"/>
            <w:bookmarkStart w:id="40" w:name="_Toc408566937"/>
            <w:bookmarkStart w:id="41" w:name="_Toc412642140"/>
            <w:bookmarkStart w:id="42" w:name="_Toc527990478"/>
            <w:r w:rsidRPr="00EE0E12">
              <w:t xml:space="preserve">Tabela </w:t>
            </w:r>
            <w:fldSimple w:instr=" SEQ Tabela \* ARABIC ">
              <w:r w:rsidR="00A50E67">
                <w:rPr>
                  <w:noProof/>
                </w:rPr>
                <w:t>3</w:t>
              </w:r>
            </w:fldSimple>
            <w:bookmarkEnd w:id="39"/>
            <w:r w:rsidRPr="00EE0E12">
              <w:t>: Coordenadas do Bloco FZA-M-59</w:t>
            </w:r>
            <w:bookmarkEnd w:id="40"/>
            <w:r w:rsidRPr="00EE0E12">
              <w:t xml:space="preserve"> (DATUM: SIRGAS 2000).</w:t>
            </w:r>
            <w:bookmarkEnd w:id="41"/>
            <w:bookmarkEnd w:id="42"/>
          </w:p>
        </w:tc>
      </w:tr>
      <w:tr w:rsidR="00707CE1" w:rsidRPr="0004587A" w14:paraId="6BD49D5C" w14:textId="77777777" w:rsidTr="00BB5D3B">
        <w:trPr>
          <w:trHeight w:val="340"/>
        </w:trPr>
        <w:tc>
          <w:tcPr>
            <w:tcW w:w="961" w:type="pct"/>
            <w:shd w:val="clear" w:color="auto" w:fill="1F497D"/>
            <w:vAlign w:val="center"/>
          </w:tcPr>
          <w:p w14:paraId="35729BD5" w14:textId="77777777" w:rsidR="00707CE1" w:rsidRPr="00EE0E12" w:rsidRDefault="00707CE1" w:rsidP="004C414F">
            <w:pPr>
              <w:pStyle w:val="PEIParagrafo"/>
              <w:spacing w:before="0" w:after="0" w:line="240" w:lineRule="auto"/>
              <w:jc w:val="center"/>
              <w:rPr>
                <w:rFonts w:asciiTheme="majorHAnsi" w:hAnsiTheme="majorHAnsi" w:cs="Calibri"/>
                <w:b/>
                <w:color w:val="FFFFFF"/>
                <w:sz w:val="20"/>
                <w:szCs w:val="20"/>
                <w:lang w:val="pt-BR"/>
              </w:rPr>
            </w:pPr>
            <w:r w:rsidRPr="00EE0E12">
              <w:rPr>
                <w:rFonts w:asciiTheme="majorHAnsi" w:hAnsiTheme="majorHAnsi" w:cs="Calibri"/>
                <w:b/>
                <w:color w:val="FFFFFF"/>
                <w:sz w:val="20"/>
                <w:szCs w:val="20"/>
                <w:lang w:val="pt-BR"/>
              </w:rPr>
              <w:t>Ponto/Vértice</w:t>
            </w:r>
          </w:p>
        </w:tc>
        <w:tc>
          <w:tcPr>
            <w:tcW w:w="2020" w:type="pct"/>
            <w:shd w:val="clear" w:color="auto" w:fill="1F497D"/>
            <w:vAlign w:val="center"/>
          </w:tcPr>
          <w:p w14:paraId="08D0FB32" w14:textId="77777777" w:rsidR="00707CE1" w:rsidRPr="00EE0E12" w:rsidRDefault="00707CE1" w:rsidP="004C414F">
            <w:pPr>
              <w:pStyle w:val="PEIParagrafo"/>
              <w:spacing w:before="0" w:after="0" w:line="240" w:lineRule="auto"/>
              <w:jc w:val="center"/>
              <w:rPr>
                <w:rFonts w:asciiTheme="majorHAnsi" w:hAnsiTheme="majorHAnsi" w:cs="Calibri"/>
                <w:b/>
                <w:color w:val="FFFFFF"/>
                <w:sz w:val="20"/>
                <w:szCs w:val="20"/>
                <w:lang w:val="pt-BR"/>
              </w:rPr>
            </w:pPr>
            <w:r w:rsidRPr="00EE0E12">
              <w:rPr>
                <w:rFonts w:asciiTheme="majorHAnsi" w:hAnsiTheme="majorHAnsi" w:cs="Calibri"/>
                <w:b/>
                <w:color w:val="FFFFFF"/>
                <w:sz w:val="20"/>
                <w:szCs w:val="20"/>
                <w:lang w:val="pt-BR"/>
              </w:rPr>
              <w:t>Longitude</w:t>
            </w:r>
          </w:p>
        </w:tc>
        <w:tc>
          <w:tcPr>
            <w:tcW w:w="2019" w:type="pct"/>
            <w:shd w:val="clear" w:color="auto" w:fill="1F497D"/>
            <w:vAlign w:val="center"/>
          </w:tcPr>
          <w:p w14:paraId="54416536" w14:textId="77777777" w:rsidR="00707CE1" w:rsidRPr="00EE0E12" w:rsidRDefault="00707CE1" w:rsidP="004C414F">
            <w:pPr>
              <w:pStyle w:val="PEIParagrafo"/>
              <w:spacing w:before="0" w:after="0" w:line="240" w:lineRule="auto"/>
              <w:jc w:val="center"/>
              <w:rPr>
                <w:rFonts w:asciiTheme="majorHAnsi" w:hAnsiTheme="majorHAnsi" w:cs="Calibri"/>
                <w:b/>
                <w:color w:val="FFFFFF"/>
                <w:sz w:val="20"/>
                <w:szCs w:val="20"/>
                <w:lang w:val="pt-BR"/>
              </w:rPr>
            </w:pPr>
            <w:r w:rsidRPr="00EE0E12">
              <w:rPr>
                <w:rFonts w:asciiTheme="majorHAnsi" w:hAnsiTheme="majorHAnsi" w:cs="Calibri"/>
                <w:b/>
                <w:color w:val="FFFFFF"/>
                <w:sz w:val="20"/>
                <w:szCs w:val="20"/>
                <w:lang w:val="pt-BR"/>
              </w:rPr>
              <w:t>Latitude</w:t>
            </w:r>
          </w:p>
        </w:tc>
      </w:tr>
      <w:tr w:rsidR="00707CE1" w:rsidRPr="0004587A" w14:paraId="513DA1E8" w14:textId="77777777" w:rsidTr="00BB5D3B">
        <w:trPr>
          <w:trHeight w:val="340"/>
        </w:trPr>
        <w:tc>
          <w:tcPr>
            <w:tcW w:w="961" w:type="pct"/>
            <w:shd w:val="clear" w:color="auto" w:fill="D9D9D9" w:themeFill="background1" w:themeFillShade="D9"/>
            <w:vAlign w:val="center"/>
          </w:tcPr>
          <w:p w14:paraId="56A5BCF8" w14:textId="77777777" w:rsidR="00707CE1" w:rsidRPr="00EE0E12" w:rsidRDefault="00707CE1" w:rsidP="004C414F">
            <w:pPr>
              <w:pStyle w:val="TableParagraph"/>
              <w:tabs>
                <w:tab w:val="left" w:pos="10490"/>
              </w:tabs>
              <w:ind w:left="130" w:right="284"/>
              <w:jc w:val="center"/>
              <w:rPr>
                <w:rFonts w:asciiTheme="majorHAnsi" w:hAnsiTheme="majorHAnsi"/>
                <w:sz w:val="20"/>
                <w:szCs w:val="20"/>
                <w:lang w:val="pt-BR"/>
              </w:rPr>
            </w:pPr>
            <w:r w:rsidRPr="00EE0E12">
              <w:rPr>
                <w:rFonts w:asciiTheme="majorHAnsi" w:hAnsiTheme="majorHAnsi"/>
                <w:sz w:val="20"/>
                <w:szCs w:val="20"/>
                <w:lang w:val="pt-BR"/>
              </w:rPr>
              <w:t>1</w:t>
            </w:r>
          </w:p>
        </w:tc>
        <w:tc>
          <w:tcPr>
            <w:tcW w:w="2020" w:type="pct"/>
            <w:shd w:val="clear" w:color="auto" w:fill="D9D9D9" w:themeFill="background1" w:themeFillShade="D9"/>
            <w:vAlign w:val="center"/>
          </w:tcPr>
          <w:p w14:paraId="2F4F5B53" w14:textId="77777777" w:rsidR="00707CE1" w:rsidRPr="00EE0E12" w:rsidRDefault="00707CE1" w:rsidP="004C414F">
            <w:pPr>
              <w:pStyle w:val="PEIParagrafo"/>
              <w:spacing w:before="0" w:after="0" w:line="240" w:lineRule="auto"/>
              <w:jc w:val="center"/>
              <w:rPr>
                <w:rFonts w:asciiTheme="majorHAnsi" w:hAnsiTheme="majorHAnsi"/>
                <w:sz w:val="20"/>
                <w:szCs w:val="20"/>
                <w:lang w:val="pt-BR"/>
              </w:rPr>
            </w:pPr>
            <w:r w:rsidRPr="00EE0E12">
              <w:rPr>
                <w:rFonts w:asciiTheme="majorHAnsi" w:hAnsiTheme="majorHAnsi"/>
                <w:sz w:val="20"/>
                <w:szCs w:val="20"/>
                <w:lang w:val="pt-BR"/>
              </w:rPr>
              <w:t>0</w:t>
            </w:r>
            <w:r w:rsidRPr="00EE0E12">
              <w:rPr>
                <w:rFonts w:asciiTheme="majorHAnsi" w:hAnsiTheme="majorHAnsi"/>
                <w:sz w:val="20"/>
                <w:szCs w:val="20"/>
              </w:rPr>
              <w:t xml:space="preserve">50° 15’ </w:t>
            </w:r>
            <w:r w:rsidRPr="00EE0E12">
              <w:rPr>
                <w:rFonts w:asciiTheme="majorHAnsi" w:hAnsiTheme="majorHAnsi"/>
                <w:sz w:val="20"/>
                <w:szCs w:val="20"/>
                <w:lang w:val="pt-BR"/>
              </w:rPr>
              <w:t>0</w:t>
            </w:r>
            <w:r w:rsidRPr="00EE0E12">
              <w:rPr>
                <w:rFonts w:asciiTheme="majorHAnsi" w:hAnsiTheme="majorHAnsi"/>
                <w:sz w:val="20"/>
                <w:szCs w:val="20"/>
              </w:rPr>
              <w:t>1,60”</w:t>
            </w:r>
            <w:r w:rsidRPr="00EE0E12">
              <w:rPr>
                <w:rFonts w:asciiTheme="majorHAnsi" w:hAnsiTheme="majorHAnsi"/>
                <w:sz w:val="20"/>
                <w:szCs w:val="20"/>
                <w:lang w:val="pt-BR"/>
              </w:rPr>
              <w:t xml:space="preserve"> W</w:t>
            </w:r>
          </w:p>
        </w:tc>
        <w:tc>
          <w:tcPr>
            <w:tcW w:w="2019" w:type="pct"/>
            <w:shd w:val="clear" w:color="auto" w:fill="D9D9D9" w:themeFill="background1" w:themeFillShade="D9"/>
            <w:vAlign w:val="center"/>
          </w:tcPr>
          <w:p w14:paraId="126F41D7" w14:textId="77777777" w:rsidR="00707CE1" w:rsidRPr="00EE0E12" w:rsidRDefault="00707CE1" w:rsidP="004C414F">
            <w:pPr>
              <w:pStyle w:val="PEIParagrafo"/>
              <w:spacing w:before="0" w:after="0" w:line="240" w:lineRule="auto"/>
              <w:jc w:val="center"/>
              <w:rPr>
                <w:rFonts w:asciiTheme="majorHAnsi" w:hAnsiTheme="majorHAnsi"/>
                <w:sz w:val="20"/>
                <w:szCs w:val="20"/>
                <w:lang w:val="pt-BR"/>
              </w:rPr>
            </w:pPr>
            <w:r w:rsidRPr="00EE0E12">
              <w:rPr>
                <w:rFonts w:asciiTheme="majorHAnsi" w:hAnsiTheme="majorHAnsi"/>
                <w:sz w:val="20"/>
                <w:szCs w:val="20"/>
                <w:lang w:val="pt-BR"/>
              </w:rPr>
              <w:t>0</w:t>
            </w:r>
            <w:r w:rsidRPr="00EE0E12">
              <w:rPr>
                <w:rFonts w:asciiTheme="majorHAnsi" w:hAnsiTheme="majorHAnsi"/>
                <w:sz w:val="20"/>
                <w:szCs w:val="20"/>
              </w:rPr>
              <w:t>5° 29’ 58,90’’</w:t>
            </w:r>
            <w:r w:rsidRPr="00EE0E12">
              <w:rPr>
                <w:rFonts w:asciiTheme="majorHAnsi" w:hAnsiTheme="majorHAnsi"/>
                <w:sz w:val="20"/>
                <w:szCs w:val="20"/>
                <w:lang w:val="pt-BR"/>
              </w:rPr>
              <w:t xml:space="preserve"> N</w:t>
            </w:r>
          </w:p>
        </w:tc>
      </w:tr>
      <w:tr w:rsidR="00707CE1" w:rsidRPr="0004587A" w14:paraId="4B011E36" w14:textId="77777777" w:rsidTr="00BB5D3B">
        <w:trPr>
          <w:trHeight w:val="340"/>
        </w:trPr>
        <w:tc>
          <w:tcPr>
            <w:tcW w:w="961" w:type="pct"/>
            <w:shd w:val="clear" w:color="auto" w:fill="D9D9D9" w:themeFill="background1" w:themeFillShade="D9"/>
            <w:vAlign w:val="center"/>
          </w:tcPr>
          <w:p w14:paraId="44792217" w14:textId="77777777" w:rsidR="00707CE1" w:rsidRPr="00EE0E12" w:rsidRDefault="00707CE1" w:rsidP="004C414F">
            <w:pPr>
              <w:pStyle w:val="TableParagraph"/>
              <w:tabs>
                <w:tab w:val="left" w:pos="10490"/>
              </w:tabs>
              <w:ind w:left="130" w:right="284"/>
              <w:jc w:val="center"/>
              <w:rPr>
                <w:rFonts w:asciiTheme="majorHAnsi" w:hAnsiTheme="majorHAnsi"/>
                <w:sz w:val="20"/>
                <w:szCs w:val="20"/>
                <w:lang w:val="pt-BR"/>
              </w:rPr>
            </w:pPr>
            <w:r w:rsidRPr="00EE0E12">
              <w:rPr>
                <w:rFonts w:asciiTheme="majorHAnsi" w:hAnsiTheme="majorHAnsi"/>
                <w:sz w:val="20"/>
                <w:szCs w:val="20"/>
                <w:lang w:val="pt-BR"/>
              </w:rPr>
              <w:t>2</w:t>
            </w:r>
          </w:p>
        </w:tc>
        <w:tc>
          <w:tcPr>
            <w:tcW w:w="2020" w:type="pct"/>
            <w:shd w:val="clear" w:color="auto" w:fill="D9D9D9" w:themeFill="background1" w:themeFillShade="D9"/>
            <w:vAlign w:val="center"/>
          </w:tcPr>
          <w:p w14:paraId="761D99E7" w14:textId="77777777" w:rsidR="00707CE1" w:rsidRPr="00EE0E12" w:rsidRDefault="00707CE1" w:rsidP="004C414F">
            <w:pPr>
              <w:pStyle w:val="PEIParagrafo"/>
              <w:spacing w:before="0" w:after="0" w:line="240" w:lineRule="auto"/>
              <w:jc w:val="center"/>
              <w:rPr>
                <w:rFonts w:asciiTheme="majorHAnsi" w:hAnsiTheme="majorHAnsi"/>
                <w:sz w:val="20"/>
                <w:szCs w:val="20"/>
                <w:lang w:val="pt-BR"/>
              </w:rPr>
            </w:pPr>
            <w:r w:rsidRPr="00EE0E12">
              <w:rPr>
                <w:rFonts w:asciiTheme="majorHAnsi" w:hAnsiTheme="majorHAnsi"/>
                <w:sz w:val="20"/>
                <w:szCs w:val="20"/>
                <w:lang w:val="pt-BR"/>
              </w:rPr>
              <w:t>0</w:t>
            </w:r>
            <w:r w:rsidRPr="00EE0E12">
              <w:rPr>
                <w:rFonts w:asciiTheme="majorHAnsi" w:hAnsiTheme="majorHAnsi"/>
                <w:sz w:val="20"/>
                <w:szCs w:val="20"/>
              </w:rPr>
              <w:t xml:space="preserve">50° </w:t>
            </w:r>
            <w:r w:rsidRPr="00EE0E12">
              <w:rPr>
                <w:rFonts w:asciiTheme="majorHAnsi" w:hAnsiTheme="majorHAnsi"/>
                <w:sz w:val="20"/>
                <w:szCs w:val="20"/>
                <w:lang w:val="pt-BR"/>
              </w:rPr>
              <w:t>0</w:t>
            </w:r>
            <w:r w:rsidRPr="00EE0E12">
              <w:rPr>
                <w:rFonts w:asciiTheme="majorHAnsi" w:hAnsiTheme="majorHAnsi"/>
                <w:sz w:val="20"/>
                <w:szCs w:val="20"/>
              </w:rPr>
              <w:t xml:space="preserve">0’ </w:t>
            </w:r>
            <w:r w:rsidRPr="00EE0E12">
              <w:rPr>
                <w:rFonts w:asciiTheme="majorHAnsi" w:hAnsiTheme="majorHAnsi"/>
                <w:sz w:val="20"/>
                <w:szCs w:val="20"/>
                <w:lang w:val="pt-BR"/>
              </w:rPr>
              <w:t>0</w:t>
            </w:r>
            <w:r w:rsidRPr="00EE0E12">
              <w:rPr>
                <w:rFonts w:asciiTheme="majorHAnsi" w:hAnsiTheme="majorHAnsi"/>
                <w:sz w:val="20"/>
                <w:szCs w:val="20"/>
              </w:rPr>
              <w:t>1,60”</w:t>
            </w:r>
            <w:r w:rsidRPr="00EE0E12">
              <w:rPr>
                <w:rFonts w:asciiTheme="majorHAnsi" w:hAnsiTheme="majorHAnsi"/>
                <w:sz w:val="20"/>
                <w:szCs w:val="20"/>
                <w:lang w:val="pt-BR"/>
              </w:rPr>
              <w:t xml:space="preserve"> W</w:t>
            </w:r>
          </w:p>
        </w:tc>
        <w:tc>
          <w:tcPr>
            <w:tcW w:w="2019" w:type="pct"/>
            <w:shd w:val="clear" w:color="auto" w:fill="D9D9D9" w:themeFill="background1" w:themeFillShade="D9"/>
            <w:vAlign w:val="center"/>
          </w:tcPr>
          <w:p w14:paraId="68A6330B" w14:textId="77777777" w:rsidR="00707CE1" w:rsidRPr="00EE0E12" w:rsidRDefault="00707CE1" w:rsidP="004C414F">
            <w:pPr>
              <w:pStyle w:val="PEIParagrafo"/>
              <w:spacing w:before="0" w:after="0" w:line="240" w:lineRule="auto"/>
              <w:jc w:val="center"/>
              <w:rPr>
                <w:rFonts w:asciiTheme="majorHAnsi" w:hAnsiTheme="majorHAnsi"/>
                <w:sz w:val="20"/>
                <w:szCs w:val="20"/>
                <w:lang w:val="pt-BR"/>
              </w:rPr>
            </w:pPr>
            <w:r w:rsidRPr="00EE0E12">
              <w:rPr>
                <w:rFonts w:asciiTheme="majorHAnsi" w:hAnsiTheme="majorHAnsi"/>
                <w:sz w:val="20"/>
                <w:szCs w:val="20"/>
                <w:lang w:val="pt-BR"/>
              </w:rPr>
              <w:t>0</w:t>
            </w:r>
            <w:r w:rsidRPr="00EE0E12">
              <w:rPr>
                <w:rFonts w:asciiTheme="majorHAnsi" w:hAnsiTheme="majorHAnsi"/>
                <w:sz w:val="20"/>
                <w:szCs w:val="20"/>
              </w:rPr>
              <w:t>5° 29’ 58,90’’</w:t>
            </w:r>
            <w:r w:rsidRPr="00EE0E12">
              <w:rPr>
                <w:rFonts w:asciiTheme="majorHAnsi" w:hAnsiTheme="majorHAnsi"/>
                <w:sz w:val="20"/>
                <w:szCs w:val="20"/>
                <w:lang w:val="pt-BR"/>
              </w:rPr>
              <w:t xml:space="preserve"> N</w:t>
            </w:r>
          </w:p>
        </w:tc>
      </w:tr>
      <w:tr w:rsidR="00707CE1" w:rsidRPr="0004587A" w14:paraId="2FB17889" w14:textId="77777777" w:rsidTr="00BB5D3B">
        <w:trPr>
          <w:trHeight w:val="340"/>
        </w:trPr>
        <w:tc>
          <w:tcPr>
            <w:tcW w:w="961" w:type="pct"/>
            <w:shd w:val="clear" w:color="auto" w:fill="D9D9D9" w:themeFill="background1" w:themeFillShade="D9"/>
            <w:vAlign w:val="center"/>
          </w:tcPr>
          <w:p w14:paraId="04F0E911" w14:textId="77777777" w:rsidR="00707CE1" w:rsidRPr="00EE0E12" w:rsidRDefault="00707CE1" w:rsidP="004C414F">
            <w:pPr>
              <w:pStyle w:val="TableParagraph"/>
              <w:tabs>
                <w:tab w:val="left" w:pos="10490"/>
              </w:tabs>
              <w:ind w:left="130" w:right="284"/>
              <w:jc w:val="center"/>
              <w:rPr>
                <w:rFonts w:asciiTheme="majorHAnsi" w:hAnsiTheme="majorHAnsi"/>
                <w:sz w:val="20"/>
                <w:szCs w:val="20"/>
                <w:lang w:val="pt-BR"/>
              </w:rPr>
            </w:pPr>
            <w:r w:rsidRPr="00EE0E12">
              <w:rPr>
                <w:rFonts w:asciiTheme="majorHAnsi" w:hAnsiTheme="majorHAnsi"/>
                <w:sz w:val="20"/>
                <w:szCs w:val="20"/>
                <w:lang w:val="pt-BR"/>
              </w:rPr>
              <w:t>3</w:t>
            </w:r>
          </w:p>
        </w:tc>
        <w:tc>
          <w:tcPr>
            <w:tcW w:w="2020" w:type="pct"/>
            <w:shd w:val="clear" w:color="auto" w:fill="D9D9D9" w:themeFill="background1" w:themeFillShade="D9"/>
            <w:vAlign w:val="center"/>
          </w:tcPr>
          <w:p w14:paraId="2929F6C9" w14:textId="77777777" w:rsidR="00707CE1" w:rsidRPr="00EE0E12" w:rsidRDefault="00707CE1" w:rsidP="004C414F">
            <w:pPr>
              <w:pStyle w:val="PEIParagrafo"/>
              <w:spacing w:before="0" w:after="0" w:line="240" w:lineRule="auto"/>
              <w:jc w:val="center"/>
              <w:rPr>
                <w:rFonts w:asciiTheme="majorHAnsi" w:hAnsiTheme="majorHAnsi"/>
                <w:sz w:val="20"/>
                <w:szCs w:val="20"/>
                <w:lang w:val="pt-BR"/>
              </w:rPr>
            </w:pPr>
            <w:r w:rsidRPr="00EE0E12">
              <w:rPr>
                <w:rFonts w:asciiTheme="majorHAnsi" w:hAnsiTheme="majorHAnsi"/>
                <w:sz w:val="20"/>
                <w:szCs w:val="20"/>
                <w:lang w:val="pt-BR"/>
              </w:rPr>
              <w:t>0</w:t>
            </w:r>
            <w:r w:rsidRPr="00EE0E12">
              <w:rPr>
                <w:rFonts w:asciiTheme="majorHAnsi" w:hAnsiTheme="majorHAnsi"/>
                <w:sz w:val="20"/>
                <w:szCs w:val="20"/>
              </w:rPr>
              <w:t xml:space="preserve">50° </w:t>
            </w:r>
            <w:r w:rsidRPr="00EE0E12">
              <w:rPr>
                <w:rFonts w:asciiTheme="majorHAnsi" w:hAnsiTheme="majorHAnsi"/>
                <w:sz w:val="20"/>
                <w:szCs w:val="20"/>
                <w:lang w:val="pt-BR"/>
              </w:rPr>
              <w:t>0</w:t>
            </w:r>
            <w:r w:rsidRPr="00EE0E12">
              <w:rPr>
                <w:rFonts w:asciiTheme="majorHAnsi" w:hAnsiTheme="majorHAnsi"/>
                <w:sz w:val="20"/>
                <w:szCs w:val="20"/>
              </w:rPr>
              <w:t xml:space="preserve">0’ </w:t>
            </w:r>
            <w:r w:rsidRPr="00EE0E12">
              <w:rPr>
                <w:rFonts w:asciiTheme="majorHAnsi" w:hAnsiTheme="majorHAnsi"/>
                <w:sz w:val="20"/>
                <w:szCs w:val="20"/>
                <w:lang w:val="pt-BR"/>
              </w:rPr>
              <w:t>0</w:t>
            </w:r>
            <w:r w:rsidRPr="00EE0E12">
              <w:rPr>
                <w:rFonts w:asciiTheme="majorHAnsi" w:hAnsiTheme="majorHAnsi"/>
                <w:sz w:val="20"/>
                <w:szCs w:val="20"/>
              </w:rPr>
              <w:t xml:space="preserve">1,59” </w:t>
            </w:r>
            <w:r w:rsidRPr="00EE0E12">
              <w:rPr>
                <w:rFonts w:asciiTheme="majorHAnsi" w:hAnsiTheme="majorHAnsi"/>
                <w:sz w:val="20"/>
                <w:szCs w:val="20"/>
                <w:lang w:val="pt-BR"/>
              </w:rPr>
              <w:t>W</w:t>
            </w:r>
          </w:p>
        </w:tc>
        <w:tc>
          <w:tcPr>
            <w:tcW w:w="2019" w:type="pct"/>
            <w:shd w:val="clear" w:color="auto" w:fill="D9D9D9" w:themeFill="background1" w:themeFillShade="D9"/>
            <w:vAlign w:val="center"/>
          </w:tcPr>
          <w:p w14:paraId="49ED4D0B" w14:textId="77777777" w:rsidR="00707CE1" w:rsidRPr="00EE0E12" w:rsidRDefault="00707CE1" w:rsidP="004C414F">
            <w:pPr>
              <w:pStyle w:val="PEIParagrafo"/>
              <w:spacing w:before="0" w:after="0" w:line="240" w:lineRule="auto"/>
              <w:jc w:val="center"/>
              <w:rPr>
                <w:rFonts w:asciiTheme="majorHAnsi" w:hAnsiTheme="majorHAnsi"/>
                <w:sz w:val="20"/>
                <w:szCs w:val="20"/>
                <w:lang w:val="pt-BR"/>
              </w:rPr>
            </w:pPr>
            <w:r w:rsidRPr="00EE0E12">
              <w:rPr>
                <w:rFonts w:asciiTheme="majorHAnsi" w:hAnsiTheme="majorHAnsi"/>
                <w:sz w:val="20"/>
                <w:szCs w:val="20"/>
                <w:lang w:val="pt-BR"/>
              </w:rPr>
              <w:t>0</w:t>
            </w:r>
            <w:r w:rsidRPr="00EE0E12">
              <w:rPr>
                <w:rFonts w:asciiTheme="majorHAnsi" w:hAnsiTheme="majorHAnsi"/>
                <w:sz w:val="20"/>
                <w:szCs w:val="20"/>
              </w:rPr>
              <w:t>5° 14’ 58,90’’</w:t>
            </w:r>
            <w:r w:rsidRPr="00EE0E12">
              <w:rPr>
                <w:rFonts w:asciiTheme="majorHAnsi" w:hAnsiTheme="majorHAnsi"/>
                <w:sz w:val="20"/>
                <w:szCs w:val="20"/>
                <w:lang w:val="pt-BR"/>
              </w:rPr>
              <w:t xml:space="preserve"> N</w:t>
            </w:r>
          </w:p>
        </w:tc>
      </w:tr>
      <w:tr w:rsidR="00707CE1" w:rsidRPr="0004587A" w14:paraId="7312B1EE" w14:textId="77777777" w:rsidTr="00BB5D3B">
        <w:trPr>
          <w:trHeight w:val="340"/>
        </w:trPr>
        <w:tc>
          <w:tcPr>
            <w:tcW w:w="961" w:type="pct"/>
            <w:shd w:val="clear" w:color="auto" w:fill="D9D9D9" w:themeFill="background1" w:themeFillShade="D9"/>
            <w:vAlign w:val="center"/>
          </w:tcPr>
          <w:p w14:paraId="4669FBEE" w14:textId="77777777" w:rsidR="00707CE1" w:rsidRPr="00EE0E12" w:rsidRDefault="00707CE1" w:rsidP="004C414F">
            <w:pPr>
              <w:pStyle w:val="TableParagraph"/>
              <w:tabs>
                <w:tab w:val="left" w:pos="10490"/>
              </w:tabs>
              <w:ind w:left="130" w:right="284"/>
              <w:jc w:val="center"/>
              <w:rPr>
                <w:rFonts w:asciiTheme="majorHAnsi" w:hAnsiTheme="majorHAnsi"/>
                <w:sz w:val="20"/>
                <w:szCs w:val="20"/>
                <w:lang w:val="pt-BR"/>
              </w:rPr>
            </w:pPr>
            <w:r w:rsidRPr="00EE0E12">
              <w:rPr>
                <w:rFonts w:asciiTheme="majorHAnsi" w:hAnsiTheme="majorHAnsi"/>
                <w:sz w:val="20"/>
                <w:szCs w:val="20"/>
                <w:lang w:val="pt-BR"/>
              </w:rPr>
              <w:t>4</w:t>
            </w:r>
          </w:p>
        </w:tc>
        <w:tc>
          <w:tcPr>
            <w:tcW w:w="2020" w:type="pct"/>
            <w:shd w:val="clear" w:color="auto" w:fill="D9D9D9" w:themeFill="background1" w:themeFillShade="D9"/>
            <w:vAlign w:val="center"/>
          </w:tcPr>
          <w:p w14:paraId="6AF2C355" w14:textId="77777777" w:rsidR="00707CE1" w:rsidRPr="00EE0E12" w:rsidRDefault="00707CE1" w:rsidP="004C414F">
            <w:pPr>
              <w:pStyle w:val="PEIParagrafo"/>
              <w:spacing w:before="0" w:after="0" w:line="240" w:lineRule="auto"/>
              <w:jc w:val="center"/>
              <w:rPr>
                <w:rFonts w:asciiTheme="majorHAnsi" w:hAnsiTheme="majorHAnsi"/>
                <w:sz w:val="20"/>
                <w:szCs w:val="20"/>
                <w:lang w:val="pt-BR"/>
              </w:rPr>
            </w:pPr>
            <w:r w:rsidRPr="00EE0E12">
              <w:rPr>
                <w:rFonts w:asciiTheme="majorHAnsi" w:hAnsiTheme="majorHAnsi"/>
                <w:sz w:val="20"/>
                <w:szCs w:val="20"/>
                <w:lang w:val="pt-BR"/>
              </w:rPr>
              <w:t>0</w:t>
            </w:r>
            <w:r w:rsidRPr="00EE0E12">
              <w:rPr>
                <w:rFonts w:asciiTheme="majorHAnsi" w:hAnsiTheme="majorHAnsi"/>
                <w:sz w:val="20"/>
                <w:szCs w:val="20"/>
              </w:rPr>
              <w:t xml:space="preserve">50° 15’ </w:t>
            </w:r>
            <w:r w:rsidRPr="00EE0E12">
              <w:rPr>
                <w:rFonts w:asciiTheme="majorHAnsi" w:hAnsiTheme="majorHAnsi"/>
                <w:sz w:val="20"/>
                <w:szCs w:val="20"/>
                <w:lang w:val="pt-BR"/>
              </w:rPr>
              <w:t>0</w:t>
            </w:r>
            <w:r w:rsidRPr="00EE0E12">
              <w:rPr>
                <w:rFonts w:asciiTheme="majorHAnsi" w:hAnsiTheme="majorHAnsi"/>
                <w:sz w:val="20"/>
                <w:szCs w:val="20"/>
              </w:rPr>
              <w:t>1,60”</w:t>
            </w:r>
            <w:r w:rsidRPr="00EE0E12">
              <w:rPr>
                <w:rFonts w:asciiTheme="majorHAnsi" w:hAnsiTheme="majorHAnsi"/>
                <w:sz w:val="20"/>
                <w:szCs w:val="20"/>
                <w:lang w:val="pt-BR"/>
              </w:rPr>
              <w:t xml:space="preserve"> W</w:t>
            </w:r>
          </w:p>
        </w:tc>
        <w:tc>
          <w:tcPr>
            <w:tcW w:w="2019" w:type="pct"/>
            <w:shd w:val="clear" w:color="auto" w:fill="D9D9D9" w:themeFill="background1" w:themeFillShade="D9"/>
            <w:vAlign w:val="center"/>
          </w:tcPr>
          <w:p w14:paraId="7E3C86F7" w14:textId="77777777" w:rsidR="00707CE1" w:rsidRPr="00EE0E12" w:rsidRDefault="00707CE1" w:rsidP="004C414F">
            <w:pPr>
              <w:pStyle w:val="PEIParagrafo"/>
              <w:spacing w:before="0" w:after="0" w:line="240" w:lineRule="auto"/>
              <w:jc w:val="center"/>
              <w:rPr>
                <w:rFonts w:asciiTheme="majorHAnsi" w:hAnsiTheme="majorHAnsi"/>
                <w:sz w:val="20"/>
                <w:szCs w:val="20"/>
                <w:lang w:val="pt-BR"/>
              </w:rPr>
            </w:pPr>
            <w:r w:rsidRPr="00EE0E12">
              <w:rPr>
                <w:rFonts w:asciiTheme="majorHAnsi" w:hAnsiTheme="majorHAnsi"/>
                <w:sz w:val="20"/>
                <w:szCs w:val="20"/>
                <w:lang w:val="pt-BR"/>
              </w:rPr>
              <w:t>0</w:t>
            </w:r>
            <w:r w:rsidRPr="00EE0E12">
              <w:rPr>
                <w:rFonts w:asciiTheme="majorHAnsi" w:hAnsiTheme="majorHAnsi"/>
                <w:sz w:val="20"/>
                <w:szCs w:val="20"/>
              </w:rPr>
              <w:t>5° 14’ 58,89’’</w:t>
            </w:r>
            <w:r w:rsidRPr="00EE0E12">
              <w:rPr>
                <w:rFonts w:asciiTheme="majorHAnsi" w:hAnsiTheme="majorHAnsi"/>
                <w:sz w:val="20"/>
                <w:szCs w:val="20"/>
                <w:lang w:val="pt-BR"/>
              </w:rPr>
              <w:t xml:space="preserve"> N</w:t>
            </w:r>
          </w:p>
        </w:tc>
      </w:tr>
    </w:tbl>
    <w:p w14:paraId="2F40EF93" w14:textId="48EDECCB" w:rsidR="00707CE1" w:rsidRDefault="00707CE1" w:rsidP="00582B75">
      <w:pPr>
        <w:pStyle w:val="tier1Itext"/>
        <w:keepLines w:val="0"/>
        <w:widowControl/>
        <w:spacing w:before="360"/>
      </w:pPr>
      <w:r w:rsidRPr="00EE0E12">
        <w:t>Durante as operações da BP</w:t>
      </w:r>
      <w:r w:rsidR="0009102C">
        <w:t xml:space="preserve"> Energy</w:t>
      </w:r>
      <w:r w:rsidRPr="00EE0E12">
        <w:t xml:space="preserve"> no Bloco FZA-M-59 está prevista a perfuração de 0</w:t>
      </w:r>
      <w:r w:rsidR="00366B62">
        <w:t>1</w:t>
      </w:r>
      <w:r w:rsidRPr="00EE0E12">
        <w:t xml:space="preserve"> (</w:t>
      </w:r>
      <w:r w:rsidR="00366B62">
        <w:t>um</w:t>
      </w:r>
      <w:r w:rsidRPr="00EE0E12">
        <w:t>) poço – preferencialmente o prospecto M</w:t>
      </w:r>
      <w:r w:rsidR="00366B62">
        <w:t>orpho</w:t>
      </w:r>
      <w:r w:rsidRPr="00EE0E12">
        <w:t xml:space="preserve">, cujas principais informações são indicadas na </w:t>
      </w:r>
      <w:r w:rsidRPr="00EE0E12">
        <w:fldChar w:fldCharType="begin"/>
      </w:r>
      <w:r w:rsidRPr="00EE0E12">
        <w:instrText xml:space="preserve"> REF _Ref407716039 \h  \* MERGEFORMAT </w:instrText>
      </w:r>
      <w:r w:rsidRPr="00EE0E12">
        <w:fldChar w:fldCharType="separate"/>
      </w:r>
      <w:r w:rsidR="00A50E67" w:rsidRPr="00A50E67">
        <w:rPr>
          <w:b/>
          <w:szCs w:val="22"/>
        </w:rPr>
        <w:t xml:space="preserve">Tabela </w:t>
      </w:r>
      <w:r w:rsidR="00A50E67" w:rsidRPr="00A50E67">
        <w:rPr>
          <w:b/>
          <w:noProof/>
          <w:szCs w:val="22"/>
        </w:rPr>
        <w:t>4</w:t>
      </w:r>
      <w:r w:rsidRPr="00EE0E12">
        <w:fldChar w:fldCharType="end"/>
      </w:r>
      <w:r w:rsidRPr="00EE0E12">
        <w:t xml:space="preserve">. </w:t>
      </w:r>
      <w:r w:rsidR="00366B62">
        <w:t>Este poço</w:t>
      </w:r>
      <w:r w:rsidRPr="00EE0E12">
        <w:t xml:space="preserve"> está previsto para ser iniciado em </w:t>
      </w:r>
      <w:r w:rsidR="00727758" w:rsidRPr="00D80C93">
        <w:rPr>
          <w:highlight w:val="lightGray"/>
        </w:rPr>
        <w:t>meados do mês de setembro de 2019</w:t>
      </w:r>
      <w:r w:rsidRPr="00EE0E12">
        <w:t xml:space="preserve">, </w:t>
      </w:r>
      <w:r w:rsidR="00366B62">
        <w:t xml:space="preserve">devendo ser </w:t>
      </w:r>
      <w:r w:rsidRPr="00EE0E12">
        <w:t xml:space="preserve">perfurado em </w:t>
      </w:r>
      <w:r w:rsidR="00366B62">
        <w:t xml:space="preserve">até </w:t>
      </w:r>
      <w:r w:rsidRPr="00EE0E12">
        <w:t>150 dias. Ele está situado a 1</w:t>
      </w:r>
      <w:r w:rsidR="00366B62">
        <w:t>79</w:t>
      </w:r>
      <w:r w:rsidRPr="00EE0E12">
        <w:t xml:space="preserve"> km da costa</w:t>
      </w:r>
      <w:r w:rsidRPr="00EE0E12">
        <w:rPr>
          <w:rStyle w:val="Refdenotaderodap"/>
        </w:rPr>
        <w:footnoteReference w:id="3"/>
      </w:r>
      <w:r w:rsidRPr="00EE0E12">
        <w:t xml:space="preserve"> e em uma lâmina d’água de </w:t>
      </w:r>
      <w:r w:rsidR="00366B62">
        <w:t>2</w:t>
      </w:r>
      <w:r w:rsidRPr="00EE0E12">
        <w:t>.</w:t>
      </w:r>
      <w:r w:rsidR="00366B62">
        <w:t>98</w:t>
      </w:r>
      <w:r w:rsidRPr="00EE0E12">
        <w:t xml:space="preserve">0 m de profundidade. </w:t>
      </w:r>
    </w:p>
    <w:p w14:paraId="5A043018" w14:textId="77777777" w:rsidR="00366B62" w:rsidRPr="00EE0E12" w:rsidRDefault="00366B62" w:rsidP="00582B75">
      <w:pPr>
        <w:pStyle w:val="tier1Itext"/>
        <w:keepLines w:val="0"/>
        <w:widowControl/>
        <w:spacing w:before="360"/>
      </w:pPr>
    </w:p>
    <w:tbl>
      <w:tblPr>
        <w:tblW w:w="5000" w:type="pct"/>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left w:w="70" w:type="dxa"/>
          <w:right w:w="70" w:type="dxa"/>
        </w:tblCellMar>
        <w:tblLook w:val="0000" w:firstRow="0" w:lastRow="0" w:firstColumn="0" w:lastColumn="0" w:noHBand="0" w:noVBand="0"/>
      </w:tblPr>
      <w:tblGrid>
        <w:gridCol w:w="1080"/>
        <w:gridCol w:w="1926"/>
        <w:gridCol w:w="1924"/>
        <w:gridCol w:w="1112"/>
        <w:gridCol w:w="1666"/>
        <w:gridCol w:w="1316"/>
      </w:tblGrid>
      <w:tr w:rsidR="00707CE1" w:rsidRPr="002C2D05" w14:paraId="7AD3B707" w14:textId="77777777" w:rsidTr="00BB5D3B">
        <w:trPr>
          <w:trHeight w:val="340"/>
        </w:trPr>
        <w:tc>
          <w:tcPr>
            <w:tcW w:w="5000" w:type="pct"/>
            <w:gridSpan w:val="6"/>
            <w:shd w:val="clear" w:color="auto" w:fill="FFFFFF" w:themeFill="background1"/>
            <w:vAlign w:val="bottom"/>
          </w:tcPr>
          <w:p w14:paraId="69339478" w14:textId="52DDAFB9" w:rsidR="00707CE1" w:rsidRPr="00EE0E12" w:rsidRDefault="00707CE1" w:rsidP="00366B62">
            <w:pPr>
              <w:pStyle w:val="Legenda"/>
              <w:spacing w:before="0" w:after="0" w:line="240" w:lineRule="auto"/>
              <w:jc w:val="left"/>
              <w:rPr>
                <w:rFonts w:cs="Calibri"/>
                <w:color w:val="FFFFFF"/>
              </w:rPr>
            </w:pPr>
            <w:bookmarkStart w:id="43" w:name="_Ref407716039"/>
            <w:bookmarkStart w:id="44" w:name="_Toc408566936"/>
            <w:bookmarkStart w:id="45" w:name="_Toc412642141"/>
            <w:bookmarkStart w:id="46" w:name="_Toc527990479"/>
            <w:r w:rsidRPr="00EE0E12">
              <w:lastRenderedPageBreak/>
              <w:t xml:space="preserve">Tabela </w:t>
            </w:r>
            <w:fldSimple w:instr=" SEQ Tabela \* ARABIC ">
              <w:r w:rsidR="00A50E67">
                <w:rPr>
                  <w:noProof/>
                </w:rPr>
                <w:t>4</w:t>
              </w:r>
            </w:fldSimple>
            <w:bookmarkEnd w:id="43"/>
            <w:r w:rsidRPr="00EE0E12">
              <w:t>: Informações do poço a ser perfurado pela BP</w:t>
            </w:r>
            <w:r w:rsidR="00366B62">
              <w:t xml:space="preserve"> Energy</w:t>
            </w:r>
            <w:r w:rsidRPr="00EE0E12">
              <w:t xml:space="preserve"> no Bloco FZA-M-59.</w:t>
            </w:r>
            <w:bookmarkEnd w:id="44"/>
            <w:bookmarkEnd w:id="45"/>
            <w:bookmarkEnd w:id="46"/>
          </w:p>
        </w:tc>
      </w:tr>
      <w:tr w:rsidR="00707CE1" w:rsidRPr="00420C5D" w14:paraId="51C0D7C9" w14:textId="77777777" w:rsidTr="00BB5D3B">
        <w:trPr>
          <w:trHeight w:val="387"/>
        </w:trPr>
        <w:tc>
          <w:tcPr>
            <w:tcW w:w="599" w:type="pct"/>
            <w:shd w:val="clear" w:color="auto" w:fill="1F497D"/>
            <w:vAlign w:val="center"/>
          </w:tcPr>
          <w:p w14:paraId="272175EA" w14:textId="77777777" w:rsidR="00707CE1" w:rsidRPr="00EE0E12" w:rsidRDefault="00707CE1" w:rsidP="008D4FB6">
            <w:pPr>
              <w:pStyle w:val="PEIParagrafo"/>
              <w:spacing w:before="0" w:after="0" w:line="240" w:lineRule="auto"/>
              <w:jc w:val="center"/>
              <w:rPr>
                <w:rFonts w:asciiTheme="majorHAnsi" w:hAnsiTheme="majorHAnsi" w:cs="Calibri"/>
                <w:b/>
                <w:color w:val="FFFFFF"/>
                <w:sz w:val="20"/>
                <w:szCs w:val="20"/>
                <w:lang w:val="pt-BR"/>
              </w:rPr>
            </w:pPr>
            <w:r w:rsidRPr="00EE0E12">
              <w:rPr>
                <w:rFonts w:asciiTheme="majorHAnsi" w:hAnsiTheme="majorHAnsi" w:cs="Calibri"/>
                <w:b/>
                <w:color w:val="FFFFFF"/>
                <w:sz w:val="20"/>
                <w:szCs w:val="20"/>
                <w:lang w:val="pt-BR"/>
              </w:rPr>
              <w:t>Poço</w:t>
            </w:r>
          </w:p>
        </w:tc>
        <w:tc>
          <w:tcPr>
            <w:tcW w:w="1067" w:type="pct"/>
            <w:shd w:val="clear" w:color="auto" w:fill="1F497D"/>
            <w:vAlign w:val="center"/>
          </w:tcPr>
          <w:p w14:paraId="49B55AEA" w14:textId="77777777" w:rsidR="00707CE1" w:rsidRPr="00EE0E12" w:rsidRDefault="00707CE1" w:rsidP="008D4FB6">
            <w:pPr>
              <w:pStyle w:val="PEIParagrafo"/>
              <w:spacing w:before="0" w:after="0" w:line="240" w:lineRule="auto"/>
              <w:jc w:val="center"/>
              <w:rPr>
                <w:rFonts w:asciiTheme="majorHAnsi" w:hAnsiTheme="majorHAnsi" w:cs="Calibri"/>
                <w:b/>
                <w:color w:val="FFFFFF"/>
                <w:sz w:val="20"/>
                <w:szCs w:val="20"/>
                <w:lang w:val="pt-BR"/>
              </w:rPr>
            </w:pPr>
            <w:r w:rsidRPr="00EE0E12">
              <w:rPr>
                <w:rFonts w:asciiTheme="majorHAnsi" w:hAnsiTheme="majorHAnsi" w:cs="Calibri"/>
                <w:b/>
                <w:color w:val="FFFFFF"/>
                <w:sz w:val="20"/>
                <w:szCs w:val="20"/>
                <w:lang w:val="pt-BR"/>
              </w:rPr>
              <w:t>Latitude</w:t>
            </w:r>
          </w:p>
        </w:tc>
        <w:tc>
          <w:tcPr>
            <w:tcW w:w="1066" w:type="pct"/>
            <w:shd w:val="clear" w:color="auto" w:fill="1F497D"/>
            <w:vAlign w:val="center"/>
          </w:tcPr>
          <w:p w14:paraId="4D6D92BB" w14:textId="77777777" w:rsidR="00707CE1" w:rsidRPr="00EE0E12" w:rsidRDefault="00707CE1" w:rsidP="008D4FB6">
            <w:pPr>
              <w:pStyle w:val="PEIParagrafo"/>
              <w:spacing w:before="0" w:after="0" w:line="240" w:lineRule="auto"/>
              <w:jc w:val="center"/>
              <w:rPr>
                <w:rFonts w:asciiTheme="majorHAnsi" w:hAnsiTheme="majorHAnsi" w:cs="Calibri"/>
                <w:b/>
                <w:color w:val="FFFFFF"/>
                <w:sz w:val="20"/>
                <w:szCs w:val="20"/>
                <w:lang w:val="pt-BR"/>
              </w:rPr>
            </w:pPr>
            <w:r w:rsidRPr="00EE0E12">
              <w:rPr>
                <w:rFonts w:asciiTheme="majorHAnsi" w:hAnsiTheme="majorHAnsi" w:cs="Calibri"/>
                <w:b/>
                <w:color w:val="FFFFFF"/>
                <w:sz w:val="20"/>
                <w:szCs w:val="20"/>
                <w:lang w:val="pt-BR"/>
              </w:rPr>
              <w:t>Longitude</w:t>
            </w:r>
          </w:p>
        </w:tc>
        <w:tc>
          <w:tcPr>
            <w:tcW w:w="616" w:type="pct"/>
            <w:shd w:val="clear" w:color="auto" w:fill="1F497D"/>
            <w:vAlign w:val="center"/>
          </w:tcPr>
          <w:p w14:paraId="7FA2F3F6" w14:textId="77777777" w:rsidR="00707CE1" w:rsidRPr="00EE0E12" w:rsidRDefault="00707CE1" w:rsidP="008D4FB6">
            <w:pPr>
              <w:pStyle w:val="PEIParagrafo"/>
              <w:spacing w:before="0" w:after="0" w:line="240" w:lineRule="auto"/>
              <w:jc w:val="center"/>
              <w:rPr>
                <w:rFonts w:asciiTheme="majorHAnsi" w:hAnsiTheme="majorHAnsi" w:cs="Calibri"/>
                <w:b/>
                <w:color w:val="FFFFFF"/>
                <w:sz w:val="20"/>
                <w:szCs w:val="20"/>
                <w:lang w:val="pt-BR"/>
              </w:rPr>
            </w:pPr>
            <w:r w:rsidRPr="00EE0E12">
              <w:rPr>
                <w:rFonts w:asciiTheme="majorHAnsi" w:hAnsiTheme="majorHAnsi" w:cs="Calibri"/>
                <w:b/>
                <w:color w:val="FFFFFF"/>
                <w:sz w:val="20"/>
                <w:szCs w:val="20"/>
                <w:lang w:val="pt-BR"/>
              </w:rPr>
              <w:t>Lâmina d’água (m)</w:t>
            </w:r>
          </w:p>
        </w:tc>
        <w:tc>
          <w:tcPr>
            <w:tcW w:w="923" w:type="pct"/>
            <w:shd w:val="clear" w:color="auto" w:fill="1F497D"/>
            <w:vAlign w:val="center"/>
          </w:tcPr>
          <w:p w14:paraId="29761104" w14:textId="77777777" w:rsidR="00707CE1" w:rsidRPr="00EE0E12" w:rsidRDefault="00707CE1" w:rsidP="008D4FB6">
            <w:pPr>
              <w:pStyle w:val="PEIParagrafo"/>
              <w:spacing w:before="0" w:after="0" w:line="240" w:lineRule="auto"/>
              <w:jc w:val="center"/>
              <w:rPr>
                <w:rFonts w:asciiTheme="majorHAnsi" w:hAnsiTheme="majorHAnsi" w:cs="Calibri"/>
                <w:b/>
                <w:color w:val="FFFFFF"/>
                <w:sz w:val="20"/>
                <w:szCs w:val="20"/>
                <w:highlight w:val="yellow"/>
                <w:lang w:val="pt-BR"/>
              </w:rPr>
            </w:pPr>
            <w:r w:rsidRPr="00EE0E12">
              <w:rPr>
                <w:rFonts w:asciiTheme="majorHAnsi" w:hAnsiTheme="majorHAnsi" w:cs="Calibri"/>
                <w:b/>
                <w:color w:val="FFFFFF"/>
                <w:sz w:val="20"/>
                <w:szCs w:val="20"/>
                <w:lang w:val="pt-BR"/>
              </w:rPr>
              <w:t>Menor distância aproximada da costa (km)</w:t>
            </w:r>
          </w:p>
        </w:tc>
        <w:tc>
          <w:tcPr>
            <w:tcW w:w="729" w:type="pct"/>
            <w:shd w:val="clear" w:color="auto" w:fill="1F497D"/>
            <w:vAlign w:val="center"/>
          </w:tcPr>
          <w:p w14:paraId="3177889E" w14:textId="77777777" w:rsidR="00707CE1" w:rsidRPr="00EE0E12" w:rsidRDefault="00707CE1" w:rsidP="008D4FB6">
            <w:pPr>
              <w:pStyle w:val="PEIParagrafo"/>
              <w:spacing w:before="0" w:after="0" w:line="240" w:lineRule="auto"/>
              <w:jc w:val="center"/>
              <w:rPr>
                <w:rFonts w:asciiTheme="majorHAnsi" w:hAnsiTheme="majorHAnsi" w:cs="Calibri"/>
                <w:b/>
                <w:color w:val="FFFFFF"/>
                <w:sz w:val="20"/>
                <w:szCs w:val="20"/>
                <w:lang w:val="pt-BR"/>
              </w:rPr>
            </w:pPr>
            <w:r w:rsidRPr="00EE0E12">
              <w:rPr>
                <w:rFonts w:asciiTheme="majorHAnsi" w:hAnsiTheme="majorHAnsi" w:cs="Calibri"/>
                <w:b/>
                <w:color w:val="FFFFFF"/>
                <w:sz w:val="20"/>
                <w:szCs w:val="20"/>
                <w:lang w:val="pt-BR"/>
              </w:rPr>
              <w:t>Ponto de Referência</w:t>
            </w:r>
          </w:p>
        </w:tc>
      </w:tr>
      <w:tr w:rsidR="00707CE1" w:rsidRPr="00420C5D" w14:paraId="35ED337B" w14:textId="77777777" w:rsidTr="00BB5D3B">
        <w:trPr>
          <w:trHeight w:val="413"/>
        </w:trPr>
        <w:tc>
          <w:tcPr>
            <w:tcW w:w="599" w:type="pct"/>
            <w:shd w:val="clear" w:color="auto" w:fill="D9D9D9" w:themeFill="background1" w:themeFillShade="D9"/>
            <w:vAlign w:val="center"/>
          </w:tcPr>
          <w:p w14:paraId="6E23114F" w14:textId="0000F5BC" w:rsidR="00707CE1" w:rsidRPr="00EE0E12" w:rsidRDefault="00707CE1" w:rsidP="00366B62">
            <w:pPr>
              <w:spacing w:before="0" w:line="240" w:lineRule="auto"/>
              <w:jc w:val="center"/>
              <w:rPr>
                <w:rFonts w:asciiTheme="majorHAnsi" w:hAnsiTheme="majorHAnsi" w:cs="Calibri"/>
                <w:sz w:val="20"/>
                <w:szCs w:val="20"/>
              </w:rPr>
            </w:pPr>
            <w:bookmarkStart w:id="47" w:name="_Hlk295206119"/>
            <w:r w:rsidRPr="00EE0E12">
              <w:rPr>
                <w:rFonts w:asciiTheme="majorHAnsi" w:hAnsiTheme="majorHAnsi"/>
                <w:sz w:val="20"/>
                <w:szCs w:val="20"/>
              </w:rPr>
              <w:t>M</w:t>
            </w:r>
            <w:r w:rsidR="00366B62">
              <w:rPr>
                <w:rFonts w:asciiTheme="majorHAnsi" w:hAnsiTheme="majorHAnsi"/>
                <w:sz w:val="20"/>
                <w:szCs w:val="20"/>
              </w:rPr>
              <w:t>orpho</w:t>
            </w:r>
          </w:p>
        </w:tc>
        <w:tc>
          <w:tcPr>
            <w:tcW w:w="1067" w:type="pct"/>
            <w:shd w:val="clear" w:color="auto" w:fill="D9D9D9" w:themeFill="background1" w:themeFillShade="D9"/>
            <w:vAlign w:val="center"/>
          </w:tcPr>
          <w:p w14:paraId="525BF4FD" w14:textId="1A5F5222" w:rsidR="00707CE1" w:rsidRPr="00EE0E12" w:rsidRDefault="00707CE1" w:rsidP="00366B62">
            <w:pPr>
              <w:spacing w:before="0" w:line="240" w:lineRule="auto"/>
              <w:jc w:val="center"/>
              <w:rPr>
                <w:rFonts w:asciiTheme="majorHAnsi" w:hAnsiTheme="majorHAnsi" w:cs="Calibri"/>
                <w:sz w:val="20"/>
                <w:szCs w:val="20"/>
              </w:rPr>
            </w:pPr>
            <w:r w:rsidRPr="00EE0E12">
              <w:rPr>
                <w:rFonts w:asciiTheme="majorHAnsi" w:hAnsiTheme="majorHAnsi"/>
                <w:sz w:val="20"/>
                <w:szCs w:val="20"/>
              </w:rPr>
              <w:t xml:space="preserve">05º </w:t>
            </w:r>
            <w:r w:rsidR="00366B62">
              <w:rPr>
                <w:rFonts w:asciiTheme="majorHAnsi" w:hAnsiTheme="majorHAnsi"/>
                <w:sz w:val="20"/>
                <w:szCs w:val="20"/>
              </w:rPr>
              <w:t>18</w:t>
            </w:r>
            <w:r w:rsidRPr="00EE0E12">
              <w:rPr>
                <w:rFonts w:asciiTheme="majorHAnsi" w:hAnsiTheme="majorHAnsi"/>
                <w:sz w:val="20"/>
                <w:szCs w:val="20"/>
              </w:rPr>
              <w:t xml:space="preserve">’ </w:t>
            </w:r>
            <w:r w:rsidR="00366B62">
              <w:rPr>
                <w:rFonts w:asciiTheme="majorHAnsi" w:hAnsiTheme="majorHAnsi"/>
                <w:sz w:val="20"/>
                <w:szCs w:val="20"/>
              </w:rPr>
              <w:t>55</w:t>
            </w:r>
            <w:r w:rsidRPr="00EE0E12">
              <w:rPr>
                <w:rFonts w:asciiTheme="majorHAnsi" w:hAnsiTheme="majorHAnsi"/>
                <w:sz w:val="20"/>
                <w:szCs w:val="20"/>
              </w:rPr>
              <w:t>,7</w:t>
            </w:r>
            <w:r w:rsidR="00366B62">
              <w:rPr>
                <w:rFonts w:asciiTheme="majorHAnsi" w:hAnsiTheme="majorHAnsi"/>
                <w:sz w:val="20"/>
                <w:szCs w:val="20"/>
              </w:rPr>
              <w:t>65</w:t>
            </w:r>
            <w:r w:rsidRPr="00EE0E12">
              <w:rPr>
                <w:rFonts w:asciiTheme="majorHAnsi" w:hAnsiTheme="majorHAnsi"/>
                <w:sz w:val="20"/>
                <w:szCs w:val="20"/>
              </w:rPr>
              <w:t>”N</w:t>
            </w:r>
          </w:p>
        </w:tc>
        <w:tc>
          <w:tcPr>
            <w:tcW w:w="1066" w:type="pct"/>
            <w:shd w:val="clear" w:color="auto" w:fill="D9D9D9" w:themeFill="background1" w:themeFillShade="D9"/>
            <w:vAlign w:val="center"/>
          </w:tcPr>
          <w:p w14:paraId="2CD28054" w14:textId="1253418B" w:rsidR="00707CE1" w:rsidRPr="00EE0E12" w:rsidRDefault="00707CE1" w:rsidP="00366B62">
            <w:pPr>
              <w:spacing w:before="0" w:line="240" w:lineRule="auto"/>
              <w:jc w:val="center"/>
              <w:rPr>
                <w:rFonts w:asciiTheme="majorHAnsi" w:hAnsiTheme="majorHAnsi" w:cs="Calibri"/>
                <w:sz w:val="20"/>
                <w:szCs w:val="20"/>
              </w:rPr>
            </w:pPr>
            <w:r w:rsidRPr="00EE0E12">
              <w:rPr>
                <w:rFonts w:asciiTheme="majorHAnsi" w:hAnsiTheme="majorHAnsi"/>
                <w:sz w:val="20"/>
                <w:szCs w:val="20"/>
              </w:rPr>
              <w:t>050</w:t>
            </w:r>
            <w:r w:rsidR="00AB59A9">
              <w:rPr>
                <w:rFonts w:asciiTheme="majorHAnsi" w:hAnsiTheme="majorHAnsi"/>
                <w:sz w:val="20"/>
                <w:szCs w:val="20"/>
              </w:rPr>
              <w:t>º</w:t>
            </w:r>
            <w:r w:rsidRPr="00EE0E12">
              <w:rPr>
                <w:rFonts w:asciiTheme="majorHAnsi" w:hAnsiTheme="majorHAnsi"/>
                <w:sz w:val="20"/>
                <w:szCs w:val="20"/>
              </w:rPr>
              <w:t xml:space="preserve"> </w:t>
            </w:r>
            <w:r w:rsidR="00366B62">
              <w:rPr>
                <w:rFonts w:asciiTheme="majorHAnsi" w:hAnsiTheme="majorHAnsi"/>
                <w:sz w:val="20"/>
                <w:szCs w:val="20"/>
              </w:rPr>
              <w:t>04</w:t>
            </w:r>
            <w:r w:rsidRPr="00EE0E12">
              <w:rPr>
                <w:rFonts w:asciiTheme="majorHAnsi" w:hAnsiTheme="majorHAnsi"/>
                <w:sz w:val="20"/>
                <w:szCs w:val="20"/>
              </w:rPr>
              <w:t xml:space="preserve">’ </w:t>
            </w:r>
            <w:r w:rsidR="00366B62">
              <w:rPr>
                <w:rFonts w:asciiTheme="majorHAnsi" w:hAnsiTheme="majorHAnsi"/>
                <w:sz w:val="20"/>
                <w:szCs w:val="20"/>
              </w:rPr>
              <w:t>26</w:t>
            </w:r>
            <w:r w:rsidRPr="00EE0E12">
              <w:rPr>
                <w:rFonts w:asciiTheme="majorHAnsi" w:hAnsiTheme="majorHAnsi"/>
                <w:sz w:val="20"/>
                <w:szCs w:val="20"/>
              </w:rPr>
              <w:t>,</w:t>
            </w:r>
            <w:r w:rsidR="00366B62">
              <w:rPr>
                <w:rFonts w:asciiTheme="majorHAnsi" w:hAnsiTheme="majorHAnsi"/>
                <w:sz w:val="20"/>
                <w:szCs w:val="20"/>
              </w:rPr>
              <w:t>997</w:t>
            </w:r>
            <w:r w:rsidRPr="00EE0E12">
              <w:rPr>
                <w:rFonts w:asciiTheme="majorHAnsi" w:hAnsiTheme="majorHAnsi"/>
                <w:sz w:val="20"/>
                <w:szCs w:val="20"/>
              </w:rPr>
              <w:t>” W</w:t>
            </w:r>
          </w:p>
        </w:tc>
        <w:tc>
          <w:tcPr>
            <w:tcW w:w="616" w:type="pct"/>
            <w:shd w:val="clear" w:color="auto" w:fill="D9D9D9" w:themeFill="background1" w:themeFillShade="D9"/>
            <w:vAlign w:val="center"/>
          </w:tcPr>
          <w:p w14:paraId="2291D801" w14:textId="709B2B1C" w:rsidR="00707CE1" w:rsidRPr="00EE0E12" w:rsidRDefault="00366B62" w:rsidP="00366B62">
            <w:pPr>
              <w:spacing w:before="0" w:line="240" w:lineRule="auto"/>
              <w:jc w:val="center"/>
              <w:rPr>
                <w:rFonts w:asciiTheme="majorHAnsi" w:hAnsiTheme="majorHAnsi" w:cs="Calibri"/>
                <w:sz w:val="20"/>
                <w:szCs w:val="20"/>
              </w:rPr>
            </w:pPr>
            <w:r>
              <w:rPr>
                <w:rFonts w:asciiTheme="majorHAnsi" w:hAnsiTheme="majorHAnsi"/>
                <w:sz w:val="20"/>
                <w:szCs w:val="20"/>
              </w:rPr>
              <w:t>2</w:t>
            </w:r>
            <w:r w:rsidR="00707CE1" w:rsidRPr="00EE0E12">
              <w:rPr>
                <w:rFonts w:asciiTheme="majorHAnsi" w:hAnsiTheme="majorHAnsi"/>
                <w:sz w:val="20"/>
                <w:szCs w:val="20"/>
              </w:rPr>
              <w:t>.</w:t>
            </w:r>
            <w:r>
              <w:rPr>
                <w:rFonts w:asciiTheme="majorHAnsi" w:hAnsiTheme="majorHAnsi"/>
                <w:sz w:val="20"/>
                <w:szCs w:val="20"/>
              </w:rPr>
              <w:t>98</w:t>
            </w:r>
            <w:r w:rsidR="00707CE1" w:rsidRPr="00EE0E12">
              <w:rPr>
                <w:rFonts w:asciiTheme="majorHAnsi" w:hAnsiTheme="majorHAnsi"/>
                <w:sz w:val="20"/>
                <w:szCs w:val="20"/>
              </w:rPr>
              <w:t>0</w:t>
            </w:r>
          </w:p>
        </w:tc>
        <w:tc>
          <w:tcPr>
            <w:tcW w:w="923" w:type="pct"/>
            <w:shd w:val="clear" w:color="auto" w:fill="D9D9D9" w:themeFill="background1" w:themeFillShade="D9"/>
            <w:vAlign w:val="center"/>
          </w:tcPr>
          <w:p w14:paraId="50186EC3" w14:textId="2DDF9E8D" w:rsidR="00707CE1" w:rsidRPr="00EE0E12" w:rsidRDefault="00707CE1" w:rsidP="00366B62">
            <w:pPr>
              <w:spacing w:before="0" w:line="240" w:lineRule="auto"/>
              <w:jc w:val="center"/>
              <w:rPr>
                <w:rFonts w:asciiTheme="majorHAnsi" w:hAnsiTheme="majorHAnsi" w:cs="Calibri"/>
                <w:sz w:val="20"/>
                <w:szCs w:val="20"/>
              </w:rPr>
            </w:pPr>
            <w:r w:rsidRPr="00EE0E12">
              <w:rPr>
                <w:rFonts w:asciiTheme="majorHAnsi" w:hAnsiTheme="majorHAnsi"/>
                <w:sz w:val="20"/>
                <w:szCs w:val="20"/>
              </w:rPr>
              <w:t>1</w:t>
            </w:r>
            <w:r w:rsidR="00366B62">
              <w:rPr>
                <w:rFonts w:asciiTheme="majorHAnsi" w:hAnsiTheme="majorHAnsi"/>
                <w:sz w:val="20"/>
                <w:szCs w:val="20"/>
              </w:rPr>
              <w:t>79</w:t>
            </w:r>
          </w:p>
        </w:tc>
        <w:tc>
          <w:tcPr>
            <w:tcW w:w="729" w:type="pct"/>
            <w:shd w:val="clear" w:color="auto" w:fill="D9D9D9" w:themeFill="background1" w:themeFillShade="D9"/>
            <w:vAlign w:val="center"/>
          </w:tcPr>
          <w:p w14:paraId="545E04DB" w14:textId="77777777" w:rsidR="00707CE1" w:rsidRPr="00EE0E12" w:rsidRDefault="00707CE1" w:rsidP="008D4FB6">
            <w:pPr>
              <w:spacing w:before="0" w:line="240" w:lineRule="auto"/>
              <w:jc w:val="center"/>
              <w:rPr>
                <w:rFonts w:asciiTheme="majorHAnsi" w:hAnsiTheme="majorHAnsi" w:cs="Calibri"/>
                <w:sz w:val="20"/>
                <w:szCs w:val="20"/>
              </w:rPr>
            </w:pPr>
            <w:r w:rsidRPr="00EE0E12">
              <w:rPr>
                <w:rFonts w:asciiTheme="majorHAnsi" w:hAnsiTheme="majorHAnsi"/>
                <w:sz w:val="20"/>
                <w:szCs w:val="20"/>
              </w:rPr>
              <w:t>Oiapoque</w:t>
            </w:r>
          </w:p>
        </w:tc>
      </w:tr>
    </w:tbl>
    <w:bookmarkEnd w:id="47"/>
    <w:p w14:paraId="30630543" w14:textId="00D60445" w:rsidR="00707CE1" w:rsidRPr="00EE0E12" w:rsidRDefault="00707CE1" w:rsidP="00AB59A9">
      <w:pPr>
        <w:pStyle w:val="tier1Itext"/>
        <w:spacing w:before="360"/>
      </w:pPr>
      <w:r w:rsidRPr="00EE0E12">
        <w:t xml:space="preserve">Para as atividades de perfuração marítima no Bloco FZA-M-59 será utilizado o navio sonda </w:t>
      </w:r>
      <w:r w:rsidRPr="00EE0E12">
        <w:rPr>
          <w:rFonts w:cs="TT1D8t00"/>
          <w:szCs w:val="22"/>
        </w:rPr>
        <w:t>ENSCO DS-</w:t>
      </w:r>
      <w:r w:rsidR="00366B62">
        <w:rPr>
          <w:rFonts w:cs="TT1D8t00"/>
          <w:szCs w:val="22"/>
        </w:rPr>
        <w:t>9</w:t>
      </w:r>
      <w:r w:rsidRPr="00EE0E12">
        <w:rPr>
          <w:rFonts w:cs="TT1D8t00"/>
          <w:szCs w:val="22"/>
        </w:rPr>
        <w:t xml:space="preserve"> (</w:t>
      </w:r>
      <w:r w:rsidRPr="00EE0E12">
        <w:rPr>
          <w:b/>
        </w:rPr>
        <w:fldChar w:fldCharType="begin"/>
      </w:r>
      <w:r w:rsidRPr="00EE0E12">
        <w:rPr>
          <w:b/>
        </w:rPr>
        <w:instrText xml:space="preserve"> REF _Ref407697235 \h  \* MERGEFORMAT </w:instrText>
      </w:r>
      <w:r w:rsidRPr="00EE0E12">
        <w:rPr>
          <w:b/>
        </w:rPr>
      </w:r>
      <w:r w:rsidRPr="00EE0E12">
        <w:rPr>
          <w:b/>
        </w:rPr>
        <w:fldChar w:fldCharType="separate"/>
      </w:r>
      <w:r w:rsidR="00A50E67" w:rsidRPr="00A50E67">
        <w:rPr>
          <w:b/>
        </w:rPr>
        <w:t xml:space="preserve">Tabela </w:t>
      </w:r>
      <w:r w:rsidR="00A50E67" w:rsidRPr="00A50E67">
        <w:rPr>
          <w:b/>
          <w:noProof/>
        </w:rPr>
        <w:t>5</w:t>
      </w:r>
      <w:r w:rsidRPr="00EE0E12">
        <w:rPr>
          <w:b/>
        </w:rPr>
        <w:fldChar w:fldCharType="end"/>
      </w:r>
      <w:r w:rsidRPr="00EE0E12">
        <w:t>). Antes do início da perfuração d</w:t>
      </w:r>
      <w:r w:rsidR="00366B62">
        <w:t>o</w:t>
      </w:r>
      <w:r w:rsidRPr="00EE0E12">
        <w:t xml:space="preserve"> poço, o navio sonda navegará até a locação, permanecendo nesta posição durante a atividade por meio do seu sistema de posicionamento dinâmico. Após fechamento e abandono do poço, a sonda </w:t>
      </w:r>
      <w:r w:rsidR="00366B62">
        <w:t>será desmobilizada</w:t>
      </w:r>
      <w:r w:rsidRPr="00EE0E12">
        <w:t>. As dimensões principais e demais características da ENSCO DS-</w:t>
      </w:r>
      <w:r w:rsidR="00366B62">
        <w:t>9</w:t>
      </w:r>
      <w:r w:rsidRPr="00EE0E12">
        <w:t xml:space="preserve"> são apresentadas no </w:t>
      </w:r>
      <w:r w:rsidRPr="00CE6488">
        <w:rPr>
          <w:b/>
        </w:rPr>
        <w:t>A</w:t>
      </w:r>
      <w:r w:rsidR="00D66D31" w:rsidRPr="00CE6488">
        <w:rPr>
          <w:b/>
        </w:rPr>
        <w:t>NEXO</w:t>
      </w:r>
      <w:r w:rsidRPr="00CE6488">
        <w:rPr>
          <w:b/>
        </w:rPr>
        <w:t> A</w:t>
      </w:r>
      <w:r w:rsidR="00CE6488" w:rsidRPr="00CE6488">
        <w:rPr>
          <w:rStyle w:val="Refdenotaderodap"/>
          <w:b/>
        </w:rPr>
        <w:footnoteReference w:id="4"/>
      </w:r>
      <w:r w:rsidRPr="00CE6488">
        <w:t>.</w:t>
      </w:r>
    </w:p>
    <w:tbl>
      <w:tblPr>
        <w:tblW w:w="5000" w:type="pct"/>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left w:w="70" w:type="dxa"/>
          <w:right w:w="70" w:type="dxa"/>
        </w:tblCellMar>
        <w:tblLook w:val="04A0" w:firstRow="1" w:lastRow="0" w:firstColumn="1" w:lastColumn="0" w:noHBand="0" w:noVBand="1"/>
      </w:tblPr>
      <w:tblGrid>
        <w:gridCol w:w="3124"/>
        <w:gridCol w:w="5900"/>
      </w:tblGrid>
      <w:tr w:rsidR="00707CE1" w:rsidRPr="002C2D05" w14:paraId="2B507B86" w14:textId="77777777" w:rsidTr="00AB59A9">
        <w:trPr>
          <w:trHeight w:val="340"/>
          <w:tblHeader/>
        </w:trPr>
        <w:tc>
          <w:tcPr>
            <w:tcW w:w="5000" w:type="pct"/>
            <w:gridSpan w:val="2"/>
            <w:tcBorders>
              <w:top w:val="single" w:sz="18" w:space="0" w:color="FFFFFF"/>
              <w:left w:val="single" w:sz="18" w:space="0" w:color="FFFFFF"/>
              <w:bottom w:val="single" w:sz="18" w:space="0" w:color="FFFFFF"/>
              <w:right w:val="single" w:sz="18" w:space="0" w:color="FFFFFF"/>
            </w:tcBorders>
            <w:shd w:val="clear" w:color="auto" w:fill="auto"/>
            <w:noWrap/>
            <w:vAlign w:val="bottom"/>
            <w:hideMark/>
          </w:tcPr>
          <w:p w14:paraId="61CDB2C8" w14:textId="1FDD18C4" w:rsidR="00707CE1" w:rsidRPr="00EE0E12" w:rsidRDefault="00707CE1" w:rsidP="00366B62">
            <w:pPr>
              <w:pStyle w:val="Legenda"/>
              <w:keepNext w:val="0"/>
              <w:spacing w:before="0" w:after="0" w:line="240" w:lineRule="auto"/>
              <w:jc w:val="left"/>
              <w:rPr>
                <w:rFonts w:cs="Calibri"/>
                <w:color w:val="FFFFFF"/>
              </w:rPr>
            </w:pPr>
            <w:bookmarkStart w:id="48" w:name="_Ref407697235"/>
            <w:bookmarkStart w:id="49" w:name="_Toc408566938"/>
            <w:bookmarkStart w:id="50" w:name="_Toc412642142"/>
            <w:bookmarkStart w:id="51" w:name="_Toc527990480"/>
            <w:r w:rsidRPr="00EE0E12">
              <w:t xml:space="preserve">Tabela </w:t>
            </w:r>
            <w:fldSimple w:instr=" SEQ Tabela \* ARABIC ">
              <w:r w:rsidR="00A50E67">
                <w:rPr>
                  <w:noProof/>
                </w:rPr>
                <w:t>5</w:t>
              </w:r>
            </w:fldSimple>
            <w:bookmarkEnd w:id="48"/>
            <w:r w:rsidRPr="00EE0E12">
              <w:t xml:space="preserve">: Dados da </w:t>
            </w:r>
            <w:r w:rsidRPr="00EE0E12">
              <w:rPr>
                <w:rFonts w:cs="TT1D8t00"/>
              </w:rPr>
              <w:t>ENSCO DS-</w:t>
            </w:r>
            <w:r w:rsidR="00366B62">
              <w:rPr>
                <w:rFonts w:cs="TT1D8t00"/>
              </w:rPr>
              <w:t>9</w:t>
            </w:r>
            <w:bookmarkEnd w:id="49"/>
            <w:r w:rsidRPr="00EE0E12">
              <w:rPr>
                <w:rFonts w:cs="TT1D8t00"/>
              </w:rPr>
              <w:t>.</w:t>
            </w:r>
            <w:bookmarkEnd w:id="50"/>
            <w:bookmarkEnd w:id="51"/>
          </w:p>
        </w:tc>
      </w:tr>
      <w:tr w:rsidR="00707CE1" w:rsidRPr="00065B57" w14:paraId="75CFCF71" w14:textId="77777777" w:rsidTr="00AB59A9">
        <w:trPr>
          <w:trHeight w:val="20"/>
        </w:trPr>
        <w:tc>
          <w:tcPr>
            <w:tcW w:w="1731" w:type="pct"/>
            <w:tcBorders>
              <w:top w:val="single" w:sz="18" w:space="0" w:color="FFFFFF"/>
              <w:left w:val="single" w:sz="18" w:space="0" w:color="FFFFFF"/>
              <w:right w:val="single" w:sz="18" w:space="0" w:color="FFFFFF"/>
            </w:tcBorders>
            <w:shd w:val="clear" w:color="auto" w:fill="1F497D"/>
            <w:vAlign w:val="center"/>
          </w:tcPr>
          <w:p w14:paraId="499F877D" w14:textId="77777777" w:rsidR="00707CE1" w:rsidRPr="00EE0E12" w:rsidRDefault="00707CE1" w:rsidP="00582B75">
            <w:pPr>
              <w:pStyle w:val="TableParagraph"/>
              <w:tabs>
                <w:tab w:val="left" w:pos="10490"/>
              </w:tabs>
              <w:spacing w:before="60" w:after="60"/>
              <w:ind w:left="130" w:right="284"/>
              <w:jc w:val="both"/>
              <w:rPr>
                <w:rFonts w:asciiTheme="majorHAnsi" w:hAnsiTheme="majorHAnsi"/>
                <w:b/>
                <w:bCs/>
                <w:color w:val="FFFFFF"/>
                <w:sz w:val="20"/>
                <w:szCs w:val="20"/>
                <w:lang w:val="pt-BR"/>
              </w:rPr>
            </w:pPr>
            <w:r w:rsidRPr="00EE0E12">
              <w:rPr>
                <w:rFonts w:asciiTheme="majorHAnsi" w:hAnsiTheme="majorHAnsi"/>
                <w:b/>
                <w:bCs/>
                <w:color w:val="FFFFFF"/>
                <w:sz w:val="20"/>
                <w:szCs w:val="20"/>
                <w:lang w:val="pt-BR"/>
              </w:rPr>
              <w:t>Nome</w:t>
            </w:r>
          </w:p>
        </w:tc>
        <w:tc>
          <w:tcPr>
            <w:tcW w:w="3269" w:type="pct"/>
            <w:tcBorders>
              <w:top w:val="single" w:sz="18" w:space="0" w:color="FFFFFF"/>
              <w:left w:val="single" w:sz="18" w:space="0" w:color="FFFFFF"/>
              <w:bottom w:val="single" w:sz="18" w:space="0" w:color="FFFFFF"/>
              <w:right w:val="single" w:sz="18" w:space="0" w:color="FFFFFF"/>
            </w:tcBorders>
            <w:shd w:val="clear" w:color="auto" w:fill="D9D9D9"/>
          </w:tcPr>
          <w:p w14:paraId="081DAF04" w14:textId="7FB5A959" w:rsidR="00707CE1" w:rsidRPr="00EE0E12" w:rsidRDefault="00707CE1" w:rsidP="00366B62">
            <w:pPr>
              <w:pStyle w:val="TableParagraph"/>
              <w:tabs>
                <w:tab w:val="left" w:pos="10490"/>
              </w:tabs>
              <w:spacing w:before="60" w:after="60"/>
              <w:ind w:left="130" w:right="284"/>
              <w:jc w:val="both"/>
              <w:rPr>
                <w:rFonts w:asciiTheme="majorHAnsi" w:hAnsiTheme="majorHAnsi"/>
                <w:sz w:val="20"/>
                <w:szCs w:val="20"/>
                <w:highlight w:val="yellow"/>
                <w:lang w:val="pt-BR"/>
              </w:rPr>
            </w:pPr>
            <w:r w:rsidRPr="00EE0E12">
              <w:rPr>
                <w:rFonts w:asciiTheme="majorHAnsi" w:hAnsiTheme="majorHAnsi" w:cs="TT1D8t00"/>
                <w:sz w:val="20"/>
                <w:szCs w:val="20"/>
              </w:rPr>
              <w:t>ENSCO DS-</w:t>
            </w:r>
            <w:r w:rsidR="00366B62">
              <w:rPr>
                <w:rFonts w:asciiTheme="majorHAnsi" w:hAnsiTheme="majorHAnsi" w:cs="TT1D8t00"/>
                <w:sz w:val="20"/>
                <w:szCs w:val="20"/>
              </w:rPr>
              <w:t>9</w:t>
            </w:r>
          </w:p>
        </w:tc>
      </w:tr>
      <w:tr w:rsidR="00707CE1" w:rsidRPr="00065B57" w14:paraId="6DC95E61" w14:textId="77777777" w:rsidTr="00AB59A9">
        <w:trPr>
          <w:trHeight w:val="20"/>
        </w:trPr>
        <w:tc>
          <w:tcPr>
            <w:tcW w:w="1731" w:type="pct"/>
            <w:tcBorders>
              <w:top w:val="single" w:sz="18" w:space="0" w:color="FFFFFF"/>
              <w:left w:val="single" w:sz="18" w:space="0" w:color="FFFFFF"/>
              <w:right w:val="single" w:sz="18" w:space="0" w:color="FFFFFF"/>
            </w:tcBorders>
            <w:shd w:val="clear" w:color="auto" w:fill="1F497D"/>
            <w:vAlign w:val="center"/>
            <w:hideMark/>
          </w:tcPr>
          <w:p w14:paraId="40561B96" w14:textId="77777777" w:rsidR="00707CE1" w:rsidRPr="00EE0E12" w:rsidRDefault="00707CE1" w:rsidP="00582B75">
            <w:pPr>
              <w:pStyle w:val="TableParagraph"/>
              <w:tabs>
                <w:tab w:val="left" w:pos="10490"/>
              </w:tabs>
              <w:spacing w:before="60" w:after="60"/>
              <w:ind w:left="130" w:right="284"/>
              <w:jc w:val="both"/>
              <w:rPr>
                <w:rFonts w:asciiTheme="majorHAnsi" w:hAnsiTheme="majorHAnsi"/>
                <w:b/>
                <w:bCs/>
                <w:color w:val="FFFFFF"/>
                <w:sz w:val="20"/>
                <w:szCs w:val="20"/>
                <w:lang w:val="pt-BR"/>
              </w:rPr>
            </w:pPr>
            <w:r w:rsidRPr="00EE0E12">
              <w:rPr>
                <w:rFonts w:asciiTheme="majorHAnsi" w:hAnsiTheme="majorHAnsi"/>
                <w:b/>
                <w:bCs/>
                <w:color w:val="FFFFFF"/>
                <w:sz w:val="20"/>
                <w:szCs w:val="20"/>
                <w:lang w:val="pt-BR"/>
              </w:rPr>
              <w:t>Empresa responsável:</w:t>
            </w:r>
          </w:p>
        </w:tc>
        <w:tc>
          <w:tcPr>
            <w:tcW w:w="3269" w:type="pct"/>
            <w:tcBorders>
              <w:top w:val="single" w:sz="18" w:space="0" w:color="FFFFFF"/>
              <w:left w:val="single" w:sz="18" w:space="0" w:color="FFFFFF"/>
              <w:bottom w:val="single" w:sz="18" w:space="0" w:color="FFFFFF"/>
              <w:right w:val="single" w:sz="18" w:space="0" w:color="FFFFFF"/>
            </w:tcBorders>
            <w:shd w:val="clear" w:color="auto" w:fill="D9D9D9"/>
          </w:tcPr>
          <w:p w14:paraId="426D14F2" w14:textId="77777777" w:rsidR="00707CE1" w:rsidRPr="00EE0E12" w:rsidRDefault="00707CE1" w:rsidP="00582B75">
            <w:pPr>
              <w:pStyle w:val="TableParagraph"/>
              <w:tabs>
                <w:tab w:val="left" w:pos="10490"/>
              </w:tabs>
              <w:spacing w:before="60" w:after="60"/>
              <w:ind w:left="130" w:right="284"/>
              <w:jc w:val="both"/>
              <w:rPr>
                <w:rFonts w:asciiTheme="majorHAnsi" w:hAnsiTheme="majorHAnsi"/>
                <w:sz w:val="20"/>
                <w:szCs w:val="20"/>
                <w:highlight w:val="yellow"/>
                <w:lang w:val="pt-BR"/>
              </w:rPr>
            </w:pPr>
            <w:r w:rsidRPr="00EE0E12">
              <w:rPr>
                <w:rFonts w:asciiTheme="majorHAnsi" w:hAnsiTheme="majorHAnsi" w:cs="TT1D8t00"/>
                <w:sz w:val="20"/>
                <w:szCs w:val="20"/>
              </w:rPr>
              <w:t>ENSCO do Brasil</w:t>
            </w:r>
          </w:p>
        </w:tc>
      </w:tr>
      <w:tr w:rsidR="00707CE1" w:rsidRPr="00F828F9" w14:paraId="5926B31D" w14:textId="77777777" w:rsidTr="00AB59A9">
        <w:trPr>
          <w:trHeight w:val="20"/>
        </w:trPr>
        <w:tc>
          <w:tcPr>
            <w:tcW w:w="1731" w:type="pct"/>
            <w:tcBorders>
              <w:left w:val="single" w:sz="18" w:space="0" w:color="FFFFFF"/>
              <w:right w:val="single" w:sz="18" w:space="0" w:color="FFFFFF"/>
            </w:tcBorders>
            <w:shd w:val="clear" w:color="auto" w:fill="1F497D"/>
            <w:vAlign w:val="center"/>
          </w:tcPr>
          <w:p w14:paraId="6136A09A" w14:textId="77777777" w:rsidR="00707CE1" w:rsidRPr="00EE0E12" w:rsidRDefault="00707CE1" w:rsidP="00582B75">
            <w:pPr>
              <w:pStyle w:val="TableParagraph"/>
              <w:tabs>
                <w:tab w:val="left" w:pos="10490"/>
              </w:tabs>
              <w:spacing w:before="60" w:after="60"/>
              <w:ind w:left="130" w:right="284"/>
              <w:jc w:val="both"/>
              <w:rPr>
                <w:rFonts w:asciiTheme="majorHAnsi" w:hAnsiTheme="majorHAnsi"/>
                <w:b/>
                <w:bCs/>
                <w:color w:val="FFFFFF"/>
                <w:sz w:val="20"/>
                <w:szCs w:val="20"/>
                <w:lang w:val="pt-BR"/>
              </w:rPr>
            </w:pPr>
            <w:r w:rsidRPr="00EE0E12">
              <w:rPr>
                <w:rFonts w:asciiTheme="majorHAnsi" w:hAnsiTheme="majorHAnsi"/>
                <w:b/>
                <w:bCs/>
                <w:color w:val="FFFFFF"/>
                <w:sz w:val="20"/>
                <w:szCs w:val="20"/>
                <w:lang w:val="pt-BR"/>
              </w:rPr>
              <w:t>Endereço:</w:t>
            </w:r>
          </w:p>
        </w:tc>
        <w:tc>
          <w:tcPr>
            <w:tcW w:w="3269" w:type="pct"/>
            <w:tcBorders>
              <w:top w:val="single" w:sz="18" w:space="0" w:color="FFFFFF"/>
              <w:left w:val="single" w:sz="18" w:space="0" w:color="FFFFFF"/>
              <w:bottom w:val="single" w:sz="18" w:space="0" w:color="FFFFFF"/>
              <w:right w:val="single" w:sz="18" w:space="0" w:color="FFFFFF"/>
            </w:tcBorders>
            <w:shd w:val="clear" w:color="auto" w:fill="D9D9D9"/>
          </w:tcPr>
          <w:p w14:paraId="07BC2D68" w14:textId="77777777" w:rsidR="00707CE1" w:rsidRPr="00EE0E12" w:rsidRDefault="00707CE1" w:rsidP="00582B75">
            <w:pPr>
              <w:pStyle w:val="TableParagraph"/>
              <w:tabs>
                <w:tab w:val="left" w:pos="10490"/>
              </w:tabs>
              <w:spacing w:before="60" w:after="60"/>
              <w:ind w:left="130" w:right="284"/>
              <w:jc w:val="both"/>
              <w:rPr>
                <w:rFonts w:asciiTheme="majorHAnsi" w:hAnsiTheme="majorHAnsi"/>
                <w:sz w:val="20"/>
                <w:szCs w:val="20"/>
                <w:lang w:val="pt-BR"/>
              </w:rPr>
            </w:pPr>
            <w:r w:rsidRPr="00EE0E12">
              <w:rPr>
                <w:rFonts w:asciiTheme="majorHAnsi" w:hAnsiTheme="majorHAnsi"/>
                <w:sz w:val="20"/>
                <w:szCs w:val="20"/>
                <w:lang w:val="pt-BR"/>
              </w:rPr>
              <w:t>Rua Internacional, 1000, Granja dos Cavaleiros - Macaé-RJ - CEP 27937-300</w:t>
            </w:r>
          </w:p>
        </w:tc>
      </w:tr>
      <w:tr w:rsidR="00707CE1" w:rsidRPr="00F828F9" w14:paraId="7D2A7482" w14:textId="77777777" w:rsidTr="00AB59A9">
        <w:trPr>
          <w:trHeight w:val="20"/>
        </w:trPr>
        <w:tc>
          <w:tcPr>
            <w:tcW w:w="1731" w:type="pct"/>
            <w:tcBorders>
              <w:left w:val="single" w:sz="18" w:space="0" w:color="FFFFFF"/>
              <w:right w:val="single" w:sz="18" w:space="0" w:color="FFFFFF"/>
            </w:tcBorders>
            <w:shd w:val="clear" w:color="auto" w:fill="1F497D"/>
            <w:vAlign w:val="center"/>
          </w:tcPr>
          <w:p w14:paraId="3CB2528D" w14:textId="77777777" w:rsidR="00707CE1" w:rsidRPr="00EE0E12" w:rsidRDefault="00707CE1" w:rsidP="00582B75">
            <w:pPr>
              <w:pStyle w:val="TableParagraph"/>
              <w:tabs>
                <w:tab w:val="left" w:pos="10490"/>
              </w:tabs>
              <w:spacing w:before="60" w:after="60"/>
              <w:ind w:left="130" w:right="284"/>
              <w:jc w:val="both"/>
              <w:rPr>
                <w:rFonts w:asciiTheme="majorHAnsi" w:hAnsiTheme="majorHAnsi"/>
                <w:b/>
                <w:bCs/>
                <w:color w:val="FFFFFF"/>
                <w:sz w:val="20"/>
                <w:szCs w:val="20"/>
                <w:lang w:val="pt-BR"/>
              </w:rPr>
            </w:pPr>
            <w:r w:rsidRPr="00EE0E12">
              <w:rPr>
                <w:rFonts w:asciiTheme="majorHAnsi" w:hAnsiTheme="majorHAnsi"/>
                <w:b/>
                <w:bCs/>
                <w:color w:val="FFFFFF"/>
                <w:sz w:val="20"/>
                <w:szCs w:val="20"/>
                <w:lang w:val="pt-BR"/>
              </w:rPr>
              <w:t>Telefone:</w:t>
            </w:r>
          </w:p>
        </w:tc>
        <w:tc>
          <w:tcPr>
            <w:tcW w:w="3269" w:type="pct"/>
            <w:tcBorders>
              <w:top w:val="single" w:sz="18" w:space="0" w:color="FFFFFF"/>
              <w:left w:val="single" w:sz="18" w:space="0" w:color="FFFFFF"/>
              <w:bottom w:val="single" w:sz="18" w:space="0" w:color="FFFFFF"/>
              <w:right w:val="single" w:sz="18" w:space="0" w:color="FFFFFF"/>
            </w:tcBorders>
            <w:shd w:val="clear" w:color="auto" w:fill="D9D9D9"/>
          </w:tcPr>
          <w:p w14:paraId="2015BE18" w14:textId="513B0CE2" w:rsidR="00707CE1" w:rsidRPr="00EE0E12" w:rsidRDefault="00707CE1" w:rsidP="00366B62">
            <w:pPr>
              <w:pStyle w:val="TableParagraph"/>
              <w:tabs>
                <w:tab w:val="left" w:pos="10490"/>
              </w:tabs>
              <w:spacing w:before="60" w:after="60"/>
              <w:ind w:left="130" w:right="284"/>
              <w:jc w:val="both"/>
              <w:rPr>
                <w:rFonts w:asciiTheme="majorHAnsi" w:hAnsiTheme="majorHAnsi"/>
                <w:sz w:val="20"/>
                <w:szCs w:val="20"/>
                <w:lang w:val="pt-BR"/>
              </w:rPr>
            </w:pPr>
            <w:r w:rsidRPr="00EE0E12">
              <w:rPr>
                <w:rFonts w:asciiTheme="majorHAnsi" w:hAnsiTheme="majorHAnsi" w:cs="TT1D8t00"/>
                <w:sz w:val="20"/>
                <w:szCs w:val="20"/>
                <w:lang w:val="pt-BR"/>
              </w:rPr>
              <w:t>a ser definido e posteriormente informado à C</w:t>
            </w:r>
            <w:r w:rsidR="00366B62">
              <w:rPr>
                <w:rFonts w:asciiTheme="majorHAnsi" w:hAnsiTheme="majorHAnsi" w:cs="TT1D8t00"/>
                <w:sz w:val="20"/>
                <w:szCs w:val="20"/>
                <w:lang w:val="pt-BR"/>
              </w:rPr>
              <w:t>OEXP</w:t>
            </w:r>
            <w:r w:rsidRPr="00EE0E12">
              <w:rPr>
                <w:rFonts w:asciiTheme="majorHAnsi" w:hAnsiTheme="majorHAnsi" w:cs="TT1D8t00"/>
                <w:sz w:val="20"/>
                <w:szCs w:val="20"/>
                <w:lang w:val="pt-BR"/>
              </w:rPr>
              <w:t>/</w:t>
            </w:r>
            <w:r w:rsidR="001D4B93" w:rsidRPr="00D80C93">
              <w:rPr>
                <w:rFonts w:asciiTheme="majorHAnsi" w:hAnsiTheme="majorHAnsi" w:cs="TT1D8t00"/>
                <w:sz w:val="20"/>
                <w:szCs w:val="20"/>
                <w:highlight w:val="darkGray"/>
                <w:shd w:val="clear" w:color="auto" w:fill="D9D9D9" w:themeFill="background1" w:themeFillShade="D9"/>
                <w:lang w:val="pt-BR"/>
              </w:rPr>
              <w:t>CGMAC</w:t>
            </w:r>
            <w:r w:rsidRPr="00EE0E12">
              <w:rPr>
                <w:rStyle w:val="Refdenotaderodap"/>
                <w:rFonts w:asciiTheme="majorHAnsi" w:hAnsiTheme="majorHAnsi" w:cs="TT1D8t00"/>
                <w:sz w:val="20"/>
                <w:szCs w:val="20"/>
                <w:lang w:val="pt-BR"/>
              </w:rPr>
              <w:footnoteReference w:id="5"/>
            </w:r>
          </w:p>
        </w:tc>
      </w:tr>
      <w:tr w:rsidR="00707CE1" w:rsidRPr="00F828F9" w14:paraId="55F56371" w14:textId="77777777" w:rsidTr="00AB59A9">
        <w:trPr>
          <w:trHeight w:val="20"/>
        </w:trPr>
        <w:tc>
          <w:tcPr>
            <w:tcW w:w="1731" w:type="pct"/>
            <w:tcBorders>
              <w:left w:val="single" w:sz="18" w:space="0" w:color="FFFFFF"/>
              <w:right w:val="single" w:sz="18" w:space="0" w:color="FFFFFF"/>
            </w:tcBorders>
            <w:shd w:val="clear" w:color="auto" w:fill="1F497D"/>
            <w:vAlign w:val="center"/>
          </w:tcPr>
          <w:p w14:paraId="60C49E9A" w14:textId="77777777" w:rsidR="00707CE1" w:rsidRPr="00EE0E12" w:rsidRDefault="00707CE1" w:rsidP="00582B75">
            <w:pPr>
              <w:pStyle w:val="TableParagraph"/>
              <w:tabs>
                <w:tab w:val="left" w:pos="10490"/>
              </w:tabs>
              <w:spacing w:before="60" w:after="60"/>
              <w:ind w:left="130" w:right="284"/>
              <w:jc w:val="both"/>
              <w:rPr>
                <w:rFonts w:asciiTheme="majorHAnsi" w:hAnsiTheme="majorHAnsi"/>
                <w:b/>
                <w:bCs/>
                <w:color w:val="FFFFFF"/>
                <w:sz w:val="20"/>
                <w:szCs w:val="20"/>
                <w:lang w:val="pt-BR"/>
              </w:rPr>
            </w:pPr>
            <w:r w:rsidRPr="00EE0E12">
              <w:rPr>
                <w:rFonts w:asciiTheme="majorHAnsi" w:hAnsiTheme="majorHAnsi"/>
                <w:b/>
                <w:bCs/>
                <w:color w:val="FFFFFF"/>
                <w:sz w:val="20"/>
                <w:szCs w:val="20"/>
                <w:lang w:val="pt-BR"/>
              </w:rPr>
              <w:t>Fax:</w:t>
            </w:r>
          </w:p>
        </w:tc>
        <w:tc>
          <w:tcPr>
            <w:tcW w:w="3269" w:type="pct"/>
            <w:tcBorders>
              <w:top w:val="single" w:sz="18" w:space="0" w:color="FFFFFF"/>
              <w:left w:val="single" w:sz="18" w:space="0" w:color="FFFFFF"/>
              <w:bottom w:val="single" w:sz="18" w:space="0" w:color="FFFFFF"/>
              <w:right w:val="single" w:sz="18" w:space="0" w:color="FFFFFF"/>
            </w:tcBorders>
            <w:shd w:val="clear" w:color="auto" w:fill="D9D9D9"/>
          </w:tcPr>
          <w:p w14:paraId="7205720D" w14:textId="042C8BDE" w:rsidR="00707CE1" w:rsidRPr="00EE0E12" w:rsidRDefault="00707CE1" w:rsidP="00C37EF6">
            <w:pPr>
              <w:pStyle w:val="TableParagraph"/>
              <w:tabs>
                <w:tab w:val="left" w:pos="10490"/>
              </w:tabs>
              <w:spacing w:before="60" w:after="60"/>
              <w:ind w:left="130" w:right="284"/>
              <w:jc w:val="both"/>
              <w:rPr>
                <w:rFonts w:asciiTheme="majorHAnsi" w:hAnsiTheme="majorHAnsi"/>
                <w:sz w:val="20"/>
                <w:szCs w:val="20"/>
                <w:lang w:val="pt-BR"/>
              </w:rPr>
            </w:pPr>
            <w:r w:rsidRPr="00EE0E12">
              <w:rPr>
                <w:rFonts w:asciiTheme="majorHAnsi" w:hAnsiTheme="majorHAnsi" w:cs="TT1D8t00"/>
                <w:sz w:val="20"/>
                <w:szCs w:val="20"/>
                <w:lang w:val="pt-BR"/>
              </w:rPr>
              <w:t>a ser definido e posteriormente informado à C</w:t>
            </w:r>
            <w:r w:rsidR="00C37EF6">
              <w:rPr>
                <w:rFonts w:asciiTheme="majorHAnsi" w:hAnsiTheme="majorHAnsi" w:cs="TT1D8t00"/>
                <w:sz w:val="20"/>
                <w:szCs w:val="20"/>
                <w:lang w:val="pt-BR"/>
              </w:rPr>
              <w:t>OEXP</w:t>
            </w:r>
            <w:r w:rsidRPr="00EE0E12">
              <w:rPr>
                <w:rFonts w:asciiTheme="majorHAnsi" w:hAnsiTheme="majorHAnsi" w:cs="TT1D8t00"/>
                <w:sz w:val="20"/>
                <w:szCs w:val="20"/>
                <w:lang w:val="pt-BR"/>
              </w:rPr>
              <w:t>/</w:t>
            </w:r>
            <w:r w:rsidR="001D4B93" w:rsidRPr="00D80C93">
              <w:rPr>
                <w:rFonts w:asciiTheme="majorHAnsi" w:hAnsiTheme="majorHAnsi" w:cs="TT1D8t00"/>
                <w:sz w:val="20"/>
                <w:szCs w:val="20"/>
                <w:highlight w:val="darkGray"/>
                <w:lang w:val="pt-BR"/>
              </w:rPr>
              <w:t>CGMAC</w:t>
            </w:r>
            <w:r w:rsidR="00727758" w:rsidRPr="00727758">
              <w:rPr>
                <w:rFonts w:asciiTheme="majorHAnsi" w:hAnsiTheme="majorHAnsi" w:cs="TT1D8t00"/>
                <w:sz w:val="20"/>
                <w:szCs w:val="20"/>
                <w:vertAlign w:val="superscript"/>
                <w:lang w:val="pt-BR"/>
              </w:rPr>
              <w:t>4</w:t>
            </w:r>
          </w:p>
        </w:tc>
      </w:tr>
    </w:tbl>
    <w:p w14:paraId="41F4D6AB" w14:textId="394E37B8" w:rsidR="00707CE1" w:rsidRPr="00EE0E12" w:rsidRDefault="00707CE1" w:rsidP="00AB59A9">
      <w:pPr>
        <w:pStyle w:val="tier1Itext"/>
        <w:spacing w:before="360"/>
      </w:pPr>
      <w:r w:rsidRPr="00946134">
        <w:t xml:space="preserve">Para o apoio logístico e operacional às atividades será utilizada 01 (uma) base de apoio logístico, localizada no </w:t>
      </w:r>
      <w:r w:rsidR="00C37EF6">
        <w:t>Porto de Belém, Companhia Docas do Pará (</w:t>
      </w:r>
      <w:r w:rsidRPr="00946134">
        <w:t>Belém/PA</w:t>
      </w:r>
      <w:r w:rsidR="00C37EF6">
        <w:t>)</w:t>
      </w:r>
      <w:r w:rsidRPr="00946134">
        <w:t>,</w:t>
      </w:r>
      <w:r w:rsidR="002C6FAB">
        <w:t xml:space="preserve"> cerca de</w:t>
      </w:r>
      <w:r w:rsidRPr="00946134">
        <w:t xml:space="preserve"> </w:t>
      </w:r>
      <w:r w:rsidR="00517C6E">
        <w:t>800</w:t>
      </w:r>
      <w:r w:rsidR="00946134" w:rsidRPr="00946134">
        <w:t> </w:t>
      </w:r>
      <w:r w:rsidRPr="00946134">
        <w:t>km</w:t>
      </w:r>
      <w:r w:rsidR="00946134">
        <w:t xml:space="preserve"> </w:t>
      </w:r>
      <w:r w:rsidRPr="00946134">
        <w:t>(</w:t>
      </w:r>
      <w:r w:rsidR="00946134">
        <w:t>4</w:t>
      </w:r>
      <w:r w:rsidR="00517C6E">
        <w:t>3</w:t>
      </w:r>
      <w:r w:rsidR="00946134">
        <w:t>0</w:t>
      </w:r>
      <w:r w:rsidR="00946134" w:rsidRPr="00946134">
        <w:t xml:space="preserve"> </w:t>
      </w:r>
      <w:r w:rsidRPr="00946134">
        <w:t>milhas náuticas) do Bloco FZA-M-59</w:t>
      </w:r>
      <w:r w:rsidR="00946134">
        <w:t>, aproximadamente</w:t>
      </w:r>
      <w:r w:rsidRPr="00946134">
        <w:t xml:space="preserve">; e 02 (duas) bases de apoio aéreo, localizadas no Aeroporto de Oiapoque/AP e no Aeroporto Internacional de Belém/PA, situadas a cerca de 230 km e </w:t>
      </w:r>
      <w:r w:rsidR="00946134" w:rsidRPr="00946134">
        <w:t>75</w:t>
      </w:r>
      <w:r w:rsidR="00946134">
        <w:t>0</w:t>
      </w:r>
      <w:r w:rsidR="00946134" w:rsidRPr="00946134">
        <w:t> </w:t>
      </w:r>
      <w:r w:rsidRPr="00946134">
        <w:t>km do Bloco FZA-M-59, respectivamente.</w:t>
      </w:r>
    </w:p>
    <w:p w14:paraId="68DC382F" w14:textId="4BCB7BD6" w:rsidR="00707CE1" w:rsidRPr="00EE0E12" w:rsidRDefault="00707CE1" w:rsidP="00723A97">
      <w:pPr>
        <w:pStyle w:val="tier1Itext"/>
      </w:pPr>
      <w:r w:rsidRPr="00EE0E12">
        <w:lastRenderedPageBreak/>
        <w:t>A partir da base de apoio logístico serão realizadas operações de abastecimento de combustíveis, embarque de insumos para a plataforma (incluindo água e fluidos de perfuração), desembarque de resíduos</w:t>
      </w:r>
      <w:r w:rsidR="00727758">
        <w:t>,</w:t>
      </w:r>
      <w:r w:rsidRPr="00EE0E12">
        <w:t xml:space="preserve"> embarque e desembarque de equipamentos adicionais de emergência</w:t>
      </w:r>
      <w:r w:rsidR="00C37EF6">
        <w:t>,</w:t>
      </w:r>
      <w:r w:rsidRPr="00EE0E12">
        <w:t xml:space="preserve"> em caso de incidentes, dentre outras operações. Para as trocas de tripulação da unidade </w:t>
      </w:r>
      <w:r w:rsidR="00463A37" w:rsidRPr="00C45C9A">
        <w:t>de perfuração</w:t>
      </w:r>
      <w:r w:rsidR="00463A37" w:rsidRPr="00EE0E12">
        <w:t xml:space="preserve"> </w:t>
      </w:r>
      <w:r w:rsidRPr="00EE0E12">
        <w:t>e transporte de pequenos volumes, será utilizada a base de apoio aéreo.</w:t>
      </w:r>
    </w:p>
    <w:p w14:paraId="636449A6" w14:textId="0299D84D" w:rsidR="00707CE1" w:rsidRPr="00EE0E12" w:rsidRDefault="00707CE1" w:rsidP="00723A97">
      <w:pPr>
        <w:pStyle w:val="tier1Itext"/>
      </w:pPr>
      <w:r w:rsidRPr="00EE0E12">
        <w:t xml:space="preserve">A localização do </w:t>
      </w:r>
      <w:r w:rsidR="00C37EF6">
        <w:t xml:space="preserve">bloco </w:t>
      </w:r>
      <w:r w:rsidRPr="00EE0E12">
        <w:t xml:space="preserve">FZA-M-59 e suas distâncias máximas até as bases de apoio logístico e aéreo, são indicadas na </w:t>
      </w:r>
      <w:r w:rsidRPr="00EE0E12">
        <w:rPr>
          <w:b/>
        </w:rPr>
        <w:fldChar w:fldCharType="begin"/>
      </w:r>
      <w:r w:rsidRPr="00EE0E12">
        <w:rPr>
          <w:b/>
        </w:rPr>
        <w:instrText xml:space="preserve"> REF _Ref412121217 \h  \* MERGEFORMAT </w:instrText>
      </w:r>
      <w:r w:rsidRPr="00EE0E12">
        <w:rPr>
          <w:b/>
        </w:rPr>
      </w:r>
      <w:r w:rsidRPr="00EE0E12">
        <w:rPr>
          <w:b/>
        </w:rPr>
        <w:fldChar w:fldCharType="separate"/>
      </w:r>
      <w:r w:rsidR="00A50E67" w:rsidRPr="00A50E67">
        <w:rPr>
          <w:b/>
        </w:rPr>
        <w:t xml:space="preserve">Figura </w:t>
      </w:r>
      <w:r w:rsidR="00A50E67" w:rsidRPr="00A50E67">
        <w:rPr>
          <w:b/>
          <w:noProof/>
        </w:rPr>
        <w:t>2</w:t>
      </w:r>
      <w:r w:rsidRPr="00EE0E12">
        <w:rPr>
          <w:b/>
        </w:rPr>
        <w:fldChar w:fldCharType="end"/>
      </w:r>
      <w:r w:rsidRPr="00EE0E12">
        <w:t>.</w:t>
      </w:r>
    </w:p>
    <w:p w14:paraId="196A58B2" w14:textId="77777777" w:rsidR="00707CE1" w:rsidRDefault="00582B75" w:rsidP="0068277B">
      <w:pPr>
        <w:pStyle w:val="tier1Itext"/>
        <w:spacing w:before="0" w:after="0" w:line="240" w:lineRule="auto"/>
        <w:jc w:val="center"/>
      </w:pPr>
      <w:r>
        <w:rPr>
          <w:noProof/>
          <w:lang w:val="en-US"/>
        </w:rPr>
        <w:drawing>
          <wp:inline distT="0" distB="0" distL="0" distR="0" wp14:anchorId="6F0F3B39" wp14:editId="093E5BFF">
            <wp:extent cx="5754900" cy="4072131"/>
            <wp:effectExtent l="0" t="0" r="0" b="508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atricia.meg\AppData\Roaming\Skype\pat.meg\media_messaging\media_cache\^C96E9AECB5F71D4E4F604C9FC48A0B4269C908C7CD5020A85D^pimgpsh_fullsize_distr.jpg"/>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5754900" cy="4072131"/>
                    </a:xfrm>
                    <a:prstGeom prst="rect">
                      <a:avLst/>
                    </a:prstGeom>
                    <a:noFill/>
                    <a:ln>
                      <a:noFill/>
                    </a:ln>
                  </pic:spPr>
                </pic:pic>
              </a:graphicData>
            </a:graphic>
          </wp:inline>
        </w:drawing>
      </w:r>
    </w:p>
    <w:p w14:paraId="1FD97404" w14:textId="765E2A74" w:rsidR="00707CE1" w:rsidRPr="00EE0E12" w:rsidRDefault="00707CE1" w:rsidP="0068277B">
      <w:pPr>
        <w:pStyle w:val="Legenda"/>
        <w:spacing w:before="0" w:after="0" w:line="240" w:lineRule="auto"/>
      </w:pPr>
      <w:bookmarkStart w:id="52" w:name="_Ref412121217"/>
      <w:bookmarkStart w:id="53" w:name="_Toc408566924"/>
      <w:bookmarkStart w:id="54" w:name="_Toc413663929"/>
      <w:bookmarkStart w:id="55" w:name="_Toc527990449"/>
      <w:r w:rsidRPr="00946134">
        <w:t xml:space="preserve">Figura </w:t>
      </w:r>
      <w:fldSimple w:instr=" SEQ Figura \* ARABIC ">
        <w:r w:rsidR="00A50E67">
          <w:rPr>
            <w:noProof/>
          </w:rPr>
          <w:t>2</w:t>
        </w:r>
      </w:fldSimple>
      <w:bookmarkEnd w:id="52"/>
      <w:r w:rsidRPr="00946134">
        <w:t xml:space="preserve">: Localização do Bloco FZA-M-59, na Bacia da Foz do Amazonas, e suas respectivas distâncias máximas até as bases de apoio logístico e </w:t>
      </w:r>
      <w:bookmarkEnd w:id="53"/>
      <w:r w:rsidRPr="00946134">
        <w:t>aéreo</w:t>
      </w:r>
      <w:r w:rsidR="0000064D" w:rsidRPr="00946134">
        <w:t xml:space="preserve"> (</w:t>
      </w:r>
      <w:r w:rsidR="00B86422">
        <w:t>Fonte: Witt|O’Brien’s</w:t>
      </w:r>
      <w:r w:rsidR="0000064D" w:rsidRPr="00946134">
        <w:t>)</w:t>
      </w:r>
      <w:r w:rsidRPr="00946134">
        <w:t>.</w:t>
      </w:r>
      <w:bookmarkEnd w:id="54"/>
      <w:bookmarkEnd w:id="55"/>
    </w:p>
    <w:p w14:paraId="74447EA3" w14:textId="4F4F8511" w:rsidR="00707CE1" w:rsidRPr="00EE0E12" w:rsidRDefault="00707CE1" w:rsidP="0068277B">
      <w:pPr>
        <w:pStyle w:val="tier1Itext"/>
        <w:spacing w:before="360"/>
      </w:pPr>
      <w:r w:rsidRPr="00EE0E12">
        <w:t xml:space="preserve">A atividade de perfuração também será guarnecida por 01 (uma) embarcação dedicada de resposta a derramamento de óleo (em inglês, </w:t>
      </w:r>
      <w:r w:rsidRPr="00EE0E12">
        <w:rPr>
          <w:i/>
        </w:rPr>
        <w:t>Oil Spill Response Vessel</w:t>
      </w:r>
      <w:r w:rsidRPr="00EE0E12">
        <w:t xml:space="preserve"> – OSRV), para o pronto atendimento no caso de um eventual incidente</w:t>
      </w:r>
      <w:r w:rsidR="00C37EF6">
        <w:t xml:space="preserve"> e </w:t>
      </w:r>
      <w:r w:rsidRPr="00EE0E12">
        <w:t>0</w:t>
      </w:r>
      <w:r w:rsidR="00C37EF6">
        <w:t>3</w:t>
      </w:r>
      <w:r w:rsidRPr="00EE0E12">
        <w:t xml:space="preserve"> (</w:t>
      </w:r>
      <w:r w:rsidR="00C37EF6">
        <w:t>três</w:t>
      </w:r>
      <w:r w:rsidRPr="00EE0E12">
        <w:t xml:space="preserve">) embarcações de apoio do tipo </w:t>
      </w:r>
      <w:r w:rsidRPr="00EE0E12">
        <w:rPr>
          <w:i/>
        </w:rPr>
        <w:t xml:space="preserve">Platform Supply Vessel </w:t>
      </w:r>
      <w:r w:rsidRPr="00EE0E12">
        <w:t>(PSV)</w:t>
      </w:r>
      <w:r w:rsidR="00C37EF6">
        <w:t xml:space="preserve">, que também estarão guarnecidas de recursos e mobilizadas para </w:t>
      </w:r>
      <w:r w:rsidRPr="00BB5D3B">
        <w:t xml:space="preserve"> auxilio nas ações de resposta</w:t>
      </w:r>
      <w:r w:rsidR="00C37EF6">
        <w:t xml:space="preserve">, no </w:t>
      </w:r>
      <w:r w:rsidRPr="00BB5D3B">
        <w:t xml:space="preserve">caso de um cenário acidental. Caso seja necessário, embarcações adicionais do tipo </w:t>
      </w:r>
      <w:r w:rsidR="00C37EF6" w:rsidRPr="00C37EF6">
        <w:t xml:space="preserve">PSV ou similares </w:t>
      </w:r>
      <w:r w:rsidRPr="00BB5D3B">
        <w:t>poderão ser contratadas</w:t>
      </w:r>
      <w:r w:rsidRPr="00EE0E12">
        <w:t xml:space="preserve"> do mercado </w:t>
      </w:r>
      <w:r w:rsidRPr="00EE0E12">
        <w:rPr>
          <w:i/>
        </w:rPr>
        <w:t>spot</w:t>
      </w:r>
      <w:r w:rsidRPr="00EE0E12">
        <w:t xml:space="preserve"> da região</w:t>
      </w:r>
      <w:r w:rsidR="00463A37">
        <w:t xml:space="preserve"> Norte</w:t>
      </w:r>
      <w:r w:rsidRPr="00EE0E12">
        <w:t xml:space="preserve"> (Belém ou Macapá).</w:t>
      </w:r>
    </w:p>
    <w:p w14:paraId="02BB3478" w14:textId="15C443CD" w:rsidR="00707CE1" w:rsidRPr="00EE0E12" w:rsidRDefault="00707CE1" w:rsidP="00121F26">
      <w:pPr>
        <w:pStyle w:val="tier1Itext"/>
      </w:pPr>
      <w:r w:rsidRPr="00EE0E12">
        <w:lastRenderedPageBreak/>
        <w:t xml:space="preserve">As embarcações de apoio realizarão viagens entre a base de apoio e a </w:t>
      </w:r>
      <w:r w:rsidR="00463A37">
        <w:t>unidade de perfuração</w:t>
      </w:r>
      <w:r w:rsidRPr="00EE0E12">
        <w:t xml:space="preserve"> transportando materiais, combustível, víveres, equipamentos e peças de reposição, além de realizarem o transporte </w:t>
      </w:r>
      <w:r w:rsidRPr="00BB5D3B">
        <w:t xml:space="preserve">de resíduos entre a instalação e esta base de apoio logístico. </w:t>
      </w:r>
      <w:r w:rsidRPr="00D80C93">
        <w:rPr>
          <w:highlight w:val="lightGray"/>
        </w:rPr>
        <w:t>A embarcaç</w:t>
      </w:r>
      <w:r w:rsidR="00727758" w:rsidRPr="00D80C93">
        <w:rPr>
          <w:highlight w:val="lightGray"/>
        </w:rPr>
        <w:t>ão</w:t>
      </w:r>
      <w:r w:rsidRPr="00BB5D3B">
        <w:t xml:space="preserve"> do tipo OSRV </w:t>
      </w:r>
      <w:r w:rsidRPr="00D80C93">
        <w:rPr>
          <w:highlight w:val="lightGray"/>
        </w:rPr>
        <w:t>atuar</w:t>
      </w:r>
      <w:r w:rsidR="00727758" w:rsidRPr="00D80C93">
        <w:rPr>
          <w:highlight w:val="lightGray"/>
        </w:rPr>
        <w:t>á</w:t>
      </w:r>
      <w:r w:rsidRPr="00BB5D3B">
        <w:t xml:space="preserve"> </w:t>
      </w:r>
      <w:r w:rsidR="00C37EF6">
        <w:t xml:space="preserve">prioritariamente </w:t>
      </w:r>
      <w:r w:rsidRPr="00EE0E12">
        <w:t xml:space="preserve">na função de proteção ambiental e </w:t>
      </w:r>
      <w:r w:rsidRPr="00D80C93">
        <w:rPr>
          <w:highlight w:val="lightGray"/>
        </w:rPr>
        <w:t>estar</w:t>
      </w:r>
      <w:r w:rsidR="00727758" w:rsidRPr="00D80C93">
        <w:rPr>
          <w:highlight w:val="lightGray"/>
        </w:rPr>
        <w:t>á</w:t>
      </w:r>
      <w:r w:rsidRPr="00D80C93">
        <w:rPr>
          <w:highlight w:val="lightGray"/>
        </w:rPr>
        <w:t xml:space="preserve"> equipada</w:t>
      </w:r>
      <w:r w:rsidRPr="00EE0E12">
        <w:t xml:space="preserve"> com equipamentos apropriados. Nas ocasiões em que a embarcação OSRV </w:t>
      </w:r>
      <w:r w:rsidR="00463A37">
        <w:t xml:space="preserve">tiver de </w:t>
      </w:r>
      <w:r w:rsidRPr="00EE0E12">
        <w:t>realizar viagens até a base de apoio logístico para reabastecimento de combustível e víveres</w:t>
      </w:r>
      <w:r w:rsidR="00727758">
        <w:t>,</w:t>
      </w:r>
      <w:r w:rsidRPr="00EE0E12">
        <w:t xml:space="preserve"> e troca de turma, </w:t>
      </w:r>
      <w:r w:rsidR="00463A37">
        <w:t>ela</w:t>
      </w:r>
      <w:r w:rsidR="00463A37" w:rsidRPr="00EE0E12">
        <w:t xml:space="preserve"> </w:t>
      </w:r>
      <w:r w:rsidR="00463A37">
        <w:t>será</w:t>
      </w:r>
      <w:r w:rsidRPr="00EE0E12">
        <w:t xml:space="preserve"> substituída por uma das embarcações de apoio, que ficará na locação</w:t>
      </w:r>
      <w:r w:rsidR="00C37EF6">
        <w:t xml:space="preserve"> e cobrirá suas atribuições,</w:t>
      </w:r>
      <w:r w:rsidRPr="00EE0E12">
        <w:t xml:space="preserve"> até o retorno da </w:t>
      </w:r>
      <w:r w:rsidR="00BA32BA">
        <w:t>mesma</w:t>
      </w:r>
      <w:r w:rsidRPr="00EE0E12">
        <w:t>.</w:t>
      </w:r>
    </w:p>
    <w:p w14:paraId="62D89FCE" w14:textId="172C0969" w:rsidR="00707CE1" w:rsidRPr="00EE0E12" w:rsidRDefault="00707CE1" w:rsidP="00723A97">
      <w:pPr>
        <w:pStyle w:val="tier1Itext"/>
      </w:pPr>
      <w:r w:rsidRPr="00EE0E12">
        <w:t>As fichas técnicas das embarcações do tipo OSRV</w:t>
      </w:r>
      <w:r w:rsidR="00BA32BA">
        <w:t xml:space="preserve"> e </w:t>
      </w:r>
      <w:r w:rsidRPr="00EE0E12">
        <w:t>PSV</w:t>
      </w:r>
      <w:r w:rsidR="00BA32BA">
        <w:t xml:space="preserve"> (</w:t>
      </w:r>
      <w:r w:rsidR="00463A37">
        <w:t>quando contratadas</w:t>
      </w:r>
      <w:r w:rsidR="00BA32BA">
        <w:t>)</w:t>
      </w:r>
      <w:r w:rsidRPr="00EE0E12">
        <w:t xml:space="preserve"> est</w:t>
      </w:r>
      <w:r w:rsidR="00463A37">
        <w:t>ar</w:t>
      </w:r>
      <w:r w:rsidRPr="00EE0E12">
        <w:t xml:space="preserve">ão disponíveis no </w:t>
      </w:r>
      <w:r w:rsidR="002E5EC7">
        <w:rPr>
          <w:b/>
        </w:rPr>
        <w:t>ANEXO A</w:t>
      </w:r>
      <w:r w:rsidRPr="00EE0E12">
        <w:t>.</w:t>
      </w:r>
    </w:p>
    <w:p w14:paraId="2B77953B" w14:textId="77777777" w:rsidR="000F3DA6" w:rsidRPr="00CE6488" w:rsidRDefault="000F3DA6" w:rsidP="00C3335E">
      <w:pPr>
        <w:pStyle w:val="Ttulo1"/>
      </w:pPr>
      <w:bookmarkStart w:id="56" w:name="_Ref414525557"/>
      <w:bookmarkStart w:id="57" w:name="_Toc527990401"/>
      <w:r w:rsidRPr="00CE6488">
        <w:t>CENÁRIOS ACIDENTAIS</w:t>
      </w:r>
      <w:bookmarkEnd w:id="56"/>
      <w:bookmarkEnd w:id="57"/>
    </w:p>
    <w:p w14:paraId="25A4B86D" w14:textId="61978D71" w:rsidR="004D65B3" w:rsidRPr="004D65B3" w:rsidRDefault="004D65B3" w:rsidP="00723A97">
      <w:pPr>
        <w:pStyle w:val="tier1Itext"/>
      </w:pPr>
      <w:r w:rsidRPr="004D65B3">
        <w:t xml:space="preserve">Para a identificação de cenários acidentais relacionados à atividade de perfuração exploratória marítima no Bloco FZA-M-59, na Bacia da Foz do Amazonas, foi desenvolvida uma Análise Preliminar de Riscos (APR), disposta no </w:t>
      </w:r>
      <w:r w:rsidRPr="00B93690">
        <w:t xml:space="preserve">item II.12 do Estudo de Impacto Ambiental (EIA) do projeto. A </w:t>
      </w:r>
      <w:r w:rsidRPr="00B93690">
        <w:rPr>
          <w:b/>
        </w:rPr>
        <w:fldChar w:fldCharType="begin"/>
      </w:r>
      <w:r w:rsidRPr="00B93690">
        <w:rPr>
          <w:b/>
        </w:rPr>
        <w:instrText xml:space="preserve"> REF _Ref412128602 \h  \* MERGEFORMAT </w:instrText>
      </w:r>
      <w:r w:rsidRPr="00B93690">
        <w:rPr>
          <w:b/>
        </w:rPr>
      </w:r>
      <w:r w:rsidRPr="00B93690">
        <w:rPr>
          <w:b/>
        </w:rPr>
        <w:fldChar w:fldCharType="separate"/>
      </w:r>
      <w:r w:rsidR="00A50E67" w:rsidRPr="00A50E67">
        <w:rPr>
          <w:b/>
        </w:rPr>
        <w:t xml:space="preserve">Tabela </w:t>
      </w:r>
      <w:r w:rsidR="00A50E67" w:rsidRPr="00A50E67">
        <w:rPr>
          <w:b/>
          <w:noProof/>
        </w:rPr>
        <w:t>6</w:t>
      </w:r>
      <w:r w:rsidRPr="00B93690">
        <w:rPr>
          <w:b/>
        </w:rPr>
        <w:fldChar w:fldCharType="end"/>
      </w:r>
      <w:r w:rsidRPr="00B93690">
        <w:t xml:space="preserve"> sumariza os cenários id</w:t>
      </w:r>
      <w:r w:rsidRPr="004D65B3">
        <w:t xml:space="preserve">entificados pela APR com potencial </w:t>
      </w:r>
      <w:r w:rsidR="00D66D31">
        <w:t>d</w:t>
      </w:r>
      <w:r w:rsidR="00642786">
        <w:t>erram</w:t>
      </w:r>
      <w:r w:rsidRPr="004D65B3">
        <w:t xml:space="preserve">amento de substância oleosa, descrevendo para cada caso o tipo de produto, o volume estimado, o regime do derramamento (instantâneo ou contínuo) e a possibilidade do produto atingir a área externa da </w:t>
      </w:r>
      <w:r w:rsidR="001F002C">
        <w:t>unidade de perfuração</w:t>
      </w:r>
      <w:r w:rsidRPr="004D65B3">
        <w:t>, ou seja, o mar.</w:t>
      </w:r>
    </w:p>
    <w:p w14:paraId="3B43E5B8" w14:textId="5F9B3B43" w:rsidR="004D65B3" w:rsidRDefault="004D65B3" w:rsidP="00723A97">
      <w:pPr>
        <w:pStyle w:val="tier1Itext"/>
      </w:pPr>
      <w:r w:rsidRPr="004D65B3">
        <w:t>O</w:t>
      </w:r>
      <w:r w:rsidR="00BA32BA">
        <w:t>s</w:t>
      </w:r>
      <w:r w:rsidRPr="004D65B3">
        <w:t xml:space="preserve"> detalhamento</w:t>
      </w:r>
      <w:r w:rsidR="00BA32BA">
        <w:t>s</w:t>
      </w:r>
      <w:r w:rsidRPr="004D65B3">
        <w:t xml:space="preserve"> das fontes potenciais de incidentes de poluição por óleo</w:t>
      </w:r>
      <w:r w:rsidR="002E4398">
        <w:t>,</w:t>
      </w:r>
      <w:r w:rsidRPr="004D65B3">
        <w:t xml:space="preserve"> relacionadas às operações de armazenamento/estocagem, transferência, processo, manutenção e carga-e-descarga, pode</w:t>
      </w:r>
      <w:r w:rsidR="00BA32BA">
        <w:t>m</w:t>
      </w:r>
      <w:r w:rsidRPr="004D65B3">
        <w:t xml:space="preserve"> ser consultad</w:t>
      </w:r>
      <w:r w:rsidR="008914EB">
        <w:t>o</w:t>
      </w:r>
      <w:r w:rsidR="00BA32BA">
        <w:t>s</w:t>
      </w:r>
      <w:r w:rsidRPr="004D65B3">
        <w:t xml:space="preserve"> no </w:t>
      </w:r>
      <w:r w:rsidR="0000064D" w:rsidRPr="00527CB8">
        <w:rPr>
          <w:b/>
        </w:rPr>
        <w:t>APÊNDICE A</w:t>
      </w:r>
      <w:r w:rsidR="0000064D">
        <w:t>.</w:t>
      </w:r>
    </w:p>
    <w:p w14:paraId="36D09F8F" w14:textId="77777777" w:rsidR="004D65B3" w:rsidRPr="00410B9C" w:rsidRDefault="004D65B3" w:rsidP="00723A97">
      <w:pPr>
        <w:pStyle w:val="tier1Itext"/>
        <w:sectPr w:rsidR="004D65B3" w:rsidRPr="00410B9C" w:rsidSect="00656D39">
          <w:headerReference w:type="default" r:id="rId20"/>
          <w:footerReference w:type="default" r:id="rId21"/>
          <w:pgSz w:w="11906" w:h="16840" w:code="9"/>
          <w:pgMar w:top="1418" w:right="1418" w:bottom="1418" w:left="1418" w:header="170" w:footer="0" w:gutter="0"/>
          <w:pgNumType w:start="1"/>
          <w:cols w:space="708"/>
          <w:docGrid w:linePitch="360"/>
        </w:sectPr>
      </w:pP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Layout w:type="fixed"/>
        <w:tblLook w:val="01E0" w:firstRow="1" w:lastRow="1" w:firstColumn="1" w:lastColumn="1" w:noHBand="0" w:noVBand="0"/>
      </w:tblPr>
      <w:tblGrid>
        <w:gridCol w:w="941"/>
        <w:gridCol w:w="39"/>
        <w:gridCol w:w="1076"/>
        <w:gridCol w:w="4452"/>
        <w:gridCol w:w="2267"/>
        <w:gridCol w:w="1845"/>
        <w:gridCol w:w="1699"/>
        <w:gridCol w:w="1655"/>
      </w:tblGrid>
      <w:tr w:rsidR="004D65B3" w:rsidRPr="00EE6892" w14:paraId="397BE58B" w14:textId="77777777" w:rsidTr="000206D2">
        <w:trPr>
          <w:cantSplit/>
          <w:trHeight w:val="340"/>
          <w:tblHeader/>
        </w:trPr>
        <w:tc>
          <w:tcPr>
            <w:tcW w:w="5000" w:type="pct"/>
            <w:gridSpan w:val="8"/>
            <w:shd w:val="clear" w:color="auto" w:fill="FFFFFF" w:themeFill="background1"/>
            <w:vAlign w:val="bottom"/>
          </w:tcPr>
          <w:p w14:paraId="7C85F102" w14:textId="665D7FA4" w:rsidR="004D65B3" w:rsidRPr="00EE6892" w:rsidRDefault="004D65B3" w:rsidP="0000064D">
            <w:pPr>
              <w:pStyle w:val="Legenda"/>
              <w:spacing w:before="0" w:after="0" w:line="240" w:lineRule="auto"/>
              <w:jc w:val="left"/>
              <w:rPr>
                <w:color w:val="FFFFFF"/>
                <w:szCs w:val="20"/>
              </w:rPr>
            </w:pPr>
            <w:bookmarkStart w:id="58" w:name="_Ref412128602"/>
            <w:bookmarkStart w:id="59" w:name="_Toc412476175"/>
            <w:bookmarkStart w:id="60" w:name="_Toc527990481"/>
            <w:r w:rsidRPr="007C26F9">
              <w:rPr>
                <w:szCs w:val="20"/>
              </w:rPr>
              <w:lastRenderedPageBreak/>
              <w:t>Tabela</w:t>
            </w:r>
            <w:r w:rsidRPr="00EE6892">
              <w:rPr>
                <w:szCs w:val="20"/>
              </w:rPr>
              <w:t xml:space="preserve"> </w:t>
            </w:r>
            <w:r w:rsidR="0036087F" w:rsidRPr="00EE6892">
              <w:rPr>
                <w:szCs w:val="20"/>
              </w:rPr>
              <w:fldChar w:fldCharType="begin"/>
            </w:r>
            <w:r w:rsidR="0036087F" w:rsidRPr="00EE6892">
              <w:rPr>
                <w:szCs w:val="20"/>
              </w:rPr>
              <w:instrText xml:space="preserve"> SEQ Tabela \* ARABIC </w:instrText>
            </w:r>
            <w:r w:rsidR="0036087F" w:rsidRPr="00EE6892">
              <w:rPr>
                <w:szCs w:val="20"/>
              </w:rPr>
              <w:fldChar w:fldCharType="separate"/>
            </w:r>
            <w:r w:rsidR="00A50E67">
              <w:rPr>
                <w:noProof/>
                <w:szCs w:val="20"/>
              </w:rPr>
              <w:t>6</w:t>
            </w:r>
            <w:r w:rsidR="0036087F" w:rsidRPr="00EE6892">
              <w:rPr>
                <w:noProof/>
                <w:szCs w:val="20"/>
              </w:rPr>
              <w:fldChar w:fldCharType="end"/>
            </w:r>
            <w:bookmarkEnd w:id="58"/>
            <w:r w:rsidRPr="00EE6892">
              <w:rPr>
                <w:szCs w:val="20"/>
              </w:rPr>
              <w:t xml:space="preserve">: Sumário dos cenários acidentais com potencial de </w:t>
            </w:r>
            <w:r w:rsidR="00642786">
              <w:rPr>
                <w:szCs w:val="20"/>
              </w:rPr>
              <w:t>derramamento</w:t>
            </w:r>
            <w:r w:rsidRPr="00EE6892">
              <w:rPr>
                <w:szCs w:val="20"/>
              </w:rPr>
              <w:t xml:space="preserve"> de produto oleoso, identificados na Análise Preliminar de Riscos (APR)</w:t>
            </w:r>
            <w:bookmarkEnd w:id="59"/>
            <w:r w:rsidRPr="00EE6892">
              <w:rPr>
                <w:szCs w:val="20"/>
              </w:rPr>
              <w:t>.</w:t>
            </w:r>
            <w:bookmarkEnd w:id="60"/>
          </w:p>
        </w:tc>
      </w:tr>
      <w:tr w:rsidR="004D65B3" w:rsidRPr="00EE6892" w14:paraId="4A4D0399" w14:textId="77777777" w:rsidTr="00915A5A">
        <w:trPr>
          <w:cantSplit/>
          <w:trHeight w:val="737"/>
          <w:tblHeader/>
        </w:trPr>
        <w:tc>
          <w:tcPr>
            <w:tcW w:w="351" w:type="pct"/>
            <w:gridSpan w:val="2"/>
            <w:shd w:val="clear" w:color="auto" w:fill="1F497D"/>
            <w:vAlign w:val="center"/>
            <w:hideMark/>
          </w:tcPr>
          <w:p w14:paraId="6121DD3C" w14:textId="77777777" w:rsidR="004D65B3" w:rsidRPr="00EE6892" w:rsidRDefault="004D65B3" w:rsidP="0000064D">
            <w:pPr>
              <w:pStyle w:val="texto1"/>
              <w:spacing w:before="0" w:line="240" w:lineRule="auto"/>
              <w:jc w:val="center"/>
              <w:rPr>
                <w:rFonts w:asciiTheme="majorHAnsi" w:hAnsiTheme="majorHAnsi" w:cs="Arial"/>
                <w:b/>
                <w:caps/>
                <w:color w:val="FFFFFF"/>
                <w:sz w:val="20"/>
                <w:lang w:eastAsia="en-US"/>
              </w:rPr>
            </w:pPr>
            <w:r w:rsidRPr="00EE6892">
              <w:rPr>
                <w:rFonts w:asciiTheme="majorHAnsi" w:hAnsiTheme="majorHAnsi" w:cs="Arial"/>
                <w:b/>
                <w:color w:val="FFFFFF"/>
                <w:sz w:val="20"/>
                <w:lang w:eastAsia="en-US"/>
              </w:rPr>
              <w:t>Cenário da APR</w:t>
            </w:r>
          </w:p>
        </w:tc>
        <w:tc>
          <w:tcPr>
            <w:tcW w:w="1978" w:type="pct"/>
            <w:gridSpan w:val="2"/>
            <w:shd w:val="clear" w:color="auto" w:fill="1F497D"/>
            <w:vAlign w:val="center"/>
            <w:hideMark/>
          </w:tcPr>
          <w:p w14:paraId="6B313B88" w14:textId="77777777" w:rsidR="004D65B3" w:rsidRPr="00EE6892" w:rsidRDefault="004D65B3" w:rsidP="0000064D">
            <w:pPr>
              <w:pStyle w:val="texto1"/>
              <w:spacing w:before="0" w:line="240" w:lineRule="auto"/>
              <w:jc w:val="center"/>
              <w:rPr>
                <w:rFonts w:asciiTheme="majorHAnsi" w:hAnsiTheme="majorHAnsi" w:cs="Arial"/>
                <w:b/>
                <w:caps/>
                <w:color w:val="FFFFFF"/>
                <w:sz w:val="20"/>
                <w:lang w:eastAsia="en-US"/>
              </w:rPr>
            </w:pPr>
            <w:r w:rsidRPr="00EE6892">
              <w:rPr>
                <w:rFonts w:asciiTheme="majorHAnsi" w:hAnsiTheme="majorHAnsi" w:cs="Arial"/>
                <w:b/>
                <w:color w:val="FFFFFF"/>
                <w:sz w:val="20"/>
                <w:lang w:eastAsia="en-US"/>
              </w:rPr>
              <w:t>Perigo</w:t>
            </w:r>
          </w:p>
        </w:tc>
        <w:tc>
          <w:tcPr>
            <w:tcW w:w="811" w:type="pct"/>
            <w:shd w:val="clear" w:color="auto" w:fill="1F497D"/>
            <w:vAlign w:val="center"/>
            <w:hideMark/>
          </w:tcPr>
          <w:p w14:paraId="5AC5D075" w14:textId="77777777" w:rsidR="004D65B3" w:rsidRPr="00EE6892" w:rsidRDefault="004D65B3" w:rsidP="0000064D">
            <w:pPr>
              <w:pStyle w:val="texto1"/>
              <w:spacing w:before="0" w:line="240" w:lineRule="auto"/>
              <w:jc w:val="center"/>
              <w:rPr>
                <w:rFonts w:asciiTheme="majorHAnsi" w:hAnsiTheme="majorHAnsi" w:cs="Arial"/>
                <w:b/>
                <w:caps/>
                <w:color w:val="FFFFFF"/>
                <w:sz w:val="20"/>
                <w:lang w:eastAsia="en-US"/>
              </w:rPr>
            </w:pPr>
            <w:r w:rsidRPr="00EE6892">
              <w:rPr>
                <w:rFonts w:asciiTheme="majorHAnsi" w:hAnsiTheme="majorHAnsi" w:cs="Arial"/>
                <w:b/>
                <w:color w:val="FFFFFF"/>
                <w:sz w:val="20"/>
                <w:lang w:eastAsia="en-US"/>
              </w:rPr>
              <w:t>Tipo de Produto Oleoso Vazado</w:t>
            </w:r>
          </w:p>
        </w:tc>
        <w:tc>
          <w:tcPr>
            <w:tcW w:w="660" w:type="pct"/>
            <w:shd w:val="clear" w:color="auto" w:fill="1F497D"/>
            <w:vAlign w:val="center"/>
            <w:hideMark/>
          </w:tcPr>
          <w:p w14:paraId="71DB02AD" w14:textId="77777777" w:rsidR="004D65B3" w:rsidRPr="00EE6892" w:rsidRDefault="004D65B3" w:rsidP="0000064D">
            <w:pPr>
              <w:pStyle w:val="texto1"/>
              <w:spacing w:before="0" w:line="240" w:lineRule="auto"/>
              <w:jc w:val="center"/>
              <w:rPr>
                <w:rFonts w:asciiTheme="majorHAnsi" w:hAnsiTheme="majorHAnsi" w:cs="Arial"/>
                <w:b/>
                <w:caps/>
                <w:color w:val="FFFFFF"/>
                <w:sz w:val="20"/>
                <w:lang w:eastAsia="en-US"/>
              </w:rPr>
            </w:pPr>
            <w:r w:rsidRPr="00EE6892">
              <w:rPr>
                <w:rFonts w:asciiTheme="majorHAnsi" w:hAnsiTheme="majorHAnsi" w:cs="Arial"/>
                <w:b/>
                <w:color w:val="FFFFFF"/>
                <w:sz w:val="20"/>
                <w:lang w:eastAsia="en-US"/>
              </w:rPr>
              <w:t>Volume Estimado</w:t>
            </w:r>
          </w:p>
        </w:tc>
        <w:tc>
          <w:tcPr>
            <w:tcW w:w="608" w:type="pct"/>
            <w:shd w:val="clear" w:color="auto" w:fill="1F497D"/>
            <w:vAlign w:val="center"/>
            <w:hideMark/>
          </w:tcPr>
          <w:p w14:paraId="7A028F72" w14:textId="77777777" w:rsidR="004D65B3" w:rsidRPr="00EE6892" w:rsidRDefault="004D65B3" w:rsidP="0000064D">
            <w:pPr>
              <w:pStyle w:val="texto1"/>
              <w:spacing w:before="0" w:line="240" w:lineRule="auto"/>
              <w:jc w:val="center"/>
              <w:rPr>
                <w:rFonts w:asciiTheme="majorHAnsi" w:hAnsiTheme="majorHAnsi" w:cs="Arial"/>
                <w:b/>
                <w:caps/>
                <w:color w:val="FFFFFF"/>
                <w:sz w:val="20"/>
                <w:lang w:eastAsia="en-US"/>
              </w:rPr>
            </w:pPr>
            <w:r w:rsidRPr="00EE6892">
              <w:rPr>
                <w:rFonts w:asciiTheme="majorHAnsi" w:hAnsiTheme="majorHAnsi" w:cs="Arial"/>
                <w:b/>
                <w:color w:val="FFFFFF"/>
                <w:sz w:val="20"/>
                <w:lang w:eastAsia="en-US"/>
              </w:rPr>
              <w:t>Regime do Derramamento</w:t>
            </w:r>
          </w:p>
        </w:tc>
        <w:tc>
          <w:tcPr>
            <w:tcW w:w="592" w:type="pct"/>
            <w:shd w:val="clear" w:color="auto" w:fill="1F497D"/>
            <w:vAlign w:val="center"/>
            <w:hideMark/>
          </w:tcPr>
          <w:p w14:paraId="4F45F822" w14:textId="77777777" w:rsidR="004D65B3" w:rsidRPr="00EE6892" w:rsidRDefault="004D65B3" w:rsidP="0000064D">
            <w:pPr>
              <w:pStyle w:val="texto1"/>
              <w:spacing w:before="0" w:line="240" w:lineRule="auto"/>
              <w:jc w:val="center"/>
              <w:rPr>
                <w:rFonts w:asciiTheme="majorHAnsi" w:hAnsiTheme="majorHAnsi" w:cs="Arial"/>
                <w:b/>
                <w:caps/>
                <w:color w:val="FFFFFF"/>
                <w:sz w:val="20"/>
                <w:lang w:eastAsia="en-US"/>
              </w:rPr>
            </w:pPr>
            <w:r w:rsidRPr="00EE6892">
              <w:rPr>
                <w:rFonts w:asciiTheme="majorHAnsi" w:hAnsiTheme="majorHAnsi" w:cs="Arial"/>
                <w:b/>
                <w:color w:val="FFFFFF"/>
                <w:sz w:val="20"/>
                <w:lang w:eastAsia="en-US"/>
              </w:rPr>
              <w:t>Potencial de Atingir o Mar</w:t>
            </w:r>
          </w:p>
        </w:tc>
      </w:tr>
      <w:tr w:rsidR="004D65B3" w:rsidRPr="00EE6892" w14:paraId="343253F8" w14:textId="77777777" w:rsidTr="0000064D">
        <w:trPr>
          <w:cantSplit/>
          <w:trHeight w:val="340"/>
        </w:trPr>
        <w:tc>
          <w:tcPr>
            <w:tcW w:w="5000" w:type="pct"/>
            <w:gridSpan w:val="8"/>
            <w:shd w:val="clear" w:color="auto" w:fill="A6A6A6" w:themeFill="background1" w:themeFillShade="A6"/>
            <w:vAlign w:val="center"/>
          </w:tcPr>
          <w:p w14:paraId="078FD6DB" w14:textId="77777777" w:rsidR="004D65B3" w:rsidRPr="00EE6892" w:rsidRDefault="004D65B3" w:rsidP="0000064D">
            <w:pPr>
              <w:pStyle w:val="texto1"/>
              <w:spacing w:before="0" w:line="240" w:lineRule="auto"/>
              <w:rPr>
                <w:rFonts w:asciiTheme="majorHAnsi" w:hAnsiTheme="majorHAnsi" w:cs="Arial"/>
                <w:b/>
                <w:sz w:val="20"/>
                <w:lang w:eastAsia="en-US"/>
              </w:rPr>
            </w:pPr>
            <w:r w:rsidRPr="00EE6892">
              <w:rPr>
                <w:rFonts w:asciiTheme="majorHAnsi" w:hAnsiTheme="majorHAnsi" w:cs="Arial"/>
                <w:b/>
                <w:sz w:val="20"/>
                <w:lang w:eastAsia="en-US"/>
              </w:rPr>
              <w:t>Cenários relacionados à</w:t>
            </w:r>
            <w:r w:rsidR="0000064D" w:rsidRPr="00EE6892">
              <w:rPr>
                <w:rFonts w:asciiTheme="majorHAnsi" w:hAnsiTheme="majorHAnsi" w:cs="Arial"/>
                <w:b/>
                <w:sz w:val="20"/>
                <w:lang w:eastAsia="en-US"/>
              </w:rPr>
              <w:t xml:space="preserve"> unidade de perfuração marítima</w:t>
            </w:r>
          </w:p>
        </w:tc>
      </w:tr>
      <w:tr w:rsidR="004D65B3" w:rsidRPr="00EE6892" w14:paraId="64AEBD2B" w14:textId="77777777" w:rsidTr="00915A5A">
        <w:trPr>
          <w:cantSplit/>
        </w:trPr>
        <w:tc>
          <w:tcPr>
            <w:tcW w:w="351" w:type="pct"/>
            <w:gridSpan w:val="2"/>
            <w:shd w:val="clear" w:color="auto" w:fill="F2F2F2" w:themeFill="background1" w:themeFillShade="F2"/>
            <w:vAlign w:val="center"/>
          </w:tcPr>
          <w:p w14:paraId="09CC24B8" w14:textId="77777777" w:rsidR="004D65B3" w:rsidRPr="00EE6892" w:rsidRDefault="004D65B3" w:rsidP="0000064D">
            <w:pPr>
              <w:spacing w:before="0" w:line="240" w:lineRule="auto"/>
              <w:jc w:val="center"/>
              <w:rPr>
                <w:rFonts w:asciiTheme="majorHAnsi" w:hAnsiTheme="majorHAnsi"/>
                <w:b/>
                <w:sz w:val="20"/>
                <w:szCs w:val="20"/>
              </w:rPr>
            </w:pPr>
            <w:r w:rsidRPr="00EE6892">
              <w:rPr>
                <w:rFonts w:asciiTheme="majorHAnsi" w:hAnsiTheme="majorHAnsi"/>
                <w:b/>
                <w:sz w:val="20"/>
                <w:szCs w:val="20"/>
              </w:rPr>
              <w:t>01</w:t>
            </w:r>
          </w:p>
        </w:tc>
        <w:tc>
          <w:tcPr>
            <w:tcW w:w="1978" w:type="pct"/>
            <w:gridSpan w:val="2"/>
            <w:shd w:val="clear" w:color="auto" w:fill="F2F2F2" w:themeFill="background1" w:themeFillShade="F2"/>
            <w:vAlign w:val="center"/>
          </w:tcPr>
          <w:p w14:paraId="77A94F3A" w14:textId="77777777" w:rsidR="004D65B3" w:rsidRPr="00EE6892" w:rsidRDefault="004D65B3" w:rsidP="0000064D">
            <w:pPr>
              <w:spacing w:before="0" w:line="240" w:lineRule="auto"/>
              <w:rPr>
                <w:rFonts w:asciiTheme="majorHAnsi" w:hAnsiTheme="majorHAnsi"/>
                <w:sz w:val="20"/>
                <w:szCs w:val="20"/>
              </w:rPr>
            </w:pPr>
            <w:r w:rsidRPr="00EE6892">
              <w:rPr>
                <w:rFonts w:asciiTheme="majorHAnsi" w:hAnsiTheme="majorHAnsi"/>
                <w:sz w:val="20"/>
                <w:szCs w:val="20"/>
              </w:rPr>
              <w:t>Pequeno vazamento de fluido de perfuração devido a furos, trincas ou falha de vedação em tanques, linhas e/ou acessórios durante a sua preparação e tratamento, resultando em espalhamento de fluido de perfuração por áreas adjacentes.</w:t>
            </w:r>
          </w:p>
        </w:tc>
        <w:tc>
          <w:tcPr>
            <w:tcW w:w="811" w:type="pct"/>
            <w:shd w:val="clear" w:color="auto" w:fill="F2F2F2" w:themeFill="background1" w:themeFillShade="F2"/>
            <w:vAlign w:val="center"/>
          </w:tcPr>
          <w:p w14:paraId="3551609A"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Fluido de Perfuração de base não aquosa</w:t>
            </w:r>
          </w:p>
        </w:tc>
        <w:tc>
          <w:tcPr>
            <w:tcW w:w="660" w:type="pct"/>
            <w:shd w:val="clear" w:color="auto" w:fill="F2F2F2" w:themeFill="background1" w:themeFillShade="F2"/>
            <w:vAlign w:val="center"/>
          </w:tcPr>
          <w:p w14:paraId="0DF3C997"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Até 8 m³</w:t>
            </w:r>
          </w:p>
        </w:tc>
        <w:tc>
          <w:tcPr>
            <w:tcW w:w="608" w:type="pct"/>
            <w:shd w:val="clear" w:color="auto" w:fill="F2F2F2" w:themeFill="background1" w:themeFillShade="F2"/>
            <w:vAlign w:val="center"/>
          </w:tcPr>
          <w:p w14:paraId="5C8970EF"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Contínuo</w:t>
            </w:r>
          </w:p>
        </w:tc>
        <w:tc>
          <w:tcPr>
            <w:tcW w:w="592" w:type="pct"/>
            <w:shd w:val="clear" w:color="auto" w:fill="F2F2F2" w:themeFill="background1" w:themeFillShade="F2"/>
            <w:vAlign w:val="center"/>
          </w:tcPr>
          <w:p w14:paraId="1FBE5AD1"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Não</w:t>
            </w:r>
          </w:p>
        </w:tc>
      </w:tr>
      <w:tr w:rsidR="004D65B3" w:rsidRPr="00EE6892" w14:paraId="4D150515" w14:textId="77777777" w:rsidTr="00915A5A">
        <w:trPr>
          <w:cantSplit/>
        </w:trPr>
        <w:tc>
          <w:tcPr>
            <w:tcW w:w="351" w:type="pct"/>
            <w:gridSpan w:val="2"/>
            <w:shd w:val="clear" w:color="auto" w:fill="F2F2F2" w:themeFill="background1" w:themeFillShade="F2"/>
            <w:vAlign w:val="center"/>
          </w:tcPr>
          <w:p w14:paraId="1E9C1222" w14:textId="77777777" w:rsidR="004D65B3" w:rsidRPr="00EE6892" w:rsidRDefault="004D65B3" w:rsidP="0000064D">
            <w:pPr>
              <w:spacing w:before="0" w:line="240" w:lineRule="auto"/>
              <w:jc w:val="center"/>
              <w:rPr>
                <w:rFonts w:asciiTheme="majorHAnsi" w:hAnsiTheme="majorHAnsi"/>
                <w:b/>
                <w:sz w:val="20"/>
                <w:szCs w:val="20"/>
              </w:rPr>
            </w:pPr>
            <w:r w:rsidRPr="00EE6892">
              <w:rPr>
                <w:rFonts w:asciiTheme="majorHAnsi" w:hAnsiTheme="majorHAnsi"/>
                <w:b/>
                <w:sz w:val="20"/>
                <w:szCs w:val="20"/>
              </w:rPr>
              <w:t>02</w:t>
            </w:r>
          </w:p>
        </w:tc>
        <w:tc>
          <w:tcPr>
            <w:tcW w:w="1978" w:type="pct"/>
            <w:gridSpan w:val="2"/>
            <w:shd w:val="clear" w:color="auto" w:fill="F2F2F2" w:themeFill="background1" w:themeFillShade="F2"/>
            <w:vAlign w:val="center"/>
          </w:tcPr>
          <w:p w14:paraId="64707153" w14:textId="77777777" w:rsidR="004D65B3" w:rsidRPr="00EE6892" w:rsidRDefault="004D65B3" w:rsidP="0000064D">
            <w:pPr>
              <w:spacing w:before="0" w:line="240" w:lineRule="auto"/>
              <w:rPr>
                <w:rFonts w:asciiTheme="majorHAnsi" w:hAnsiTheme="majorHAnsi"/>
                <w:sz w:val="20"/>
                <w:szCs w:val="20"/>
              </w:rPr>
            </w:pPr>
            <w:r w:rsidRPr="00EE6892">
              <w:rPr>
                <w:rFonts w:asciiTheme="majorHAnsi" w:hAnsiTheme="majorHAnsi"/>
                <w:sz w:val="20"/>
                <w:szCs w:val="20"/>
              </w:rPr>
              <w:t>Médio vazamento de fluido de perfuração devido à ruptura em tanques, linhas e/ou acessórios durante a sua preparação e tratamento, resultando em espalhamento de fluido de perfuração por áreas adjacentes.</w:t>
            </w:r>
          </w:p>
        </w:tc>
        <w:tc>
          <w:tcPr>
            <w:tcW w:w="811" w:type="pct"/>
            <w:shd w:val="clear" w:color="auto" w:fill="F2F2F2" w:themeFill="background1" w:themeFillShade="F2"/>
            <w:vAlign w:val="center"/>
          </w:tcPr>
          <w:p w14:paraId="48B8683A"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Fluido de Perfuração de base não aquosa</w:t>
            </w:r>
          </w:p>
        </w:tc>
        <w:tc>
          <w:tcPr>
            <w:tcW w:w="660" w:type="pct"/>
            <w:shd w:val="clear" w:color="auto" w:fill="F2F2F2" w:themeFill="background1" w:themeFillShade="F2"/>
            <w:vAlign w:val="center"/>
          </w:tcPr>
          <w:p w14:paraId="65834233" w14:textId="3A913D3C" w:rsidR="004D65B3" w:rsidRPr="00EE6892" w:rsidRDefault="004D65B3" w:rsidP="00915A5A">
            <w:pPr>
              <w:spacing w:before="0" w:line="240" w:lineRule="auto"/>
              <w:jc w:val="center"/>
              <w:rPr>
                <w:rFonts w:asciiTheme="majorHAnsi" w:hAnsiTheme="majorHAnsi"/>
                <w:sz w:val="20"/>
                <w:szCs w:val="20"/>
              </w:rPr>
            </w:pPr>
            <w:r w:rsidRPr="00EE6892">
              <w:rPr>
                <w:rFonts w:asciiTheme="majorHAnsi" w:hAnsiTheme="majorHAnsi"/>
                <w:sz w:val="20"/>
                <w:szCs w:val="20"/>
              </w:rPr>
              <w:t xml:space="preserve">Entre 8 e </w:t>
            </w:r>
            <w:r w:rsidR="00915A5A">
              <w:rPr>
                <w:rFonts w:asciiTheme="majorHAnsi" w:hAnsiTheme="majorHAnsi"/>
                <w:sz w:val="20"/>
                <w:szCs w:val="20"/>
              </w:rPr>
              <w:t>200</w:t>
            </w:r>
            <w:r w:rsidRPr="00EE6892">
              <w:rPr>
                <w:rFonts w:asciiTheme="majorHAnsi" w:hAnsiTheme="majorHAnsi"/>
                <w:sz w:val="20"/>
                <w:szCs w:val="20"/>
              </w:rPr>
              <w:t xml:space="preserve"> m³</w:t>
            </w:r>
          </w:p>
        </w:tc>
        <w:tc>
          <w:tcPr>
            <w:tcW w:w="608" w:type="pct"/>
            <w:shd w:val="clear" w:color="auto" w:fill="F2F2F2" w:themeFill="background1" w:themeFillShade="F2"/>
            <w:vAlign w:val="center"/>
          </w:tcPr>
          <w:p w14:paraId="778F8327"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Instantâneo ou Contínuo</w:t>
            </w:r>
          </w:p>
        </w:tc>
        <w:tc>
          <w:tcPr>
            <w:tcW w:w="592" w:type="pct"/>
            <w:shd w:val="clear" w:color="auto" w:fill="F2F2F2" w:themeFill="background1" w:themeFillShade="F2"/>
            <w:vAlign w:val="center"/>
          </w:tcPr>
          <w:p w14:paraId="57A76D32"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Não</w:t>
            </w:r>
          </w:p>
        </w:tc>
      </w:tr>
      <w:tr w:rsidR="00915A5A" w:rsidRPr="00EE6892" w14:paraId="52190352" w14:textId="77777777" w:rsidTr="00915A5A">
        <w:trPr>
          <w:cantSplit/>
        </w:trPr>
        <w:tc>
          <w:tcPr>
            <w:tcW w:w="351" w:type="pct"/>
            <w:gridSpan w:val="2"/>
            <w:shd w:val="clear" w:color="auto" w:fill="FBD4B4" w:themeFill="accent6" w:themeFillTint="66"/>
            <w:vAlign w:val="center"/>
          </w:tcPr>
          <w:p w14:paraId="7343E541" w14:textId="24A14D83" w:rsidR="00915A5A" w:rsidRPr="00EE6892" w:rsidRDefault="00915A5A" w:rsidP="0000064D">
            <w:pPr>
              <w:spacing w:before="0" w:line="240" w:lineRule="auto"/>
              <w:jc w:val="center"/>
              <w:rPr>
                <w:rFonts w:asciiTheme="majorHAnsi" w:hAnsiTheme="majorHAnsi"/>
                <w:b/>
                <w:sz w:val="20"/>
                <w:szCs w:val="20"/>
              </w:rPr>
            </w:pPr>
            <w:r>
              <w:rPr>
                <w:rFonts w:asciiTheme="majorHAnsi" w:hAnsiTheme="majorHAnsi"/>
                <w:b/>
                <w:sz w:val="20"/>
                <w:szCs w:val="20"/>
              </w:rPr>
              <w:t>03</w:t>
            </w:r>
          </w:p>
        </w:tc>
        <w:tc>
          <w:tcPr>
            <w:tcW w:w="1978" w:type="pct"/>
            <w:gridSpan w:val="2"/>
            <w:shd w:val="clear" w:color="auto" w:fill="FBD4B4" w:themeFill="accent6" w:themeFillTint="66"/>
            <w:vAlign w:val="center"/>
          </w:tcPr>
          <w:p w14:paraId="08F1ACE0" w14:textId="47AB919C" w:rsidR="00915A5A" w:rsidRPr="00915A5A" w:rsidRDefault="00915A5A" w:rsidP="00915A5A">
            <w:pPr>
              <w:autoSpaceDE w:val="0"/>
              <w:autoSpaceDN w:val="0"/>
              <w:adjustRightInd w:val="0"/>
              <w:spacing w:before="0" w:line="240" w:lineRule="auto"/>
              <w:jc w:val="left"/>
              <w:rPr>
                <w:rFonts w:ascii="Times New Roman" w:hAnsi="Times New Roman" w:cs="Times New Roman"/>
                <w:sz w:val="20"/>
                <w:szCs w:val="20"/>
              </w:rPr>
            </w:pPr>
            <w:r w:rsidRPr="00915A5A">
              <w:rPr>
                <w:rFonts w:ascii="Times New Roman" w:hAnsi="Times New Roman" w:cs="Times New Roman"/>
                <w:sz w:val="20"/>
                <w:szCs w:val="20"/>
              </w:rPr>
              <w:t>Grande vazamento de fluido</w:t>
            </w:r>
            <w:r>
              <w:rPr>
                <w:rFonts w:ascii="Times New Roman" w:hAnsi="Times New Roman" w:cs="Times New Roman"/>
                <w:sz w:val="20"/>
                <w:szCs w:val="20"/>
              </w:rPr>
              <w:t xml:space="preserve"> </w:t>
            </w:r>
            <w:r w:rsidRPr="00915A5A">
              <w:rPr>
                <w:rFonts w:ascii="Times New Roman" w:hAnsi="Times New Roman" w:cs="Times New Roman"/>
                <w:sz w:val="20"/>
                <w:szCs w:val="20"/>
              </w:rPr>
              <w:t>de perfuração devido à</w:t>
            </w:r>
            <w:r>
              <w:rPr>
                <w:rFonts w:ascii="Times New Roman" w:hAnsi="Times New Roman" w:cs="Times New Roman"/>
                <w:sz w:val="20"/>
                <w:szCs w:val="20"/>
              </w:rPr>
              <w:t xml:space="preserve"> </w:t>
            </w:r>
            <w:r w:rsidRPr="00915A5A">
              <w:rPr>
                <w:rFonts w:ascii="Times New Roman" w:hAnsi="Times New Roman" w:cs="Times New Roman"/>
                <w:sz w:val="20"/>
                <w:szCs w:val="20"/>
              </w:rPr>
              <w:t>ruptura em tanques, linhas</w:t>
            </w:r>
            <w:r>
              <w:rPr>
                <w:rFonts w:ascii="Times New Roman" w:hAnsi="Times New Roman" w:cs="Times New Roman"/>
                <w:sz w:val="20"/>
                <w:szCs w:val="20"/>
              </w:rPr>
              <w:t xml:space="preserve"> </w:t>
            </w:r>
            <w:r w:rsidRPr="00915A5A">
              <w:rPr>
                <w:rFonts w:ascii="Times New Roman" w:hAnsi="Times New Roman" w:cs="Times New Roman"/>
                <w:sz w:val="20"/>
                <w:szCs w:val="20"/>
              </w:rPr>
              <w:t>e/ou acessórios durante a sua</w:t>
            </w:r>
            <w:r>
              <w:rPr>
                <w:rFonts w:ascii="Times New Roman" w:hAnsi="Times New Roman" w:cs="Times New Roman"/>
                <w:sz w:val="20"/>
                <w:szCs w:val="20"/>
              </w:rPr>
              <w:t xml:space="preserve"> </w:t>
            </w:r>
            <w:r w:rsidRPr="00915A5A">
              <w:rPr>
                <w:rFonts w:ascii="Times New Roman" w:hAnsi="Times New Roman" w:cs="Times New Roman"/>
                <w:sz w:val="20"/>
                <w:szCs w:val="20"/>
              </w:rPr>
              <w:t>preparação e tratamento,</w:t>
            </w:r>
            <w:r>
              <w:rPr>
                <w:rFonts w:ascii="Times New Roman" w:hAnsi="Times New Roman" w:cs="Times New Roman"/>
                <w:sz w:val="20"/>
                <w:szCs w:val="20"/>
              </w:rPr>
              <w:t xml:space="preserve"> </w:t>
            </w:r>
            <w:r w:rsidRPr="00915A5A">
              <w:rPr>
                <w:rFonts w:ascii="Times New Roman" w:hAnsi="Times New Roman" w:cs="Times New Roman"/>
                <w:sz w:val="20"/>
                <w:szCs w:val="20"/>
              </w:rPr>
              <w:t>resultando em espalhamento</w:t>
            </w:r>
            <w:r>
              <w:rPr>
                <w:rFonts w:ascii="Times New Roman" w:hAnsi="Times New Roman" w:cs="Times New Roman"/>
                <w:sz w:val="20"/>
                <w:szCs w:val="20"/>
              </w:rPr>
              <w:t xml:space="preserve"> </w:t>
            </w:r>
            <w:r w:rsidRPr="00915A5A">
              <w:rPr>
                <w:rFonts w:ascii="Times New Roman" w:hAnsi="Times New Roman" w:cs="Times New Roman"/>
                <w:sz w:val="20"/>
                <w:szCs w:val="20"/>
              </w:rPr>
              <w:t>de fluido de perfuração no</w:t>
            </w:r>
          </w:p>
          <w:p w14:paraId="0EBEDF3C" w14:textId="3A81CD4A" w:rsidR="00915A5A" w:rsidRPr="00EE6892" w:rsidRDefault="00915A5A" w:rsidP="00915A5A">
            <w:pPr>
              <w:spacing w:before="0" w:line="240" w:lineRule="auto"/>
              <w:rPr>
                <w:rFonts w:asciiTheme="majorHAnsi" w:hAnsiTheme="majorHAnsi"/>
                <w:sz w:val="20"/>
                <w:szCs w:val="20"/>
              </w:rPr>
            </w:pPr>
            <w:r w:rsidRPr="00915A5A">
              <w:rPr>
                <w:rFonts w:ascii="Times New Roman" w:hAnsi="Times New Roman" w:cs="Times New Roman"/>
                <w:sz w:val="20"/>
                <w:szCs w:val="20"/>
              </w:rPr>
              <w:t>mar</w:t>
            </w:r>
          </w:p>
        </w:tc>
        <w:tc>
          <w:tcPr>
            <w:tcW w:w="811" w:type="pct"/>
            <w:shd w:val="clear" w:color="auto" w:fill="FBD4B4" w:themeFill="accent6" w:themeFillTint="66"/>
            <w:vAlign w:val="center"/>
          </w:tcPr>
          <w:p w14:paraId="4B86B492" w14:textId="39A14F05" w:rsidR="00915A5A" w:rsidRPr="00EE6892" w:rsidRDefault="00915A5A" w:rsidP="0000064D">
            <w:pPr>
              <w:spacing w:before="0" w:line="240" w:lineRule="auto"/>
              <w:jc w:val="center"/>
              <w:rPr>
                <w:rFonts w:asciiTheme="majorHAnsi" w:hAnsiTheme="majorHAnsi"/>
                <w:sz w:val="20"/>
                <w:szCs w:val="20"/>
              </w:rPr>
            </w:pPr>
            <w:r w:rsidRPr="00EE6892">
              <w:rPr>
                <w:rFonts w:asciiTheme="majorHAnsi" w:hAnsiTheme="majorHAnsi"/>
                <w:sz w:val="20"/>
                <w:szCs w:val="20"/>
              </w:rPr>
              <w:t>Fluido de Perfuração de base não aquosa</w:t>
            </w:r>
          </w:p>
        </w:tc>
        <w:tc>
          <w:tcPr>
            <w:tcW w:w="660" w:type="pct"/>
            <w:shd w:val="clear" w:color="auto" w:fill="FBD4B4" w:themeFill="accent6" w:themeFillTint="66"/>
            <w:vAlign w:val="center"/>
          </w:tcPr>
          <w:p w14:paraId="09CA3296" w14:textId="45B59B8F" w:rsidR="00915A5A" w:rsidRPr="00EE6892" w:rsidRDefault="00915A5A" w:rsidP="00915A5A">
            <w:pPr>
              <w:spacing w:before="0" w:line="240" w:lineRule="auto"/>
              <w:jc w:val="center"/>
              <w:rPr>
                <w:rFonts w:asciiTheme="majorHAnsi" w:hAnsiTheme="majorHAnsi"/>
                <w:sz w:val="20"/>
                <w:szCs w:val="20"/>
              </w:rPr>
            </w:pPr>
            <w:r w:rsidRPr="00EE6892">
              <w:rPr>
                <w:rFonts w:asciiTheme="majorHAnsi" w:hAnsiTheme="majorHAnsi"/>
                <w:sz w:val="20"/>
                <w:szCs w:val="20"/>
              </w:rPr>
              <w:t xml:space="preserve">Entre </w:t>
            </w:r>
            <w:r>
              <w:rPr>
                <w:rFonts w:asciiTheme="majorHAnsi" w:hAnsiTheme="majorHAnsi"/>
                <w:sz w:val="20"/>
                <w:szCs w:val="20"/>
              </w:rPr>
              <w:t>200</w:t>
            </w:r>
            <w:r w:rsidRPr="00EE6892">
              <w:rPr>
                <w:rFonts w:asciiTheme="majorHAnsi" w:hAnsiTheme="majorHAnsi"/>
                <w:sz w:val="20"/>
                <w:szCs w:val="20"/>
              </w:rPr>
              <w:t xml:space="preserve"> e </w:t>
            </w:r>
            <w:r>
              <w:rPr>
                <w:rFonts w:asciiTheme="majorHAnsi" w:hAnsiTheme="majorHAnsi"/>
                <w:sz w:val="20"/>
                <w:szCs w:val="20"/>
              </w:rPr>
              <w:t>635,4</w:t>
            </w:r>
            <w:r w:rsidRPr="00EE6892">
              <w:rPr>
                <w:rFonts w:asciiTheme="majorHAnsi" w:hAnsiTheme="majorHAnsi"/>
                <w:sz w:val="20"/>
                <w:szCs w:val="20"/>
              </w:rPr>
              <w:t xml:space="preserve"> m³</w:t>
            </w:r>
          </w:p>
        </w:tc>
        <w:tc>
          <w:tcPr>
            <w:tcW w:w="608" w:type="pct"/>
            <w:shd w:val="clear" w:color="auto" w:fill="FBD4B4" w:themeFill="accent6" w:themeFillTint="66"/>
            <w:vAlign w:val="center"/>
          </w:tcPr>
          <w:p w14:paraId="2D036D66" w14:textId="4093FEFF" w:rsidR="00915A5A" w:rsidRPr="00EE6892" w:rsidRDefault="00915A5A" w:rsidP="0000064D">
            <w:pPr>
              <w:spacing w:before="0" w:line="240" w:lineRule="auto"/>
              <w:jc w:val="center"/>
              <w:rPr>
                <w:rFonts w:asciiTheme="majorHAnsi" w:hAnsiTheme="majorHAnsi"/>
                <w:sz w:val="20"/>
                <w:szCs w:val="20"/>
              </w:rPr>
            </w:pPr>
            <w:r w:rsidRPr="00EE6892">
              <w:rPr>
                <w:rFonts w:asciiTheme="majorHAnsi" w:hAnsiTheme="majorHAnsi"/>
                <w:sz w:val="20"/>
                <w:szCs w:val="20"/>
              </w:rPr>
              <w:t>Instantâneo ou Contínuo</w:t>
            </w:r>
          </w:p>
        </w:tc>
        <w:tc>
          <w:tcPr>
            <w:tcW w:w="592" w:type="pct"/>
            <w:shd w:val="clear" w:color="auto" w:fill="FBD4B4" w:themeFill="accent6" w:themeFillTint="66"/>
            <w:vAlign w:val="center"/>
          </w:tcPr>
          <w:p w14:paraId="7788B1C6" w14:textId="08AA5A00" w:rsidR="00915A5A" w:rsidRPr="00EE6892" w:rsidRDefault="00915A5A" w:rsidP="0000064D">
            <w:pPr>
              <w:spacing w:before="0" w:line="240" w:lineRule="auto"/>
              <w:jc w:val="center"/>
              <w:rPr>
                <w:rFonts w:asciiTheme="majorHAnsi" w:hAnsiTheme="majorHAnsi"/>
                <w:sz w:val="20"/>
                <w:szCs w:val="20"/>
              </w:rPr>
            </w:pPr>
            <w:r>
              <w:rPr>
                <w:rFonts w:asciiTheme="majorHAnsi" w:hAnsiTheme="majorHAnsi"/>
                <w:sz w:val="20"/>
                <w:szCs w:val="20"/>
              </w:rPr>
              <w:t>Sim</w:t>
            </w:r>
          </w:p>
        </w:tc>
      </w:tr>
      <w:tr w:rsidR="003F3A3F" w:rsidRPr="00EE6892" w14:paraId="54843E81" w14:textId="77777777" w:rsidTr="003F3A3F">
        <w:trPr>
          <w:cantSplit/>
        </w:trPr>
        <w:tc>
          <w:tcPr>
            <w:tcW w:w="351" w:type="pct"/>
            <w:gridSpan w:val="2"/>
            <w:shd w:val="clear" w:color="auto" w:fill="F2F2F2" w:themeFill="background1" w:themeFillShade="F2"/>
            <w:vAlign w:val="center"/>
          </w:tcPr>
          <w:p w14:paraId="1691C5A8" w14:textId="705EC33C" w:rsidR="003F3A3F" w:rsidRPr="00EE6892" w:rsidRDefault="003F3A3F" w:rsidP="0000064D">
            <w:pPr>
              <w:spacing w:before="0" w:line="240" w:lineRule="auto"/>
              <w:jc w:val="center"/>
              <w:rPr>
                <w:rFonts w:asciiTheme="majorHAnsi" w:hAnsiTheme="majorHAnsi"/>
                <w:b/>
                <w:sz w:val="20"/>
                <w:szCs w:val="20"/>
              </w:rPr>
            </w:pPr>
            <w:r>
              <w:rPr>
                <w:rFonts w:asciiTheme="majorHAnsi" w:hAnsiTheme="majorHAnsi"/>
                <w:b/>
                <w:sz w:val="20"/>
                <w:szCs w:val="20"/>
              </w:rPr>
              <w:t>05</w:t>
            </w:r>
          </w:p>
        </w:tc>
        <w:tc>
          <w:tcPr>
            <w:tcW w:w="1978" w:type="pct"/>
            <w:gridSpan w:val="2"/>
            <w:shd w:val="clear" w:color="auto" w:fill="F2F2F2" w:themeFill="background1" w:themeFillShade="F2"/>
            <w:vAlign w:val="center"/>
          </w:tcPr>
          <w:p w14:paraId="715868BD" w14:textId="4849818D" w:rsidR="003F3A3F" w:rsidRPr="00EE6892" w:rsidRDefault="003F3A3F" w:rsidP="003F3A3F">
            <w:pPr>
              <w:autoSpaceDE w:val="0"/>
              <w:autoSpaceDN w:val="0"/>
              <w:adjustRightInd w:val="0"/>
              <w:spacing w:before="0" w:line="240" w:lineRule="auto"/>
              <w:jc w:val="left"/>
              <w:rPr>
                <w:rFonts w:asciiTheme="majorHAnsi" w:hAnsiTheme="majorHAnsi"/>
                <w:sz w:val="20"/>
                <w:szCs w:val="20"/>
              </w:rPr>
            </w:pPr>
            <w:r w:rsidRPr="003F3A3F">
              <w:rPr>
                <w:rFonts w:ascii="Times New Roman" w:hAnsi="Times New Roman" w:cs="Times New Roman"/>
                <w:sz w:val="20"/>
                <w:szCs w:val="20"/>
              </w:rPr>
              <w:t>Médio vazamento de fluido</w:t>
            </w:r>
            <w:r>
              <w:rPr>
                <w:rFonts w:ascii="Times New Roman" w:hAnsi="Times New Roman" w:cs="Times New Roman"/>
                <w:sz w:val="20"/>
                <w:szCs w:val="20"/>
              </w:rPr>
              <w:t xml:space="preserve"> </w:t>
            </w:r>
            <w:r w:rsidRPr="003F3A3F">
              <w:rPr>
                <w:rFonts w:ascii="Times New Roman" w:hAnsi="Times New Roman" w:cs="Times New Roman"/>
                <w:sz w:val="20"/>
                <w:szCs w:val="20"/>
              </w:rPr>
              <w:t>de perfuração devido à</w:t>
            </w:r>
            <w:r>
              <w:rPr>
                <w:rFonts w:ascii="Times New Roman" w:hAnsi="Times New Roman" w:cs="Times New Roman"/>
                <w:sz w:val="20"/>
                <w:szCs w:val="20"/>
              </w:rPr>
              <w:t xml:space="preserve"> </w:t>
            </w:r>
            <w:r w:rsidRPr="003F3A3F">
              <w:rPr>
                <w:rFonts w:ascii="Times New Roman" w:hAnsi="Times New Roman" w:cs="Times New Roman"/>
                <w:sz w:val="20"/>
                <w:szCs w:val="20"/>
              </w:rPr>
              <w:t>ruptura total da tubulação de</w:t>
            </w:r>
            <w:r>
              <w:rPr>
                <w:rFonts w:ascii="Times New Roman" w:hAnsi="Times New Roman" w:cs="Times New Roman"/>
                <w:sz w:val="20"/>
                <w:szCs w:val="20"/>
              </w:rPr>
              <w:t xml:space="preserve"> </w:t>
            </w:r>
            <w:r w:rsidRPr="003F3A3F">
              <w:rPr>
                <w:rFonts w:ascii="Times New Roman" w:hAnsi="Times New Roman" w:cs="Times New Roman"/>
                <w:sz w:val="20"/>
                <w:szCs w:val="20"/>
              </w:rPr>
              <w:t>transferência entre o tanque</w:t>
            </w:r>
            <w:r>
              <w:rPr>
                <w:rFonts w:ascii="Times New Roman" w:hAnsi="Times New Roman" w:cs="Times New Roman"/>
                <w:sz w:val="20"/>
                <w:szCs w:val="20"/>
              </w:rPr>
              <w:t xml:space="preserve"> </w:t>
            </w:r>
            <w:r w:rsidRPr="003F3A3F">
              <w:rPr>
                <w:rFonts w:ascii="Times New Roman" w:hAnsi="Times New Roman" w:cs="Times New Roman"/>
                <w:sz w:val="20"/>
                <w:szCs w:val="20"/>
              </w:rPr>
              <w:t>de estocagem e o ponto de</w:t>
            </w:r>
            <w:r>
              <w:rPr>
                <w:rFonts w:ascii="Times New Roman" w:hAnsi="Times New Roman" w:cs="Times New Roman"/>
                <w:sz w:val="20"/>
                <w:szCs w:val="20"/>
              </w:rPr>
              <w:t xml:space="preserve"> </w:t>
            </w:r>
            <w:r w:rsidRPr="003F3A3F">
              <w:rPr>
                <w:rFonts w:ascii="Times New Roman" w:hAnsi="Times New Roman" w:cs="Times New Roman"/>
                <w:sz w:val="20"/>
                <w:szCs w:val="20"/>
              </w:rPr>
              <w:t>aplicação com espalhamento</w:t>
            </w:r>
            <w:r>
              <w:rPr>
                <w:rFonts w:ascii="Times New Roman" w:hAnsi="Times New Roman" w:cs="Times New Roman"/>
                <w:sz w:val="20"/>
                <w:szCs w:val="20"/>
              </w:rPr>
              <w:t xml:space="preserve"> </w:t>
            </w:r>
            <w:r w:rsidRPr="003F3A3F">
              <w:rPr>
                <w:rFonts w:ascii="Times New Roman" w:hAnsi="Times New Roman" w:cs="Times New Roman"/>
                <w:sz w:val="20"/>
                <w:szCs w:val="20"/>
              </w:rPr>
              <w:t>de fluido por áreas</w:t>
            </w:r>
            <w:r>
              <w:rPr>
                <w:rFonts w:ascii="Times New Roman" w:hAnsi="Times New Roman" w:cs="Times New Roman"/>
                <w:sz w:val="20"/>
                <w:szCs w:val="20"/>
              </w:rPr>
              <w:t xml:space="preserve"> </w:t>
            </w:r>
            <w:r w:rsidRPr="003F3A3F">
              <w:rPr>
                <w:rFonts w:ascii="Times New Roman" w:hAnsi="Times New Roman" w:cs="Times New Roman"/>
                <w:sz w:val="20"/>
                <w:szCs w:val="20"/>
              </w:rPr>
              <w:t>adjacentes.</w:t>
            </w:r>
          </w:p>
        </w:tc>
        <w:tc>
          <w:tcPr>
            <w:tcW w:w="811" w:type="pct"/>
            <w:shd w:val="clear" w:color="auto" w:fill="F2F2F2" w:themeFill="background1" w:themeFillShade="F2"/>
            <w:vAlign w:val="center"/>
          </w:tcPr>
          <w:p w14:paraId="67B70907" w14:textId="6750917F" w:rsidR="003F3A3F" w:rsidRPr="00EE6892" w:rsidRDefault="003F3A3F" w:rsidP="0000064D">
            <w:pPr>
              <w:spacing w:before="0" w:line="240" w:lineRule="auto"/>
              <w:jc w:val="center"/>
              <w:rPr>
                <w:rFonts w:asciiTheme="majorHAnsi" w:hAnsiTheme="majorHAnsi"/>
                <w:sz w:val="20"/>
                <w:szCs w:val="20"/>
              </w:rPr>
            </w:pPr>
            <w:r w:rsidRPr="00EE6892">
              <w:rPr>
                <w:rFonts w:asciiTheme="majorHAnsi" w:hAnsiTheme="majorHAnsi"/>
                <w:sz w:val="20"/>
                <w:szCs w:val="20"/>
              </w:rPr>
              <w:t>Fluido de Perfuração de base não aquosa</w:t>
            </w:r>
          </w:p>
        </w:tc>
        <w:tc>
          <w:tcPr>
            <w:tcW w:w="660" w:type="pct"/>
            <w:shd w:val="clear" w:color="auto" w:fill="F2F2F2" w:themeFill="background1" w:themeFillShade="F2"/>
            <w:vAlign w:val="center"/>
          </w:tcPr>
          <w:p w14:paraId="73E240CF" w14:textId="20EFEE0C" w:rsidR="003F3A3F" w:rsidRPr="00EE6892" w:rsidRDefault="003F3A3F" w:rsidP="0000064D">
            <w:pPr>
              <w:spacing w:before="0" w:line="240" w:lineRule="auto"/>
              <w:jc w:val="center"/>
              <w:rPr>
                <w:rFonts w:asciiTheme="majorHAnsi" w:hAnsiTheme="majorHAnsi"/>
                <w:sz w:val="20"/>
                <w:szCs w:val="20"/>
              </w:rPr>
            </w:pPr>
            <w:r>
              <w:rPr>
                <w:rFonts w:asciiTheme="majorHAnsi" w:hAnsiTheme="majorHAnsi"/>
                <w:sz w:val="20"/>
                <w:szCs w:val="20"/>
              </w:rPr>
              <w:t>Entre</w:t>
            </w:r>
            <w:r w:rsidRPr="00EE6892">
              <w:rPr>
                <w:rFonts w:asciiTheme="majorHAnsi" w:hAnsiTheme="majorHAnsi"/>
                <w:sz w:val="20"/>
                <w:szCs w:val="20"/>
              </w:rPr>
              <w:t xml:space="preserve"> 8</w:t>
            </w:r>
            <w:r>
              <w:rPr>
                <w:rFonts w:asciiTheme="majorHAnsi" w:hAnsiTheme="majorHAnsi"/>
                <w:sz w:val="20"/>
                <w:szCs w:val="20"/>
              </w:rPr>
              <w:t xml:space="preserve"> e 200</w:t>
            </w:r>
            <w:r w:rsidRPr="00EE6892">
              <w:rPr>
                <w:rFonts w:asciiTheme="majorHAnsi" w:hAnsiTheme="majorHAnsi"/>
                <w:sz w:val="20"/>
                <w:szCs w:val="20"/>
              </w:rPr>
              <w:t xml:space="preserve"> m³</w:t>
            </w:r>
          </w:p>
        </w:tc>
        <w:tc>
          <w:tcPr>
            <w:tcW w:w="608" w:type="pct"/>
            <w:shd w:val="clear" w:color="auto" w:fill="F2F2F2" w:themeFill="background1" w:themeFillShade="F2"/>
            <w:vAlign w:val="center"/>
          </w:tcPr>
          <w:p w14:paraId="49DD3B49" w14:textId="6F82AE47" w:rsidR="003F3A3F" w:rsidRPr="00EE6892" w:rsidRDefault="003F3A3F" w:rsidP="0000064D">
            <w:pPr>
              <w:spacing w:before="0" w:line="240" w:lineRule="auto"/>
              <w:jc w:val="center"/>
              <w:rPr>
                <w:rFonts w:asciiTheme="majorHAnsi" w:hAnsiTheme="majorHAnsi"/>
                <w:sz w:val="20"/>
                <w:szCs w:val="20"/>
              </w:rPr>
            </w:pPr>
            <w:r w:rsidRPr="00EE6892">
              <w:rPr>
                <w:rFonts w:asciiTheme="majorHAnsi" w:hAnsiTheme="majorHAnsi"/>
                <w:sz w:val="20"/>
                <w:szCs w:val="20"/>
              </w:rPr>
              <w:t>Instantâneo ou Contínuo</w:t>
            </w:r>
          </w:p>
        </w:tc>
        <w:tc>
          <w:tcPr>
            <w:tcW w:w="592" w:type="pct"/>
            <w:shd w:val="clear" w:color="auto" w:fill="F2F2F2" w:themeFill="background1" w:themeFillShade="F2"/>
            <w:vAlign w:val="center"/>
          </w:tcPr>
          <w:p w14:paraId="4738438C" w14:textId="4CACAA51" w:rsidR="003F3A3F" w:rsidRPr="00EE6892" w:rsidRDefault="003F3A3F" w:rsidP="0000064D">
            <w:pPr>
              <w:spacing w:before="0" w:line="240" w:lineRule="auto"/>
              <w:jc w:val="center"/>
              <w:rPr>
                <w:rFonts w:asciiTheme="majorHAnsi" w:hAnsiTheme="majorHAnsi"/>
                <w:sz w:val="20"/>
                <w:szCs w:val="20"/>
              </w:rPr>
            </w:pPr>
            <w:r w:rsidRPr="00EE6892">
              <w:rPr>
                <w:rFonts w:asciiTheme="majorHAnsi" w:hAnsiTheme="majorHAnsi"/>
                <w:sz w:val="20"/>
                <w:szCs w:val="20"/>
              </w:rPr>
              <w:t>Não</w:t>
            </w:r>
          </w:p>
        </w:tc>
      </w:tr>
      <w:tr w:rsidR="003F3A3F" w:rsidRPr="00EE6892" w14:paraId="6634A778" w14:textId="77777777" w:rsidTr="003F3A3F">
        <w:trPr>
          <w:cantSplit/>
        </w:trPr>
        <w:tc>
          <w:tcPr>
            <w:tcW w:w="351" w:type="pct"/>
            <w:gridSpan w:val="2"/>
            <w:shd w:val="clear" w:color="auto" w:fill="FBD4B4" w:themeFill="accent6" w:themeFillTint="66"/>
            <w:vAlign w:val="center"/>
          </w:tcPr>
          <w:p w14:paraId="2F4013A2" w14:textId="170EC423" w:rsidR="003F3A3F" w:rsidRPr="00EE6892" w:rsidRDefault="003F3A3F" w:rsidP="0000064D">
            <w:pPr>
              <w:spacing w:before="0" w:line="240" w:lineRule="auto"/>
              <w:jc w:val="center"/>
              <w:rPr>
                <w:rFonts w:asciiTheme="majorHAnsi" w:hAnsiTheme="majorHAnsi"/>
                <w:b/>
                <w:sz w:val="20"/>
                <w:szCs w:val="20"/>
              </w:rPr>
            </w:pPr>
            <w:r>
              <w:rPr>
                <w:rFonts w:asciiTheme="majorHAnsi" w:hAnsiTheme="majorHAnsi"/>
                <w:b/>
                <w:sz w:val="20"/>
                <w:szCs w:val="20"/>
              </w:rPr>
              <w:t>06</w:t>
            </w:r>
          </w:p>
        </w:tc>
        <w:tc>
          <w:tcPr>
            <w:tcW w:w="1978" w:type="pct"/>
            <w:gridSpan w:val="2"/>
            <w:shd w:val="clear" w:color="auto" w:fill="FBD4B4" w:themeFill="accent6" w:themeFillTint="66"/>
            <w:vAlign w:val="center"/>
          </w:tcPr>
          <w:p w14:paraId="483DFE66" w14:textId="25E333AB" w:rsidR="003F3A3F" w:rsidRPr="00EE6892" w:rsidRDefault="003F3A3F" w:rsidP="003F3A3F">
            <w:pPr>
              <w:autoSpaceDE w:val="0"/>
              <w:autoSpaceDN w:val="0"/>
              <w:adjustRightInd w:val="0"/>
              <w:spacing w:before="0" w:line="240" w:lineRule="auto"/>
              <w:jc w:val="left"/>
              <w:rPr>
                <w:rFonts w:asciiTheme="majorHAnsi" w:hAnsiTheme="majorHAnsi"/>
                <w:sz w:val="20"/>
                <w:szCs w:val="20"/>
              </w:rPr>
            </w:pPr>
            <w:r w:rsidRPr="003F3A3F">
              <w:rPr>
                <w:rFonts w:ascii="Times New Roman" w:hAnsi="Times New Roman" w:cs="Times New Roman"/>
                <w:sz w:val="20"/>
                <w:szCs w:val="20"/>
              </w:rPr>
              <w:t>Grande vazamento de fluido</w:t>
            </w:r>
            <w:r>
              <w:rPr>
                <w:rFonts w:ascii="Times New Roman" w:hAnsi="Times New Roman" w:cs="Times New Roman"/>
                <w:sz w:val="20"/>
                <w:szCs w:val="20"/>
              </w:rPr>
              <w:t xml:space="preserve"> </w:t>
            </w:r>
            <w:r w:rsidRPr="003F3A3F">
              <w:rPr>
                <w:rFonts w:ascii="Times New Roman" w:hAnsi="Times New Roman" w:cs="Times New Roman"/>
                <w:sz w:val="20"/>
                <w:szCs w:val="20"/>
              </w:rPr>
              <w:t>de perfuração devido à</w:t>
            </w:r>
            <w:r>
              <w:rPr>
                <w:rFonts w:ascii="Times New Roman" w:hAnsi="Times New Roman" w:cs="Times New Roman"/>
                <w:sz w:val="20"/>
                <w:szCs w:val="20"/>
              </w:rPr>
              <w:t xml:space="preserve"> </w:t>
            </w:r>
            <w:r w:rsidRPr="003F3A3F">
              <w:rPr>
                <w:rFonts w:ascii="Times New Roman" w:hAnsi="Times New Roman" w:cs="Times New Roman"/>
                <w:sz w:val="20"/>
                <w:szCs w:val="20"/>
              </w:rPr>
              <w:t>ruptura total da tubulação de</w:t>
            </w:r>
            <w:r>
              <w:rPr>
                <w:rFonts w:ascii="Times New Roman" w:hAnsi="Times New Roman" w:cs="Times New Roman"/>
                <w:sz w:val="20"/>
                <w:szCs w:val="20"/>
              </w:rPr>
              <w:t xml:space="preserve"> </w:t>
            </w:r>
            <w:r w:rsidRPr="003F3A3F">
              <w:rPr>
                <w:rFonts w:ascii="Times New Roman" w:hAnsi="Times New Roman" w:cs="Times New Roman"/>
                <w:sz w:val="20"/>
                <w:szCs w:val="20"/>
              </w:rPr>
              <w:t>transferência entre o tanque</w:t>
            </w:r>
            <w:r>
              <w:rPr>
                <w:rFonts w:ascii="Times New Roman" w:hAnsi="Times New Roman" w:cs="Times New Roman"/>
                <w:sz w:val="20"/>
                <w:szCs w:val="20"/>
              </w:rPr>
              <w:t xml:space="preserve"> </w:t>
            </w:r>
            <w:r w:rsidRPr="003F3A3F">
              <w:rPr>
                <w:rFonts w:ascii="Times New Roman" w:hAnsi="Times New Roman" w:cs="Times New Roman"/>
                <w:sz w:val="20"/>
                <w:szCs w:val="20"/>
              </w:rPr>
              <w:t>de estocagem e o ponto de</w:t>
            </w:r>
            <w:r>
              <w:rPr>
                <w:rFonts w:ascii="Times New Roman" w:hAnsi="Times New Roman" w:cs="Times New Roman"/>
                <w:sz w:val="20"/>
                <w:szCs w:val="20"/>
              </w:rPr>
              <w:t xml:space="preserve"> </w:t>
            </w:r>
            <w:r w:rsidRPr="003F3A3F">
              <w:rPr>
                <w:rFonts w:ascii="Times New Roman" w:hAnsi="Times New Roman" w:cs="Times New Roman"/>
                <w:sz w:val="20"/>
                <w:szCs w:val="20"/>
              </w:rPr>
              <w:t>aplicação com espalhamento no mar.</w:t>
            </w:r>
          </w:p>
        </w:tc>
        <w:tc>
          <w:tcPr>
            <w:tcW w:w="811" w:type="pct"/>
            <w:shd w:val="clear" w:color="auto" w:fill="FBD4B4" w:themeFill="accent6" w:themeFillTint="66"/>
            <w:vAlign w:val="center"/>
          </w:tcPr>
          <w:p w14:paraId="0D557303" w14:textId="2729C798" w:rsidR="003F3A3F" w:rsidRPr="00EE6892" w:rsidRDefault="003F3A3F" w:rsidP="0000064D">
            <w:pPr>
              <w:spacing w:before="0" w:line="240" w:lineRule="auto"/>
              <w:jc w:val="center"/>
              <w:rPr>
                <w:rFonts w:asciiTheme="majorHAnsi" w:hAnsiTheme="majorHAnsi"/>
                <w:sz w:val="20"/>
                <w:szCs w:val="20"/>
              </w:rPr>
            </w:pPr>
            <w:r w:rsidRPr="00EE6892">
              <w:rPr>
                <w:rFonts w:asciiTheme="majorHAnsi" w:hAnsiTheme="majorHAnsi"/>
                <w:sz w:val="20"/>
                <w:szCs w:val="20"/>
              </w:rPr>
              <w:t>Fluido de Perfuração de base não aquosa</w:t>
            </w:r>
          </w:p>
        </w:tc>
        <w:tc>
          <w:tcPr>
            <w:tcW w:w="660" w:type="pct"/>
            <w:shd w:val="clear" w:color="auto" w:fill="FBD4B4" w:themeFill="accent6" w:themeFillTint="66"/>
            <w:vAlign w:val="center"/>
          </w:tcPr>
          <w:p w14:paraId="2229F968" w14:textId="46B3509A" w:rsidR="003F3A3F" w:rsidRPr="00EE6892" w:rsidRDefault="003F3A3F" w:rsidP="0000064D">
            <w:pPr>
              <w:spacing w:before="0" w:line="240" w:lineRule="auto"/>
              <w:jc w:val="center"/>
              <w:rPr>
                <w:rFonts w:asciiTheme="majorHAnsi" w:hAnsiTheme="majorHAnsi"/>
                <w:sz w:val="20"/>
                <w:szCs w:val="20"/>
              </w:rPr>
            </w:pPr>
            <w:r w:rsidRPr="00EE6892">
              <w:rPr>
                <w:rFonts w:asciiTheme="majorHAnsi" w:hAnsiTheme="majorHAnsi"/>
                <w:sz w:val="20"/>
                <w:szCs w:val="20"/>
              </w:rPr>
              <w:t xml:space="preserve">Entre </w:t>
            </w:r>
            <w:r>
              <w:rPr>
                <w:rFonts w:asciiTheme="majorHAnsi" w:hAnsiTheme="majorHAnsi"/>
                <w:sz w:val="20"/>
                <w:szCs w:val="20"/>
              </w:rPr>
              <w:t>200</w:t>
            </w:r>
            <w:r w:rsidRPr="00EE6892">
              <w:rPr>
                <w:rFonts w:asciiTheme="majorHAnsi" w:hAnsiTheme="majorHAnsi"/>
                <w:sz w:val="20"/>
                <w:szCs w:val="20"/>
              </w:rPr>
              <w:t xml:space="preserve"> e </w:t>
            </w:r>
            <w:r>
              <w:rPr>
                <w:rFonts w:asciiTheme="majorHAnsi" w:hAnsiTheme="majorHAnsi"/>
                <w:sz w:val="20"/>
                <w:szCs w:val="20"/>
              </w:rPr>
              <w:t>635,4</w:t>
            </w:r>
            <w:r w:rsidRPr="00EE6892">
              <w:rPr>
                <w:rFonts w:asciiTheme="majorHAnsi" w:hAnsiTheme="majorHAnsi"/>
                <w:sz w:val="20"/>
                <w:szCs w:val="20"/>
              </w:rPr>
              <w:t xml:space="preserve"> m³</w:t>
            </w:r>
          </w:p>
        </w:tc>
        <w:tc>
          <w:tcPr>
            <w:tcW w:w="608" w:type="pct"/>
            <w:shd w:val="clear" w:color="auto" w:fill="FBD4B4" w:themeFill="accent6" w:themeFillTint="66"/>
            <w:vAlign w:val="center"/>
          </w:tcPr>
          <w:p w14:paraId="3F51D0EA" w14:textId="3070ED42" w:rsidR="003F3A3F" w:rsidRPr="00EE6892" w:rsidRDefault="003F3A3F" w:rsidP="0000064D">
            <w:pPr>
              <w:spacing w:before="0" w:line="240" w:lineRule="auto"/>
              <w:jc w:val="center"/>
              <w:rPr>
                <w:rFonts w:asciiTheme="majorHAnsi" w:hAnsiTheme="majorHAnsi"/>
                <w:sz w:val="20"/>
                <w:szCs w:val="20"/>
              </w:rPr>
            </w:pPr>
            <w:r w:rsidRPr="00EE6892">
              <w:rPr>
                <w:rFonts w:asciiTheme="majorHAnsi" w:hAnsiTheme="majorHAnsi"/>
                <w:sz w:val="20"/>
                <w:szCs w:val="20"/>
              </w:rPr>
              <w:t>Instantâneo ou Contínuo</w:t>
            </w:r>
          </w:p>
        </w:tc>
        <w:tc>
          <w:tcPr>
            <w:tcW w:w="592" w:type="pct"/>
            <w:shd w:val="clear" w:color="auto" w:fill="FBD4B4" w:themeFill="accent6" w:themeFillTint="66"/>
            <w:vAlign w:val="center"/>
          </w:tcPr>
          <w:p w14:paraId="40C87B72" w14:textId="774AD71D" w:rsidR="003F3A3F" w:rsidRPr="00EE6892" w:rsidRDefault="003F3A3F" w:rsidP="0000064D">
            <w:pPr>
              <w:spacing w:before="0" w:line="240" w:lineRule="auto"/>
              <w:jc w:val="center"/>
              <w:rPr>
                <w:rFonts w:asciiTheme="majorHAnsi" w:hAnsiTheme="majorHAnsi"/>
                <w:sz w:val="20"/>
                <w:szCs w:val="20"/>
              </w:rPr>
            </w:pPr>
            <w:r>
              <w:rPr>
                <w:rFonts w:asciiTheme="majorHAnsi" w:hAnsiTheme="majorHAnsi"/>
                <w:sz w:val="20"/>
                <w:szCs w:val="20"/>
              </w:rPr>
              <w:t>Sim</w:t>
            </w:r>
          </w:p>
        </w:tc>
      </w:tr>
      <w:tr w:rsidR="004D65B3" w:rsidRPr="00EE6892" w14:paraId="60F048F4" w14:textId="77777777" w:rsidTr="003F3A3F">
        <w:trPr>
          <w:cantSplit/>
        </w:trPr>
        <w:tc>
          <w:tcPr>
            <w:tcW w:w="351" w:type="pct"/>
            <w:gridSpan w:val="2"/>
            <w:shd w:val="clear" w:color="auto" w:fill="FBD4B4" w:themeFill="accent6" w:themeFillTint="66"/>
            <w:vAlign w:val="center"/>
            <w:hideMark/>
          </w:tcPr>
          <w:p w14:paraId="3A70E260" w14:textId="67E2A3D5" w:rsidR="004D65B3" w:rsidRPr="00EE6892" w:rsidRDefault="004D65B3" w:rsidP="003F3A3F">
            <w:pPr>
              <w:spacing w:before="0" w:line="240" w:lineRule="auto"/>
              <w:jc w:val="center"/>
              <w:rPr>
                <w:rFonts w:asciiTheme="majorHAnsi" w:hAnsiTheme="majorHAnsi"/>
                <w:b/>
                <w:sz w:val="20"/>
                <w:szCs w:val="20"/>
              </w:rPr>
            </w:pPr>
            <w:r w:rsidRPr="00EE6892">
              <w:rPr>
                <w:rFonts w:asciiTheme="majorHAnsi" w:hAnsiTheme="majorHAnsi"/>
                <w:b/>
                <w:sz w:val="20"/>
                <w:szCs w:val="20"/>
              </w:rPr>
              <w:t>0</w:t>
            </w:r>
            <w:r w:rsidR="003F3A3F">
              <w:rPr>
                <w:rFonts w:asciiTheme="majorHAnsi" w:hAnsiTheme="majorHAnsi"/>
                <w:b/>
                <w:sz w:val="20"/>
                <w:szCs w:val="20"/>
              </w:rPr>
              <w:t>7</w:t>
            </w:r>
          </w:p>
        </w:tc>
        <w:tc>
          <w:tcPr>
            <w:tcW w:w="1978" w:type="pct"/>
            <w:gridSpan w:val="2"/>
            <w:shd w:val="clear" w:color="auto" w:fill="FBD4B4" w:themeFill="accent6" w:themeFillTint="66"/>
            <w:vAlign w:val="center"/>
            <w:hideMark/>
          </w:tcPr>
          <w:p w14:paraId="17A95E5C" w14:textId="77777777" w:rsidR="004D65B3" w:rsidRPr="00EE6892" w:rsidRDefault="004D65B3" w:rsidP="0000064D">
            <w:pPr>
              <w:spacing w:before="0" w:line="240" w:lineRule="auto"/>
              <w:rPr>
                <w:rFonts w:asciiTheme="majorHAnsi" w:hAnsiTheme="majorHAnsi"/>
                <w:sz w:val="20"/>
                <w:szCs w:val="20"/>
              </w:rPr>
            </w:pPr>
            <w:r w:rsidRPr="00EE6892">
              <w:rPr>
                <w:rFonts w:asciiTheme="majorHAnsi" w:hAnsiTheme="majorHAnsi"/>
                <w:sz w:val="20"/>
                <w:szCs w:val="20"/>
              </w:rPr>
              <w:t>Pequeno vazamento de óleo cru e gás no processo de perfuração devido à falha do sistema de controle de poço com espalhamento de óleo no mar</w:t>
            </w:r>
            <w:r w:rsidR="00F51B7D" w:rsidRPr="00EE6892">
              <w:rPr>
                <w:rFonts w:asciiTheme="majorHAnsi" w:hAnsiTheme="majorHAnsi"/>
                <w:sz w:val="20"/>
                <w:szCs w:val="20"/>
              </w:rPr>
              <w:t>.</w:t>
            </w:r>
          </w:p>
        </w:tc>
        <w:tc>
          <w:tcPr>
            <w:tcW w:w="811" w:type="pct"/>
            <w:shd w:val="clear" w:color="auto" w:fill="FBD4B4" w:themeFill="accent6" w:themeFillTint="66"/>
            <w:vAlign w:val="center"/>
            <w:hideMark/>
          </w:tcPr>
          <w:p w14:paraId="5795AEF6"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Óleo Cru</w:t>
            </w:r>
          </w:p>
        </w:tc>
        <w:tc>
          <w:tcPr>
            <w:tcW w:w="660" w:type="pct"/>
            <w:shd w:val="clear" w:color="auto" w:fill="FBD4B4" w:themeFill="accent6" w:themeFillTint="66"/>
            <w:vAlign w:val="center"/>
            <w:hideMark/>
          </w:tcPr>
          <w:p w14:paraId="2465EE68"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Até 8 m³</w:t>
            </w:r>
          </w:p>
        </w:tc>
        <w:tc>
          <w:tcPr>
            <w:tcW w:w="608" w:type="pct"/>
            <w:shd w:val="clear" w:color="auto" w:fill="FBD4B4" w:themeFill="accent6" w:themeFillTint="66"/>
            <w:vAlign w:val="center"/>
            <w:hideMark/>
          </w:tcPr>
          <w:p w14:paraId="7577D9DB"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Contínuo</w:t>
            </w:r>
          </w:p>
        </w:tc>
        <w:tc>
          <w:tcPr>
            <w:tcW w:w="592" w:type="pct"/>
            <w:shd w:val="clear" w:color="auto" w:fill="FBD4B4" w:themeFill="accent6" w:themeFillTint="66"/>
            <w:vAlign w:val="center"/>
            <w:hideMark/>
          </w:tcPr>
          <w:p w14:paraId="11ED8ABE"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4D65B3" w:rsidRPr="00EE6892" w14:paraId="09F8F8F8" w14:textId="77777777" w:rsidTr="003F3A3F">
        <w:trPr>
          <w:cantSplit/>
        </w:trPr>
        <w:tc>
          <w:tcPr>
            <w:tcW w:w="351" w:type="pct"/>
            <w:gridSpan w:val="2"/>
            <w:shd w:val="clear" w:color="auto" w:fill="FBD4B4" w:themeFill="accent6" w:themeFillTint="66"/>
            <w:vAlign w:val="center"/>
            <w:hideMark/>
          </w:tcPr>
          <w:p w14:paraId="7D2B9FBD" w14:textId="6030066F" w:rsidR="004D65B3" w:rsidRPr="00EE6892" w:rsidRDefault="003F3A3F" w:rsidP="0000064D">
            <w:pPr>
              <w:spacing w:before="0" w:line="240" w:lineRule="auto"/>
              <w:jc w:val="center"/>
              <w:rPr>
                <w:rFonts w:asciiTheme="majorHAnsi" w:hAnsiTheme="majorHAnsi"/>
                <w:b/>
                <w:sz w:val="20"/>
                <w:szCs w:val="20"/>
              </w:rPr>
            </w:pPr>
            <w:r>
              <w:rPr>
                <w:rFonts w:asciiTheme="majorHAnsi" w:hAnsiTheme="majorHAnsi"/>
                <w:b/>
                <w:sz w:val="20"/>
                <w:szCs w:val="20"/>
              </w:rPr>
              <w:t>08</w:t>
            </w:r>
          </w:p>
        </w:tc>
        <w:tc>
          <w:tcPr>
            <w:tcW w:w="1978" w:type="pct"/>
            <w:gridSpan w:val="2"/>
            <w:shd w:val="clear" w:color="auto" w:fill="FBD4B4" w:themeFill="accent6" w:themeFillTint="66"/>
            <w:vAlign w:val="center"/>
            <w:hideMark/>
          </w:tcPr>
          <w:p w14:paraId="0D9C1378" w14:textId="77777777" w:rsidR="004D65B3" w:rsidRPr="00EE6892" w:rsidRDefault="004D65B3" w:rsidP="0000064D">
            <w:pPr>
              <w:spacing w:before="0" w:line="240" w:lineRule="auto"/>
              <w:rPr>
                <w:rFonts w:asciiTheme="majorHAnsi" w:hAnsiTheme="majorHAnsi"/>
                <w:sz w:val="20"/>
                <w:szCs w:val="20"/>
              </w:rPr>
            </w:pPr>
            <w:r w:rsidRPr="00EE6892">
              <w:rPr>
                <w:rFonts w:asciiTheme="majorHAnsi" w:hAnsiTheme="majorHAnsi"/>
                <w:sz w:val="20"/>
                <w:szCs w:val="20"/>
              </w:rPr>
              <w:t>Médio vazamento de óleo cru e gás no processo de perfuração devido à falha do sistema de controle de poço com espalhamento de óleo no mar</w:t>
            </w:r>
            <w:r w:rsidR="00F51B7D" w:rsidRPr="00EE6892">
              <w:rPr>
                <w:rFonts w:asciiTheme="majorHAnsi" w:hAnsiTheme="majorHAnsi"/>
                <w:sz w:val="20"/>
                <w:szCs w:val="20"/>
              </w:rPr>
              <w:t>.</w:t>
            </w:r>
          </w:p>
        </w:tc>
        <w:tc>
          <w:tcPr>
            <w:tcW w:w="811" w:type="pct"/>
            <w:shd w:val="clear" w:color="auto" w:fill="FBD4B4" w:themeFill="accent6" w:themeFillTint="66"/>
            <w:vAlign w:val="center"/>
            <w:hideMark/>
          </w:tcPr>
          <w:p w14:paraId="37A3952C"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Óleo Cru</w:t>
            </w:r>
          </w:p>
        </w:tc>
        <w:tc>
          <w:tcPr>
            <w:tcW w:w="660" w:type="pct"/>
            <w:shd w:val="clear" w:color="auto" w:fill="FBD4B4" w:themeFill="accent6" w:themeFillTint="66"/>
            <w:vAlign w:val="center"/>
            <w:hideMark/>
          </w:tcPr>
          <w:p w14:paraId="199E83C4"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Entre 8 e 200 m³</w:t>
            </w:r>
          </w:p>
        </w:tc>
        <w:tc>
          <w:tcPr>
            <w:tcW w:w="608" w:type="pct"/>
            <w:shd w:val="clear" w:color="auto" w:fill="FBD4B4" w:themeFill="accent6" w:themeFillTint="66"/>
            <w:vAlign w:val="center"/>
            <w:hideMark/>
          </w:tcPr>
          <w:p w14:paraId="7131B451"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Contínuo</w:t>
            </w:r>
          </w:p>
        </w:tc>
        <w:tc>
          <w:tcPr>
            <w:tcW w:w="592" w:type="pct"/>
            <w:shd w:val="clear" w:color="auto" w:fill="FBD4B4" w:themeFill="accent6" w:themeFillTint="66"/>
            <w:vAlign w:val="center"/>
            <w:hideMark/>
          </w:tcPr>
          <w:p w14:paraId="1ADF7785"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4D65B3" w:rsidRPr="00EE6892" w14:paraId="1F02EA26" w14:textId="77777777" w:rsidTr="003F3A3F">
        <w:trPr>
          <w:cantSplit/>
        </w:trPr>
        <w:tc>
          <w:tcPr>
            <w:tcW w:w="351" w:type="pct"/>
            <w:gridSpan w:val="2"/>
            <w:shd w:val="clear" w:color="auto" w:fill="FBD4B4" w:themeFill="accent6" w:themeFillTint="66"/>
            <w:vAlign w:val="center"/>
            <w:hideMark/>
          </w:tcPr>
          <w:p w14:paraId="2F73F8CB" w14:textId="4E924289" w:rsidR="004D65B3" w:rsidRPr="00EE6892" w:rsidRDefault="004D65B3" w:rsidP="003F3A3F">
            <w:pPr>
              <w:spacing w:before="0" w:line="240" w:lineRule="auto"/>
              <w:jc w:val="center"/>
              <w:rPr>
                <w:rFonts w:asciiTheme="majorHAnsi" w:hAnsiTheme="majorHAnsi"/>
                <w:b/>
                <w:sz w:val="20"/>
                <w:szCs w:val="20"/>
              </w:rPr>
            </w:pPr>
            <w:r w:rsidRPr="00EE6892">
              <w:rPr>
                <w:rFonts w:asciiTheme="majorHAnsi" w:hAnsiTheme="majorHAnsi"/>
                <w:b/>
                <w:sz w:val="20"/>
                <w:szCs w:val="20"/>
              </w:rPr>
              <w:t>0</w:t>
            </w:r>
            <w:r w:rsidR="003F3A3F">
              <w:rPr>
                <w:rFonts w:asciiTheme="majorHAnsi" w:hAnsiTheme="majorHAnsi"/>
                <w:b/>
                <w:sz w:val="20"/>
                <w:szCs w:val="20"/>
              </w:rPr>
              <w:t>9</w:t>
            </w:r>
          </w:p>
        </w:tc>
        <w:tc>
          <w:tcPr>
            <w:tcW w:w="1978" w:type="pct"/>
            <w:gridSpan w:val="2"/>
            <w:shd w:val="clear" w:color="auto" w:fill="FBD4B4" w:themeFill="accent6" w:themeFillTint="66"/>
            <w:vAlign w:val="center"/>
            <w:hideMark/>
          </w:tcPr>
          <w:p w14:paraId="0F1C4E27" w14:textId="77777777" w:rsidR="004D65B3" w:rsidRPr="00EE6892" w:rsidRDefault="004D65B3" w:rsidP="0000064D">
            <w:pPr>
              <w:spacing w:before="0" w:line="240" w:lineRule="auto"/>
              <w:rPr>
                <w:rFonts w:asciiTheme="majorHAnsi" w:hAnsiTheme="majorHAnsi"/>
                <w:sz w:val="20"/>
                <w:szCs w:val="20"/>
              </w:rPr>
            </w:pPr>
            <w:r w:rsidRPr="00EE6892">
              <w:rPr>
                <w:rFonts w:asciiTheme="majorHAnsi" w:hAnsiTheme="majorHAnsi"/>
                <w:sz w:val="20"/>
                <w:szCs w:val="20"/>
              </w:rPr>
              <w:t>Grande vazamento de óleo cru e gás no processo de perfuração devido à falha do sistema de controle de poço com espalhamento de óleo no mar</w:t>
            </w:r>
            <w:r w:rsidR="00F51B7D" w:rsidRPr="00EE6892">
              <w:rPr>
                <w:rFonts w:asciiTheme="majorHAnsi" w:hAnsiTheme="majorHAnsi"/>
                <w:sz w:val="20"/>
                <w:szCs w:val="20"/>
              </w:rPr>
              <w:t>.</w:t>
            </w:r>
          </w:p>
        </w:tc>
        <w:tc>
          <w:tcPr>
            <w:tcW w:w="811" w:type="pct"/>
            <w:shd w:val="clear" w:color="auto" w:fill="FBD4B4" w:themeFill="accent6" w:themeFillTint="66"/>
            <w:vAlign w:val="center"/>
            <w:hideMark/>
          </w:tcPr>
          <w:p w14:paraId="4BEEEFCE"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Óleo Cru</w:t>
            </w:r>
          </w:p>
        </w:tc>
        <w:tc>
          <w:tcPr>
            <w:tcW w:w="660" w:type="pct"/>
            <w:shd w:val="clear" w:color="auto" w:fill="FBD4B4" w:themeFill="accent6" w:themeFillTint="66"/>
            <w:vAlign w:val="center"/>
            <w:hideMark/>
          </w:tcPr>
          <w:p w14:paraId="2872902C"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Entre 200 e 46.742 m³</w:t>
            </w:r>
          </w:p>
        </w:tc>
        <w:tc>
          <w:tcPr>
            <w:tcW w:w="608" w:type="pct"/>
            <w:shd w:val="clear" w:color="auto" w:fill="FBD4B4" w:themeFill="accent6" w:themeFillTint="66"/>
            <w:vAlign w:val="center"/>
            <w:hideMark/>
          </w:tcPr>
          <w:p w14:paraId="4E11B5C2"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Contínuo</w:t>
            </w:r>
          </w:p>
        </w:tc>
        <w:tc>
          <w:tcPr>
            <w:tcW w:w="592" w:type="pct"/>
            <w:shd w:val="clear" w:color="auto" w:fill="FBD4B4" w:themeFill="accent6" w:themeFillTint="66"/>
            <w:vAlign w:val="center"/>
            <w:hideMark/>
          </w:tcPr>
          <w:p w14:paraId="1876C226"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4D65B3" w:rsidRPr="00EE6892" w14:paraId="77F4A829" w14:textId="77777777" w:rsidTr="003F3A3F">
        <w:trPr>
          <w:cantSplit/>
        </w:trPr>
        <w:tc>
          <w:tcPr>
            <w:tcW w:w="351" w:type="pct"/>
            <w:gridSpan w:val="2"/>
            <w:shd w:val="clear" w:color="auto" w:fill="FBD4B4" w:themeFill="accent6" w:themeFillTint="66"/>
            <w:vAlign w:val="center"/>
            <w:hideMark/>
          </w:tcPr>
          <w:p w14:paraId="4DDD6C13" w14:textId="26E2024F" w:rsidR="004D65B3" w:rsidRPr="00EE6892" w:rsidRDefault="003F3A3F" w:rsidP="0000064D">
            <w:pPr>
              <w:spacing w:before="0" w:line="240" w:lineRule="auto"/>
              <w:jc w:val="center"/>
              <w:rPr>
                <w:rFonts w:asciiTheme="majorHAnsi" w:hAnsiTheme="majorHAnsi"/>
                <w:b/>
                <w:sz w:val="20"/>
                <w:szCs w:val="20"/>
              </w:rPr>
            </w:pPr>
            <w:r>
              <w:rPr>
                <w:rFonts w:asciiTheme="majorHAnsi" w:hAnsiTheme="majorHAnsi"/>
                <w:b/>
                <w:sz w:val="20"/>
                <w:szCs w:val="20"/>
              </w:rPr>
              <w:lastRenderedPageBreak/>
              <w:t>10</w:t>
            </w:r>
          </w:p>
        </w:tc>
        <w:tc>
          <w:tcPr>
            <w:tcW w:w="1978" w:type="pct"/>
            <w:gridSpan w:val="2"/>
            <w:shd w:val="clear" w:color="auto" w:fill="FBD4B4" w:themeFill="accent6" w:themeFillTint="66"/>
            <w:vAlign w:val="center"/>
            <w:hideMark/>
          </w:tcPr>
          <w:p w14:paraId="4287FE8D" w14:textId="6853C915" w:rsidR="004D65B3" w:rsidRPr="00EE6892" w:rsidRDefault="004D65B3" w:rsidP="003F3A3F">
            <w:pPr>
              <w:spacing w:before="0" w:line="240" w:lineRule="auto"/>
              <w:rPr>
                <w:rFonts w:asciiTheme="majorHAnsi" w:hAnsiTheme="majorHAnsi"/>
                <w:sz w:val="20"/>
                <w:szCs w:val="20"/>
              </w:rPr>
            </w:pPr>
            <w:r w:rsidRPr="00EE6892">
              <w:rPr>
                <w:rFonts w:asciiTheme="majorHAnsi" w:hAnsiTheme="majorHAnsi"/>
                <w:sz w:val="20"/>
                <w:szCs w:val="20"/>
              </w:rPr>
              <w:t xml:space="preserve">Pequeno vazamento de óleo combustível devido a furos, trincas ou falhas de vedação em tanques, linhas e/ou acessórios cobrindo desde o tanque de estocagem até o ponto de consumo e resultando em derrame de óleo </w:t>
            </w:r>
            <w:r w:rsidR="003F3A3F">
              <w:rPr>
                <w:rFonts w:asciiTheme="majorHAnsi" w:hAnsiTheme="majorHAnsi"/>
                <w:sz w:val="20"/>
                <w:szCs w:val="20"/>
              </w:rPr>
              <w:t>para o mar.</w:t>
            </w:r>
          </w:p>
        </w:tc>
        <w:tc>
          <w:tcPr>
            <w:tcW w:w="811" w:type="pct"/>
            <w:shd w:val="clear" w:color="auto" w:fill="FBD4B4" w:themeFill="accent6" w:themeFillTint="66"/>
            <w:vAlign w:val="center"/>
            <w:hideMark/>
          </w:tcPr>
          <w:p w14:paraId="763D4568"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Óleo Diesel</w:t>
            </w:r>
          </w:p>
        </w:tc>
        <w:tc>
          <w:tcPr>
            <w:tcW w:w="660" w:type="pct"/>
            <w:shd w:val="clear" w:color="auto" w:fill="FBD4B4" w:themeFill="accent6" w:themeFillTint="66"/>
            <w:vAlign w:val="center"/>
            <w:hideMark/>
          </w:tcPr>
          <w:p w14:paraId="279C8CFC"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Até 8 m³</w:t>
            </w:r>
          </w:p>
        </w:tc>
        <w:tc>
          <w:tcPr>
            <w:tcW w:w="608" w:type="pct"/>
            <w:shd w:val="clear" w:color="auto" w:fill="FBD4B4" w:themeFill="accent6" w:themeFillTint="66"/>
            <w:vAlign w:val="center"/>
            <w:hideMark/>
          </w:tcPr>
          <w:p w14:paraId="3BD97018"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Contínuo</w:t>
            </w:r>
          </w:p>
        </w:tc>
        <w:tc>
          <w:tcPr>
            <w:tcW w:w="592" w:type="pct"/>
            <w:shd w:val="clear" w:color="auto" w:fill="FBD4B4" w:themeFill="accent6" w:themeFillTint="66"/>
            <w:vAlign w:val="center"/>
            <w:hideMark/>
          </w:tcPr>
          <w:p w14:paraId="1FAE2CAD"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Não</w:t>
            </w:r>
          </w:p>
        </w:tc>
      </w:tr>
      <w:tr w:rsidR="004D65B3" w:rsidRPr="00EE6892" w14:paraId="7F587EB5" w14:textId="77777777" w:rsidTr="003F3A3F">
        <w:trPr>
          <w:cantSplit/>
        </w:trPr>
        <w:tc>
          <w:tcPr>
            <w:tcW w:w="351" w:type="pct"/>
            <w:gridSpan w:val="2"/>
            <w:shd w:val="clear" w:color="auto" w:fill="FBD4B4" w:themeFill="accent6" w:themeFillTint="66"/>
            <w:vAlign w:val="center"/>
          </w:tcPr>
          <w:p w14:paraId="7FE41963" w14:textId="71562210" w:rsidR="004D65B3" w:rsidRPr="00EE6892" w:rsidRDefault="003F3A3F" w:rsidP="0000064D">
            <w:pPr>
              <w:spacing w:before="0" w:line="240" w:lineRule="auto"/>
              <w:jc w:val="center"/>
              <w:rPr>
                <w:rFonts w:asciiTheme="majorHAnsi" w:hAnsiTheme="majorHAnsi"/>
                <w:b/>
                <w:sz w:val="20"/>
                <w:szCs w:val="20"/>
              </w:rPr>
            </w:pPr>
            <w:r>
              <w:rPr>
                <w:rFonts w:asciiTheme="majorHAnsi" w:hAnsiTheme="majorHAnsi"/>
                <w:b/>
                <w:sz w:val="20"/>
                <w:szCs w:val="20"/>
              </w:rPr>
              <w:t>11</w:t>
            </w:r>
          </w:p>
        </w:tc>
        <w:tc>
          <w:tcPr>
            <w:tcW w:w="1978" w:type="pct"/>
            <w:gridSpan w:val="2"/>
            <w:shd w:val="clear" w:color="auto" w:fill="FBD4B4" w:themeFill="accent6" w:themeFillTint="66"/>
            <w:vAlign w:val="center"/>
            <w:hideMark/>
          </w:tcPr>
          <w:p w14:paraId="6CAEEBC4" w14:textId="77777777" w:rsidR="004D65B3" w:rsidRPr="00EE6892" w:rsidRDefault="004D65B3" w:rsidP="0000064D">
            <w:pPr>
              <w:spacing w:before="0" w:line="240" w:lineRule="auto"/>
              <w:rPr>
                <w:rFonts w:asciiTheme="majorHAnsi" w:hAnsiTheme="majorHAnsi"/>
                <w:sz w:val="20"/>
                <w:szCs w:val="20"/>
              </w:rPr>
            </w:pPr>
            <w:r w:rsidRPr="00EE6892">
              <w:rPr>
                <w:rFonts w:asciiTheme="majorHAnsi" w:hAnsiTheme="majorHAnsi"/>
                <w:sz w:val="20"/>
                <w:szCs w:val="20"/>
              </w:rPr>
              <w:t>Médio vazamento de óleo combustível devido furos, trincas ou falhas de vedação em tanques, linhas e/ou acessórios cobrindo desde o tanque de estocagem até o ponto de consumo e resultando em derrame de óleo para o mar.</w:t>
            </w:r>
          </w:p>
        </w:tc>
        <w:tc>
          <w:tcPr>
            <w:tcW w:w="811" w:type="pct"/>
            <w:shd w:val="clear" w:color="auto" w:fill="FBD4B4" w:themeFill="accent6" w:themeFillTint="66"/>
            <w:vAlign w:val="center"/>
            <w:hideMark/>
          </w:tcPr>
          <w:p w14:paraId="0D97A156"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Óleo Diesel</w:t>
            </w:r>
          </w:p>
        </w:tc>
        <w:tc>
          <w:tcPr>
            <w:tcW w:w="660" w:type="pct"/>
            <w:shd w:val="clear" w:color="auto" w:fill="FBD4B4" w:themeFill="accent6" w:themeFillTint="66"/>
            <w:vAlign w:val="center"/>
            <w:hideMark/>
          </w:tcPr>
          <w:p w14:paraId="0D151FB6"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Entre 8 e 200 m³</w:t>
            </w:r>
          </w:p>
        </w:tc>
        <w:tc>
          <w:tcPr>
            <w:tcW w:w="608" w:type="pct"/>
            <w:shd w:val="clear" w:color="auto" w:fill="FBD4B4" w:themeFill="accent6" w:themeFillTint="66"/>
            <w:vAlign w:val="center"/>
            <w:hideMark/>
          </w:tcPr>
          <w:p w14:paraId="7E6E36D2"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Contínuo</w:t>
            </w:r>
          </w:p>
        </w:tc>
        <w:tc>
          <w:tcPr>
            <w:tcW w:w="592" w:type="pct"/>
            <w:shd w:val="clear" w:color="auto" w:fill="FBD4B4" w:themeFill="accent6" w:themeFillTint="66"/>
            <w:vAlign w:val="center"/>
            <w:hideMark/>
          </w:tcPr>
          <w:p w14:paraId="653A0ED9"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4D65B3" w:rsidRPr="00EE6892" w14:paraId="3D03463C" w14:textId="77777777" w:rsidTr="00BC6E92">
        <w:trPr>
          <w:cantSplit/>
        </w:trPr>
        <w:tc>
          <w:tcPr>
            <w:tcW w:w="351" w:type="pct"/>
            <w:gridSpan w:val="2"/>
            <w:shd w:val="clear" w:color="auto" w:fill="FBD4B4" w:themeFill="accent6" w:themeFillTint="66"/>
            <w:vAlign w:val="center"/>
          </w:tcPr>
          <w:p w14:paraId="0101EAD5" w14:textId="2A4E1F37" w:rsidR="004D65B3" w:rsidRPr="00EE6892" w:rsidRDefault="00BC6E92" w:rsidP="0000064D">
            <w:pPr>
              <w:spacing w:before="0" w:line="240" w:lineRule="auto"/>
              <w:jc w:val="center"/>
              <w:rPr>
                <w:rFonts w:asciiTheme="majorHAnsi" w:hAnsiTheme="majorHAnsi"/>
                <w:b/>
                <w:sz w:val="20"/>
                <w:szCs w:val="20"/>
              </w:rPr>
            </w:pPr>
            <w:r>
              <w:rPr>
                <w:rFonts w:asciiTheme="majorHAnsi" w:hAnsiTheme="majorHAnsi"/>
                <w:b/>
                <w:sz w:val="20"/>
                <w:szCs w:val="20"/>
              </w:rPr>
              <w:t>12</w:t>
            </w:r>
          </w:p>
        </w:tc>
        <w:tc>
          <w:tcPr>
            <w:tcW w:w="1978" w:type="pct"/>
            <w:gridSpan w:val="2"/>
            <w:shd w:val="clear" w:color="auto" w:fill="FBD4B4" w:themeFill="accent6" w:themeFillTint="66"/>
            <w:vAlign w:val="center"/>
            <w:hideMark/>
          </w:tcPr>
          <w:p w14:paraId="419A9145" w14:textId="77777777" w:rsidR="004D65B3" w:rsidRPr="00EE6892" w:rsidRDefault="004D65B3" w:rsidP="0000064D">
            <w:pPr>
              <w:spacing w:before="0" w:line="240" w:lineRule="auto"/>
              <w:rPr>
                <w:rFonts w:asciiTheme="majorHAnsi" w:hAnsiTheme="majorHAnsi"/>
                <w:sz w:val="20"/>
                <w:szCs w:val="20"/>
              </w:rPr>
            </w:pPr>
            <w:r w:rsidRPr="00EE6892">
              <w:rPr>
                <w:rFonts w:asciiTheme="majorHAnsi" w:hAnsiTheme="majorHAnsi"/>
                <w:sz w:val="20"/>
                <w:szCs w:val="20"/>
              </w:rPr>
              <w:t>Grande vazamento de óleo combustível devido à ruptura total em tanques, linhas e acessórios cobrindo desde o tanque de estocagem até o ponto de consumo e resultando em derrame de óleo para o mar.</w:t>
            </w:r>
          </w:p>
        </w:tc>
        <w:tc>
          <w:tcPr>
            <w:tcW w:w="811" w:type="pct"/>
            <w:shd w:val="clear" w:color="auto" w:fill="FBD4B4" w:themeFill="accent6" w:themeFillTint="66"/>
            <w:vAlign w:val="center"/>
            <w:hideMark/>
          </w:tcPr>
          <w:p w14:paraId="61C3DE21"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Óleo Diesel</w:t>
            </w:r>
          </w:p>
        </w:tc>
        <w:tc>
          <w:tcPr>
            <w:tcW w:w="660" w:type="pct"/>
            <w:shd w:val="clear" w:color="auto" w:fill="FBD4B4" w:themeFill="accent6" w:themeFillTint="66"/>
            <w:vAlign w:val="center"/>
            <w:hideMark/>
          </w:tcPr>
          <w:p w14:paraId="322D8A08" w14:textId="2C5DECB1" w:rsidR="004D65B3" w:rsidRPr="00EE6892" w:rsidRDefault="004D65B3" w:rsidP="00BC6E92">
            <w:pPr>
              <w:spacing w:before="0" w:line="240" w:lineRule="auto"/>
              <w:jc w:val="center"/>
              <w:rPr>
                <w:rFonts w:asciiTheme="majorHAnsi" w:hAnsiTheme="majorHAnsi"/>
                <w:sz w:val="20"/>
                <w:szCs w:val="20"/>
              </w:rPr>
            </w:pPr>
            <w:r w:rsidRPr="00EE6892">
              <w:rPr>
                <w:rFonts w:asciiTheme="majorHAnsi" w:hAnsiTheme="majorHAnsi"/>
                <w:sz w:val="20"/>
                <w:szCs w:val="20"/>
              </w:rPr>
              <w:t>Entre 200 e 1.</w:t>
            </w:r>
            <w:r w:rsidR="00BC6E92">
              <w:rPr>
                <w:rFonts w:asciiTheme="majorHAnsi" w:hAnsiTheme="majorHAnsi"/>
                <w:sz w:val="20"/>
                <w:szCs w:val="20"/>
              </w:rPr>
              <w:t>233,5</w:t>
            </w:r>
            <w:r w:rsidRPr="00EE6892">
              <w:rPr>
                <w:rFonts w:asciiTheme="majorHAnsi" w:hAnsiTheme="majorHAnsi"/>
                <w:sz w:val="20"/>
                <w:szCs w:val="20"/>
              </w:rPr>
              <w:t xml:space="preserve"> m³ </w:t>
            </w:r>
          </w:p>
        </w:tc>
        <w:tc>
          <w:tcPr>
            <w:tcW w:w="608" w:type="pct"/>
            <w:shd w:val="clear" w:color="auto" w:fill="FBD4B4" w:themeFill="accent6" w:themeFillTint="66"/>
            <w:vAlign w:val="center"/>
            <w:hideMark/>
          </w:tcPr>
          <w:p w14:paraId="181519EB"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Instantâneo ou Contínuo</w:t>
            </w:r>
          </w:p>
        </w:tc>
        <w:tc>
          <w:tcPr>
            <w:tcW w:w="592" w:type="pct"/>
            <w:shd w:val="clear" w:color="auto" w:fill="FBD4B4" w:themeFill="accent6" w:themeFillTint="66"/>
            <w:vAlign w:val="center"/>
            <w:hideMark/>
          </w:tcPr>
          <w:p w14:paraId="7C900B02"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4D65B3" w:rsidRPr="00EE6892" w14:paraId="271143EE" w14:textId="77777777" w:rsidTr="00C22B12">
        <w:trPr>
          <w:cantSplit/>
        </w:trPr>
        <w:tc>
          <w:tcPr>
            <w:tcW w:w="351" w:type="pct"/>
            <w:gridSpan w:val="2"/>
            <w:shd w:val="clear" w:color="auto" w:fill="FBD4B4" w:themeFill="accent6" w:themeFillTint="66"/>
            <w:vAlign w:val="center"/>
          </w:tcPr>
          <w:p w14:paraId="41AA4509" w14:textId="49C3DDC4" w:rsidR="004D65B3" w:rsidRPr="00EE6892" w:rsidRDefault="00C22B12" w:rsidP="0000064D">
            <w:pPr>
              <w:spacing w:before="0" w:line="240" w:lineRule="auto"/>
              <w:jc w:val="center"/>
              <w:rPr>
                <w:rFonts w:asciiTheme="majorHAnsi" w:hAnsiTheme="majorHAnsi"/>
                <w:b/>
                <w:sz w:val="20"/>
                <w:szCs w:val="20"/>
              </w:rPr>
            </w:pPr>
            <w:r>
              <w:rPr>
                <w:rFonts w:asciiTheme="majorHAnsi" w:hAnsiTheme="majorHAnsi"/>
                <w:b/>
                <w:sz w:val="20"/>
                <w:szCs w:val="20"/>
              </w:rPr>
              <w:t>17</w:t>
            </w:r>
          </w:p>
        </w:tc>
        <w:tc>
          <w:tcPr>
            <w:tcW w:w="1978" w:type="pct"/>
            <w:gridSpan w:val="2"/>
            <w:shd w:val="clear" w:color="auto" w:fill="FBD4B4" w:themeFill="accent6" w:themeFillTint="66"/>
            <w:vAlign w:val="center"/>
            <w:hideMark/>
          </w:tcPr>
          <w:p w14:paraId="3C2750EC" w14:textId="77777777" w:rsidR="004D65B3" w:rsidRPr="00EE6892" w:rsidRDefault="004D65B3" w:rsidP="0000064D">
            <w:pPr>
              <w:spacing w:before="0" w:line="240" w:lineRule="auto"/>
              <w:rPr>
                <w:rFonts w:asciiTheme="majorHAnsi" w:hAnsiTheme="majorHAnsi"/>
                <w:sz w:val="20"/>
                <w:szCs w:val="20"/>
              </w:rPr>
            </w:pPr>
            <w:r w:rsidRPr="00EE6892">
              <w:rPr>
                <w:rFonts w:asciiTheme="majorHAnsi" w:hAnsiTheme="majorHAnsi"/>
                <w:sz w:val="20"/>
                <w:szCs w:val="20"/>
              </w:rPr>
              <w:t>Pequeno vazamento de efluentes oleosos/água oleosa devido a furos, trincas ou falhas de vedação em tanques, linhas e/ou acessórios do sistema de separação de água oleosa.</w:t>
            </w:r>
          </w:p>
        </w:tc>
        <w:tc>
          <w:tcPr>
            <w:tcW w:w="811" w:type="pct"/>
            <w:shd w:val="clear" w:color="auto" w:fill="FBD4B4" w:themeFill="accent6" w:themeFillTint="66"/>
            <w:vAlign w:val="center"/>
            <w:hideMark/>
          </w:tcPr>
          <w:p w14:paraId="4B5841BB"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Efluentes Oleosos</w:t>
            </w:r>
          </w:p>
        </w:tc>
        <w:tc>
          <w:tcPr>
            <w:tcW w:w="660" w:type="pct"/>
            <w:shd w:val="clear" w:color="auto" w:fill="FBD4B4" w:themeFill="accent6" w:themeFillTint="66"/>
            <w:vAlign w:val="center"/>
            <w:hideMark/>
          </w:tcPr>
          <w:p w14:paraId="13DE6E2A"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Até 8 m³</w:t>
            </w:r>
          </w:p>
        </w:tc>
        <w:tc>
          <w:tcPr>
            <w:tcW w:w="608" w:type="pct"/>
            <w:shd w:val="clear" w:color="auto" w:fill="FBD4B4" w:themeFill="accent6" w:themeFillTint="66"/>
            <w:vAlign w:val="center"/>
            <w:hideMark/>
          </w:tcPr>
          <w:p w14:paraId="573502D2"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Contínuo</w:t>
            </w:r>
          </w:p>
        </w:tc>
        <w:tc>
          <w:tcPr>
            <w:tcW w:w="592" w:type="pct"/>
            <w:shd w:val="clear" w:color="auto" w:fill="FBD4B4" w:themeFill="accent6" w:themeFillTint="66"/>
            <w:vAlign w:val="center"/>
            <w:hideMark/>
          </w:tcPr>
          <w:p w14:paraId="27BA09A8"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4D65B3" w:rsidRPr="00EE6892" w14:paraId="76C79DEC" w14:textId="77777777" w:rsidTr="00C22B12">
        <w:trPr>
          <w:cantSplit/>
        </w:trPr>
        <w:tc>
          <w:tcPr>
            <w:tcW w:w="351" w:type="pct"/>
            <w:gridSpan w:val="2"/>
            <w:shd w:val="clear" w:color="auto" w:fill="FBD4B4" w:themeFill="accent6" w:themeFillTint="66"/>
            <w:vAlign w:val="center"/>
          </w:tcPr>
          <w:p w14:paraId="5C67C964" w14:textId="55C491B9" w:rsidR="004D65B3" w:rsidRPr="00EE6892" w:rsidRDefault="00C22B12" w:rsidP="0000064D">
            <w:pPr>
              <w:spacing w:before="0" w:line="240" w:lineRule="auto"/>
              <w:jc w:val="center"/>
              <w:rPr>
                <w:rFonts w:asciiTheme="majorHAnsi" w:hAnsiTheme="majorHAnsi"/>
                <w:b/>
                <w:sz w:val="20"/>
                <w:szCs w:val="20"/>
              </w:rPr>
            </w:pPr>
            <w:r>
              <w:rPr>
                <w:rFonts w:asciiTheme="majorHAnsi" w:hAnsiTheme="majorHAnsi"/>
                <w:b/>
                <w:sz w:val="20"/>
                <w:szCs w:val="20"/>
              </w:rPr>
              <w:t>18</w:t>
            </w:r>
          </w:p>
        </w:tc>
        <w:tc>
          <w:tcPr>
            <w:tcW w:w="1978" w:type="pct"/>
            <w:gridSpan w:val="2"/>
            <w:shd w:val="clear" w:color="auto" w:fill="FBD4B4" w:themeFill="accent6" w:themeFillTint="66"/>
            <w:vAlign w:val="center"/>
            <w:hideMark/>
          </w:tcPr>
          <w:p w14:paraId="14A5E98E" w14:textId="77777777" w:rsidR="004D65B3" w:rsidRPr="00EE6892" w:rsidRDefault="004D65B3" w:rsidP="0000064D">
            <w:pPr>
              <w:spacing w:before="0" w:line="240" w:lineRule="auto"/>
              <w:rPr>
                <w:rFonts w:asciiTheme="majorHAnsi" w:hAnsiTheme="majorHAnsi"/>
                <w:sz w:val="20"/>
                <w:szCs w:val="20"/>
              </w:rPr>
            </w:pPr>
            <w:r w:rsidRPr="00EE6892">
              <w:rPr>
                <w:rFonts w:asciiTheme="majorHAnsi" w:hAnsiTheme="majorHAnsi"/>
                <w:sz w:val="20"/>
                <w:szCs w:val="20"/>
              </w:rPr>
              <w:t>Médio vazamento de efluentes oleosos/ água oleosa devido à ruptura total da linha, tanques e acessórios do sistema de separação de água oleosa.</w:t>
            </w:r>
          </w:p>
        </w:tc>
        <w:tc>
          <w:tcPr>
            <w:tcW w:w="811" w:type="pct"/>
            <w:shd w:val="clear" w:color="auto" w:fill="FBD4B4" w:themeFill="accent6" w:themeFillTint="66"/>
            <w:vAlign w:val="center"/>
            <w:hideMark/>
          </w:tcPr>
          <w:p w14:paraId="3BFDB977"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Efluentes Oleosos</w:t>
            </w:r>
          </w:p>
        </w:tc>
        <w:tc>
          <w:tcPr>
            <w:tcW w:w="660" w:type="pct"/>
            <w:shd w:val="clear" w:color="auto" w:fill="FBD4B4" w:themeFill="accent6" w:themeFillTint="66"/>
            <w:vAlign w:val="center"/>
            <w:hideMark/>
          </w:tcPr>
          <w:p w14:paraId="0FC0CBA5" w14:textId="7F32AA84" w:rsidR="004D65B3" w:rsidRPr="00EE6892" w:rsidRDefault="004D65B3" w:rsidP="00C22B12">
            <w:pPr>
              <w:spacing w:before="0" w:line="240" w:lineRule="auto"/>
              <w:jc w:val="center"/>
              <w:rPr>
                <w:rFonts w:asciiTheme="majorHAnsi" w:hAnsiTheme="majorHAnsi"/>
                <w:sz w:val="20"/>
                <w:szCs w:val="20"/>
              </w:rPr>
            </w:pPr>
            <w:r w:rsidRPr="00EE6892">
              <w:rPr>
                <w:rFonts w:asciiTheme="majorHAnsi" w:hAnsiTheme="majorHAnsi"/>
                <w:sz w:val="20"/>
                <w:szCs w:val="20"/>
              </w:rPr>
              <w:t xml:space="preserve">Entre 8 e </w:t>
            </w:r>
            <w:r w:rsidR="00C22B12">
              <w:rPr>
                <w:rFonts w:asciiTheme="majorHAnsi" w:hAnsiTheme="majorHAnsi"/>
                <w:sz w:val="20"/>
                <w:szCs w:val="20"/>
              </w:rPr>
              <w:t>163,7</w:t>
            </w:r>
            <w:r w:rsidRPr="00EE6892">
              <w:rPr>
                <w:rFonts w:asciiTheme="majorHAnsi" w:hAnsiTheme="majorHAnsi"/>
                <w:sz w:val="20"/>
                <w:szCs w:val="20"/>
              </w:rPr>
              <w:t> m³</w:t>
            </w:r>
          </w:p>
        </w:tc>
        <w:tc>
          <w:tcPr>
            <w:tcW w:w="608" w:type="pct"/>
            <w:shd w:val="clear" w:color="auto" w:fill="FBD4B4" w:themeFill="accent6" w:themeFillTint="66"/>
            <w:vAlign w:val="center"/>
            <w:hideMark/>
          </w:tcPr>
          <w:p w14:paraId="7251425E"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Instantâneo ou Contínuo</w:t>
            </w:r>
          </w:p>
        </w:tc>
        <w:tc>
          <w:tcPr>
            <w:tcW w:w="592" w:type="pct"/>
            <w:shd w:val="clear" w:color="auto" w:fill="FBD4B4" w:themeFill="accent6" w:themeFillTint="66"/>
            <w:vAlign w:val="center"/>
            <w:hideMark/>
          </w:tcPr>
          <w:p w14:paraId="326C10A7"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4D65B3" w:rsidRPr="00EE6892" w14:paraId="2AFF675C" w14:textId="77777777" w:rsidTr="00F854BD">
        <w:trPr>
          <w:cantSplit/>
        </w:trPr>
        <w:tc>
          <w:tcPr>
            <w:tcW w:w="351" w:type="pct"/>
            <w:gridSpan w:val="2"/>
            <w:shd w:val="clear" w:color="auto" w:fill="F2F2F2" w:themeFill="background1" w:themeFillShade="F2"/>
            <w:vAlign w:val="center"/>
          </w:tcPr>
          <w:p w14:paraId="63025CF8" w14:textId="2C477372" w:rsidR="004D65B3" w:rsidRPr="00EE6892" w:rsidRDefault="00F854BD" w:rsidP="0000064D">
            <w:pPr>
              <w:spacing w:before="0" w:line="240" w:lineRule="auto"/>
              <w:jc w:val="center"/>
              <w:rPr>
                <w:rFonts w:asciiTheme="majorHAnsi" w:hAnsiTheme="majorHAnsi"/>
                <w:b/>
                <w:sz w:val="20"/>
                <w:szCs w:val="20"/>
              </w:rPr>
            </w:pPr>
            <w:r>
              <w:rPr>
                <w:rFonts w:asciiTheme="majorHAnsi" w:hAnsiTheme="majorHAnsi"/>
                <w:b/>
                <w:sz w:val="20"/>
                <w:szCs w:val="20"/>
              </w:rPr>
              <w:t>19</w:t>
            </w:r>
          </w:p>
        </w:tc>
        <w:tc>
          <w:tcPr>
            <w:tcW w:w="1978" w:type="pct"/>
            <w:gridSpan w:val="2"/>
            <w:shd w:val="clear" w:color="auto" w:fill="F2F2F2" w:themeFill="background1" w:themeFillShade="F2"/>
            <w:vAlign w:val="center"/>
            <w:hideMark/>
          </w:tcPr>
          <w:p w14:paraId="6CB58835" w14:textId="77777777" w:rsidR="004D65B3" w:rsidRPr="00EE6892" w:rsidRDefault="004D65B3" w:rsidP="00642786">
            <w:pPr>
              <w:spacing w:before="0" w:line="240" w:lineRule="auto"/>
              <w:rPr>
                <w:rFonts w:asciiTheme="majorHAnsi" w:hAnsiTheme="majorHAnsi"/>
                <w:sz w:val="20"/>
                <w:szCs w:val="20"/>
              </w:rPr>
            </w:pPr>
            <w:r w:rsidRPr="00EE6892">
              <w:rPr>
                <w:rFonts w:asciiTheme="majorHAnsi" w:hAnsiTheme="majorHAnsi"/>
                <w:sz w:val="20"/>
                <w:szCs w:val="20"/>
              </w:rPr>
              <w:t xml:space="preserve">Pequeno </w:t>
            </w:r>
            <w:r w:rsidR="00642786">
              <w:rPr>
                <w:rFonts w:asciiTheme="majorHAnsi" w:hAnsiTheme="majorHAnsi"/>
                <w:sz w:val="20"/>
                <w:szCs w:val="20"/>
              </w:rPr>
              <w:t>v</w:t>
            </w:r>
            <w:r w:rsidRPr="00EE6892">
              <w:rPr>
                <w:rFonts w:asciiTheme="majorHAnsi" w:hAnsiTheme="majorHAnsi"/>
                <w:sz w:val="20"/>
                <w:szCs w:val="20"/>
              </w:rPr>
              <w:t>azamento de óleo lubrificante devido a furos, trincas ou falhas de vedação em tanques, linhas e/ou acessórios a partir do ponto de estocagem até os pontos de consumo, resultando em liberação de óleo para áreas adjacentes.</w:t>
            </w:r>
          </w:p>
        </w:tc>
        <w:tc>
          <w:tcPr>
            <w:tcW w:w="811" w:type="pct"/>
            <w:shd w:val="clear" w:color="auto" w:fill="F2F2F2" w:themeFill="background1" w:themeFillShade="F2"/>
            <w:vAlign w:val="center"/>
            <w:hideMark/>
          </w:tcPr>
          <w:p w14:paraId="0B374B99"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Óleo Lubrificante</w:t>
            </w:r>
          </w:p>
        </w:tc>
        <w:tc>
          <w:tcPr>
            <w:tcW w:w="660" w:type="pct"/>
            <w:shd w:val="clear" w:color="auto" w:fill="F2F2F2" w:themeFill="background1" w:themeFillShade="F2"/>
            <w:vAlign w:val="center"/>
            <w:hideMark/>
          </w:tcPr>
          <w:p w14:paraId="635BE740"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Até 8 m³</w:t>
            </w:r>
          </w:p>
        </w:tc>
        <w:tc>
          <w:tcPr>
            <w:tcW w:w="608" w:type="pct"/>
            <w:shd w:val="clear" w:color="auto" w:fill="F2F2F2" w:themeFill="background1" w:themeFillShade="F2"/>
            <w:vAlign w:val="center"/>
            <w:hideMark/>
          </w:tcPr>
          <w:p w14:paraId="57C364B4"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Contínuo</w:t>
            </w:r>
          </w:p>
        </w:tc>
        <w:tc>
          <w:tcPr>
            <w:tcW w:w="592" w:type="pct"/>
            <w:shd w:val="clear" w:color="auto" w:fill="F2F2F2" w:themeFill="background1" w:themeFillShade="F2"/>
            <w:vAlign w:val="center"/>
            <w:hideMark/>
          </w:tcPr>
          <w:p w14:paraId="7DFB4127"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Não</w:t>
            </w:r>
          </w:p>
        </w:tc>
      </w:tr>
      <w:tr w:rsidR="004D65B3" w:rsidRPr="00EE6892" w14:paraId="482CAE73" w14:textId="77777777" w:rsidTr="00F854BD">
        <w:trPr>
          <w:cantSplit/>
        </w:trPr>
        <w:tc>
          <w:tcPr>
            <w:tcW w:w="351" w:type="pct"/>
            <w:gridSpan w:val="2"/>
            <w:shd w:val="clear" w:color="auto" w:fill="FBD4B4" w:themeFill="accent6" w:themeFillTint="66"/>
            <w:vAlign w:val="center"/>
          </w:tcPr>
          <w:p w14:paraId="232D075F" w14:textId="79C1092D" w:rsidR="004D65B3" w:rsidRPr="00EE6892" w:rsidRDefault="00F854BD" w:rsidP="0000064D">
            <w:pPr>
              <w:spacing w:before="0" w:line="240" w:lineRule="auto"/>
              <w:jc w:val="center"/>
              <w:rPr>
                <w:rFonts w:asciiTheme="majorHAnsi" w:hAnsiTheme="majorHAnsi"/>
                <w:b/>
                <w:sz w:val="20"/>
                <w:szCs w:val="20"/>
              </w:rPr>
            </w:pPr>
            <w:r>
              <w:rPr>
                <w:rFonts w:asciiTheme="majorHAnsi" w:hAnsiTheme="majorHAnsi"/>
                <w:b/>
                <w:sz w:val="20"/>
                <w:szCs w:val="20"/>
              </w:rPr>
              <w:t>20</w:t>
            </w:r>
          </w:p>
        </w:tc>
        <w:tc>
          <w:tcPr>
            <w:tcW w:w="1978" w:type="pct"/>
            <w:gridSpan w:val="2"/>
            <w:shd w:val="clear" w:color="auto" w:fill="FBD4B4" w:themeFill="accent6" w:themeFillTint="66"/>
            <w:vAlign w:val="center"/>
            <w:hideMark/>
          </w:tcPr>
          <w:p w14:paraId="11807DEA" w14:textId="77777777" w:rsidR="004D65B3" w:rsidRPr="00EE6892" w:rsidRDefault="004D65B3" w:rsidP="00642786">
            <w:pPr>
              <w:spacing w:before="0" w:line="240" w:lineRule="auto"/>
              <w:rPr>
                <w:rFonts w:asciiTheme="majorHAnsi" w:hAnsiTheme="majorHAnsi"/>
                <w:sz w:val="20"/>
                <w:szCs w:val="20"/>
              </w:rPr>
            </w:pPr>
            <w:r w:rsidRPr="00EE6892">
              <w:rPr>
                <w:rFonts w:asciiTheme="majorHAnsi" w:hAnsiTheme="majorHAnsi"/>
                <w:sz w:val="20"/>
                <w:szCs w:val="20"/>
              </w:rPr>
              <w:t xml:space="preserve">Médio </w:t>
            </w:r>
            <w:r w:rsidR="00642786">
              <w:rPr>
                <w:rFonts w:asciiTheme="majorHAnsi" w:hAnsiTheme="majorHAnsi"/>
                <w:sz w:val="20"/>
                <w:szCs w:val="20"/>
              </w:rPr>
              <w:t>v</w:t>
            </w:r>
            <w:r w:rsidRPr="00EE6892">
              <w:rPr>
                <w:rFonts w:asciiTheme="majorHAnsi" w:hAnsiTheme="majorHAnsi"/>
                <w:sz w:val="20"/>
                <w:szCs w:val="20"/>
              </w:rPr>
              <w:t>azamento de óleo lubrificante devido à ruptura total de tanques, linhas e acessórios a partir do tanque de estocagem até os pontos de consumo resultando em liberação de óleo para o mar.</w:t>
            </w:r>
          </w:p>
        </w:tc>
        <w:tc>
          <w:tcPr>
            <w:tcW w:w="811" w:type="pct"/>
            <w:shd w:val="clear" w:color="auto" w:fill="FBD4B4" w:themeFill="accent6" w:themeFillTint="66"/>
            <w:vAlign w:val="center"/>
            <w:hideMark/>
          </w:tcPr>
          <w:p w14:paraId="096B288B"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Óleo Lubrificante</w:t>
            </w:r>
          </w:p>
        </w:tc>
        <w:tc>
          <w:tcPr>
            <w:tcW w:w="660" w:type="pct"/>
            <w:shd w:val="clear" w:color="auto" w:fill="FBD4B4" w:themeFill="accent6" w:themeFillTint="66"/>
            <w:vAlign w:val="center"/>
            <w:hideMark/>
          </w:tcPr>
          <w:p w14:paraId="6EFF0840" w14:textId="35618892" w:rsidR="004D65B3" w:rsidRPr="00EE6892" w:rsidRDefault="004D65B3" w:rsidP="00F854BD">
            <w:pPr>
              <w:spacing w:before="0" w:line="240" w:lineRule="auto"/>
              <w:jc w:val="center"/>
              <w:rPr>
                <w:rFonts w:asciiTheme="majorHAnsi" w:hAnsiTheme="majorHAnsi"/>
                <w:sz w:val="20"/>
                <w:szCs w:val="20"/>
              </w:rPr>
            </w:pPr>
            <w:r w:rsidRPr="00EE6892">
              <w:rPr>
                <w:rFonts w:asciiTheme="majorHAnsi" w:hAnsiTheme="majorHAnsi"/>
                <w:sz w:val="20"/>
                <w:szCs w:val="20"/>
              </w:rPr>
              <w:t xml:space="preserve">Entre 8 e </w:t>
            </w:r>
            <w:r w:rsidR="00F854BD">
              <w:rPr>
                <w:rFonts w:asciiTheme="majorHAnsi" w:hAnsiTheme="majorHAnsi"/>
                <w:sz w:val="20"/>
                <w:szCs w:val="20"/>
              </w:rPr>
              <w:t>35</w:t>
            </w:r>
            <w:r w:rsidRPr="00EE6892">
              <w:rPr>
                <w:rFonts w:asciiTheme="majorHAnsi" w:hAnsiTheme="majorHAnsi"/>
                <w:sz w:val="20"/>
                <w:szCs w:val="20"/>
              </w:rPr>
              <w:t> m³</w:t>
            </w:r>
          </w:p>
        </w:tc>
        <w:tc>
          <w:tcPr>
            <w:tcW w:w="608" w:type="pct"/>
            <w:shd w:val="clear" w:color="auto" w:fill="FBD4B4" w:themeFill="accent6" w:themeFillTint="66"/>
            <w:vAlign w:val="center"/>
            <w:hideMark/>
          </w:tcPr>
          <w:p w14:paraId="48EC8273"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Instantâneo ou Contínuo</w:t>
            </w:r>
          </w:p>
        </w:tc>
        <w:tc>
          <w:tcPr>
            <w:tcW w:w="592" w:type="pct"/>
            <w:shd w:val="clear" w:color="auto" w:fill="FBD4B4" w:themeFill="accent6" w:themeFillTint="66"/>
            <w:vAlign w:val="center"/>
            <w:hideMark/>
          </w:tcPr>
          <w:p w14:paraId="345551B7"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4D65B3" w:rsidRPr="00EE6892" w14:paraId="29831CEA" w14:textId="77777777" w:rsidTr="00F854BD">
        <w:trPr>
          <w:cantSplit/>
        </w:trPr>
        <w:tc>
          <w:tcPr>
            <w:tcW w:w="351" w:type="pct"/>
            <w:gridSpan w:val="2"/>
            <w:shd w:val="clear" w:color="auto" w:fill="FBD4B4" w:themeFill="accent6" w:themeFillTint="66"/>
            <w:vAlign w:val="center"/>
          </w:tcPr>
          <w:p w14:paraId="752D4ADD" w14:textId="6058E23E" w:rsidR="004D65B3" w:rsidRPr="00EE6892" w:rsidRDefault="00F854BD" w:rsidP="0000064D">
            <w:pPr>
              <w:spacing w:before="0" w:line="240" w:lineRule="auto"/>
              <w:jc w:val="center"/>
              <w:rPr>
                <w:rFonts w:asciiTheme="majorHAnsi" w:hAnsiTheme="majorHAnsi"/>
                <w:b/>
                <w:sz w:val="20"/>
                <w:szCs w:val="20"/>
              </w:rPr>
            </w:pPr>
            <w:r>
              <w:rPr>
                <w:rFonts w:asciiTheme="majorHAnsi" w:hAnsiTheme="majorHAnsi"/>
                <w:b/>
                <w:sz w:val="20"/>
                <w:szCs w:val="20"/>
              </w:rPr>
              <w:t>26</w:t>
            </w:r>
          </w:p>
        </w:tc>
        <w:tc>
          <w:tcPr>
            <w:tcW w:w="1978" w:type="pct"/>
            <w:gridSpan w:val="2"/>
            <w:shd w:val="clear" w:color="auto" w:fill="FBD4B4" w:themeFill="accent6" w:themeFillTint="66"/>
            <w:vAlign w:val="center"/>
            <w:hideMark/>
          </w:tcPr>
          <w:p w14:paraId="659DFF5D" w14:textId="77777777" w:rsidR="004D65B3" w:rsidRPr="00EE6892" w:rsidRDefault="004D65B3" w:rsidP="0000064D">
            <w:pPr>
              <w:spacing w:before="0" w:line="240" w:lineRule="auto"/>
              <w:rPr>
                <w:rFonts w:asciiTheme="majorHAnsi" w:hAnsiTheme="majorHAnsi"/>
                <w:sz w:val="20"/>
                <w:szCs w:val="20"/>
              </w:rPr>
            </w:pPr>
            <w:r w:rsidRPr="00EE6892">
              <w:rPr>
                <w:rFonts w:asciiTheme="majorHAnsi" w:hAnsiTheme="majorHAnsi"/>
                <w:sz w:val="20"/>
                <w:szCs w:val="20"/>
              </w:rPr>
              <w:t>Grande vazamento de óleo e/ou produtos químicos devido à perda de estabilidade da unidade de perfuração resultando em seu afundamento.</w:t>
            </w:r>
          </w:p>
        </w:tc>
        <w:tc>
          <w:tcPr>
            <w:tcW w:w="811" w:type="pct"/>
            <w:shd w:val="clear" w:color="auto" w:fill="FBD4B4" w:themeFill="accent6" w:themeFillTint="66"/>
            <w:vAlign w:val="center"/>
            <w:hideMark/>
          </w:tcPr>
          <w:p w14:paraId="795A6F05" w14:textId="1A26B3A8" w:rsidR="004D65B3" w:rsidRPr="00EE6892" w:rsidRDefault="004D65B3" w:rsidP="00F854BD">
            <w:pPr>
              <w:spacing w:before="0" w:line="240" w:lineRule="auto"/>
              <w:jc w:val="center"/>
              <w:rPr>
                <w:rFonts w:asciiTheme="majorHAnsi" w:hAnsiTheme="majorHAnsi"/>
                <w:sz w:val="20"/>
                <w:szCs w:val="20"/>
              </w:rPr>
            </w:pPr>
            <w:r w:rsidRPr="00EE6892">
              <w:rPr>
                <w:rFonts w:asciiTheme="majorHAnsi" w:hAnsiTheme="majorHAnsi"/>
                <w:sz w:val="20"/>
                <w:szCs w:val="20"/>
              </w:rPr>
              <w:t xml:space="preserve">Óleo Diesel/ Óleo Lubrificante/ Óleo Base </w:t>
            </w:r>
          </w:p>
        </w:tc>
        <w:tc>
          <w:tcPr>
            <w:tcW w:w="660" w:type="pct"/>
            <w:shd w:val="clear" w:color="auto" w:fill="FBD4B4" w:themeFill="accent6" w:themeFillTint="66"/>
            <w:vAlign w:val="center"/>
            <w:hideMark/>
          </w:tcPr>
          <w:p w14:paraId="1D6203A9" w14:textId="42186698" w:rsidR="004D65B3" w:rsidRPr="00EE6892" w:rsidRDefault="004D65B3" w:rsidP="00F854BD">
            <w:pPr>
              <w:spacing w:before="0" w:line="240" w:lineRule="auto"/>
              <w:jc w:val="center"/>
              <w:rPr>
                <w:rFonts w:asciiTheme="majorHAnsi" w:hAnsiTheme="majorHAnsi"/>
                <w:sz w:val="20"/>
                <w:szCs w:val="20"/>
              </w:rPr>
            </w:pPr>
            <w:r w:rsidRPr="00EE6892">
              <w:rPr>
                <w:rFonts w:asciiTheme="majorHAnsi" w:hAnsiTheme="majorHAnsi"/>
                <w:sz w:val="20"/>
                <w:szCs w:val="20"/>
              </w:rPr>
              <w:t xml:space="preserve">Até </w:t>
            </w:r>
            <w:r w:rsidR="00A32D88" w:rsidRPr="00D80C93">
              <w:rPr>
                <w:rFonts w:asciiTheme="majorHAnsi" w:hAnsiTheme="majorHAnsi"/>
                <w:sz w:val="20"/>
                <w:szCs w:val="20"/>
                <w:highlight w:val="darkGray"/>
              </w:rPr>
              <w:t>10</w:t>
            </w:r>
            <w:r w:rsidRPr="00D80C93">
              <w:rPr>
                <w:rFonts w:asciiTheme="majorHAnsi" w:hAnsiTheme="majorHAnsi"/>
                <w:sz w:val="20"/>
                <w:szCs w:val="20"/>
                <w:highlight w:val="darkGray"/>
              </w:rPr>
              <w:t>.</w:t>
            </w:r>
            <w:r w:rsidR="00A32D88" w:rsidRPr="00D80C93">
              <w:rPr>
                <w:rFonts w:asciiTheme="majorHAnsi" w:hAnsiTheme="majorHAnsi"/>
                <w:sz w:val="20"/>
                <w:szCs w:val="20"/>
                <w:highlight w:val="darkGray"/>
              </w:rPr>
              <w:t>227</w:t>
            </w:r>
            <w:r w:rsidR="00F854BD" w:rsidRPr="00D80C93">
              <w:rPr>
                <w:rFonts w:asciiTheme="majorHAnsi" w:hAnsiTheme="majorHAnsi"/>
                <w:sz w:val="20"/>
                <w:szCs w:val="20"/>
                <w:highlight w:val="darkGray"/>
              </w:rPr>
              <w:t>,</w:t>
            </w:r>
            <w:r w:rsidR="00A32D88" w:rsidRPr="00D80C93">
              <w:rPr>
                <w:rFonts w:asciiTheme="majorHAnsi" w:hAnsiTheme="majorHAnsi"/>
                <w:sz w:val="20"/>
                <w:szCs w:val="20"/>
                <w:highlight w:val="darkGray"/>
              </w:rPr>
              <w:t>8</w:t>
            </w:r>
            <w:r w:rsidRPr="00EE6892">
              <w:rPr>
                <w:rFonts w:asciiTheme="majorHAnsi" w:hAnsiTheme="majorHAnsi"/>
                <w:sz w:val="20"/>
                <w:szCs w:val="20"/>
              </w:rPr>
              <w:t> m³</w:t>
            </w:r>
          </w:p>
        </w:tc>
        <w:tc>
          <w:tcPr>
            <w:tcW w:w="608" w:type="pct"/>
            <w:shd w:val="clear" w:color="auto" w:fill="FBD4B4" w:themeFill="accent6" w:themeFillTint="66"/>
            <w:vAlign w:val="center"/>
            <w:hideMark/>
          </w:tcPr>
          <w:p w14:paraId="54333326"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Instantâneo ou Contínuo</w:t>
            </w:r>
          </w:p>
        </w:tc>
        <w:tc>
          <w:tcPr>
            <w:tcW w:w="592" w:type="pct"/>
            <w:shd w:val="clear" w:color="auto" w:fill="FBD4B4" w:themeFill="accent6" w:themeFillTint="66"/>
            <w:vAlign w:val="center"/>
            <w:hideMark/>
          </w:tcPr>
          <w:p w14:paraId="4B3E20F4"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4D65B3" w:rsidRPr="00EE6892" w14:paraId="5CE3578D" w14:textId="77777777" w:rsidTr="0000064D">
        <w:trPr>
          <w:cantSplit/>
          <w:trHeight w:val="340"/>
        </w:trPr>
        <w:tc>
          <w:tcPr>
            <w:tcW w:w="5000" w:type="pct"/>
            <w:gridSpan w:val="8"/>
            <w:shd w:val="clear" w:color="auto" w:fill="A6A6A6" w:themeFill="background1" w:themeFillShade="A6"/>
            <w:vAlign w:val="center"/>
          </w:tcPr>
          <w:p w14:paraId="25F9028B" w14:textId="77777777" w:rsidR="004D65B3" w:rsidRPr="00EE6892" w:rsidRDefault="004D65B3" w:rsidP="0000064D">
            <w:pPr>
              <w:keepNext/>
              <w:keepLines/>
              <w:spacing w:before="0" w:line="240" w:lineRule="auto"/>
              <w:rPr>
                <w:rFonts w:asciiTheme="majorHAnsi" w:hAnsiTheme="majorHAnsi"/>
                <w:sz w:val="20"/>
                <w:szCs w:val="20"/>
              </w:rPr>
            </w:pPr>
            <w:r w:rsidRPr="00EE6892">
              <w:rPr>
                <w:rFonts w:asciiTheme="majorHAnsi" w:hAnsiTheme="majorHAnsi"/>
                <w:b/>
                <w:sz w:val="20"/>
                <w:szCs w:val="20"/>
              </w:rPr>
              <w:lastRenderedPageBreak/>
              <w:t>Cenários relacionados às embarcações de suporte à atividade</w:t>
            </w:r>
          </w:p>
        </w:tc>
      </w:tr>
      <w:tr w:rsidR="004D65B3" w:rsidRPr="00EE6892" w14:paraId="575C4172" w14:textId="77777777" w:rsidTr="00BC6E92">
        <w:trPr>
          <w:cantSplit/>
        </w:trPr>
        <w:tc>
          <w:tcPr>
            <w:tcW w:w="351" w:type="pct"/>
            <w:gridSpan w:val="2"/>
            <w:shd w:val="clear" w:color="auto" w:fill="FBD4B4" w:themeFill="accent6" w:themeFillTint="66"/>
            <w:vAlign w:val="center"/>
          </w:tcPr>
          <w:p w14:paraId="18A299E3" w14:textId="6C1B062C" w:rsidR="004D65B3" w:rsidRPr="00EE6892" w:rsidRDefault="004D65B3" w:rsidP="00BC6E92">
            <w:pPr>
              <w:keepNext/>
              <w:keepLines/>
              <w:spacing w:before="0" w:line="240" w:lineRule="auto"/>
              <w:jc w:val="center"/>
              <w:rPr>
                <w:rFonts w:asciiTheme="majorHAnsi" w:hAnsiTheme="majorHAnsi"/>
                <w:b/>
                <w:sz w:val="20"/>
                <w:szCs w:val="20"/>
              </w:rPr>
            </w:pPr>
            <w:r w:rsidRPr="00EE6892">
              <w:rPr>
                <w:rFonts w:asciiTheme="majorHAnsi" w:hAnsiTheme="majorHAnsi"/>
                <w:b/>
                <w:sz w:val="20"/>
                <w:szCs w:val="20"/>
              </w:rPr>
              <w:t>1</w:t>
            </w:r>
            <w:r w:rsidR="00BC6E92">
              <w:rPr>
                <w:rFonts w:asciiTheme="majorHAnsi" w:hAnsiTheme="majorHAnsi"/>
                <w:b/>
                <w:sz w:val="20"/>
                <w:szCs w:val="20"/>
              </w:rPr>
              <w:t>3</w:t>
            </w:r>
          </w:p>
        </w:tc>
        <w:tc>
          <w:tcPr>
            <w:tcW w:w="1978" w:type="pct"/>
            <w:gridSpan w:val="2"/>
            <w:shd w:val="clear" w:color="auto" w:fill="FBD4B4" w:themeFill="accent6" w:themeFillTint="66"/>
            <w:vAlign w:val="center"/>
          </w:tcPr>
          <w:p w14:paraId="30F64EE4" w14:textId="77777777" w:rsidR="004D65B3" w:rsidRPr="00EE6892" w:rsidRDefault="004D65B3" w:rsidP="0000064D">
            <w:pPr>
              <w:keepNext/>
              <w:keepLines/>
              <w:spacing w:before="0" w:line="240" w:lineRule="auto"/>
              <w:rPr>
                <w:rFonts w:asciiTheme="majorHAnsi" w:hAnsiTheme="majorHAnsi"/>
                <w:sz w:val="20"/>
                <w:szCs w:val="20"/>
              </w:rPr>
            </w:pPr>
            <w:r w:rsidRPr="00EE6892">
              <w:rPr>
                <w:rFonts w:asciiTheme="majorHAnsi" w:hAnsiTheme="majorHAnsi"/>
                <w:sz w:val="20"/>
                <w:szCs w:val="20"/>
              </w:rPr>
              <w:t>Pequeno vazamento de óleo combustível devido a trincas e furos no tanque de estocagem da embarcação de apoio com espalhamento de óleo para áreas adjacentes e consequente derrame de óleo para o mar.</w:t>
            </w:r>
          </w:p>
        </w:tc>
        <w:tc>
          <w:tcPr>
            <w:tcW w:w="811" w:type="pct"/>
            <w:shd w:val="clear" w:color="auto" w:fill="FBD4B4" w:themeFill="accent6" w:themeFillTint="66"/>
            <w:vAlign w:val="center"/>
          </w:tcPr>
          <w:p w14:paraId="743D47DB" w14:textId="77777777" w:rsidR="004D65B3" w:rsidRPr="00EE6892" w:rsidRDefault="004D65B3" w:rsidP="0000064D">
            <w:pPr>
              <w:keepNext/>
              <w:keepLines/>
              <w:spacing w:before="0" w:line="240" w:lineRule="auto"/>
              <w:jc w:val="center"/>
              <w:rPr>
                <w:rFonts w:asciiTheme="majorHAnsi" w:hAnsiTheme="majorHAnsi"/>
                <w:sz w:val="20"/>
                <w:szCs w:val="20"/>
              </w:rPr>
            </w:pPr>
            <w:r w:rsidRPr="00EE6892">
              <w:rPr>
                <w:rFonts w:asciiTheme="majorHAnsi" w:hAnsiTheme="majorHAnsi"/>
                <w:sz w:val="20"/>
                <w:szCs w:val="20"/>
              </w:rPr>
              <w:t>Óleo Diesel</w:t>
            </w:r>
          </w:p>
        </w:tc>
        <w:tc>
          <w:tcPr>
            <w:tcW w:w="660" w:type="pct"/>
            <w:shd w:val="clear" w:color="auto" w:fill="FBD4B4" w:themeFill="accent6" w:themeFillTint="66"/>
            <w:vAlign w:val="center"/>
          </w:tcPr>
          <w:p w14:paraId="6DFAA440" w14:textId="77777777" w:rsidR="004D65B3" w:rsidRPr="00EE6892" w:rsidRDefault="004D65B3" w:rsidP="0000064D">
            <w:pPr>
              <w:keepNext/>
              <w:keepLines/>
              <w:spacing w:before="0" w:line="240" w:lineRule="auto"/>
              <w:jc w:val="center"/>
              <w:rPr>
                <w:rFonts w:asciiTheme="majorHAnsi" w:hAnsiTheme="majorHAnsi"/>
                <w:sz w:val="20"/>
                <w:szCs w:val="20"/>
              </w:rPr>
            </w:pPr>
            <w:r w:rsidRPr="00EE6892">
              <w:rPr>
                <w:rFonts w:asciiTheme="majorHAnsi" w:hAnsiTheme="majorHAnsi"/>
                <w:sz w:val="20"/>
                <w:szCs w:val="20"/>
              </w:rPr>
              <w:t>Até 8 m³</w:t>
            </w:r>
          </w:p>
        </w:tc>
        <w:tc>
          <w:tcPr>
            <w:tcW w:w="608" w:type="pct"/>
            <w:shd w:val="clear" w:color="auto" w:fill="FBD4B4" w:themeFill="accent6" w:themeFillTint="66"/>
            <w:vAlign w:val="center"/>
          </w:tcPr>
          <w:p w14:paraId="437C29A7" w14:textId="77777777" w:rsidR="004D65B3" w:rsidRPr="00EE6892" w:rsidRDefault="004D65B3" w:rsidP="0000064D">
            <w:pPr>
              <w:keepNext/>
              <w:keepLines/>
              <w:spacing w:before="0" w:line="240" w:lineRule="auto"/>
              <w:jc w:val="center"/>
              <w:rPr>
                <w:rFonts w:asciiTheme="majorHAnsi" w:hAnsiTheme="majorHAnsi"/>
                <w:sz w:val="20"/>
                <w:szCs w:val="20"/>
              </w:rPr>
            </w:pPr>
            <w:r w:rsidRPr="00EE6892">
              <w:rPr>
                <w:rFonts w:asciiTheme="majorHAnsi" w:hAnsiTheme="majorHAnsi"/>
                <w:sz w:val="20"/>
                <w:szCs w:val="20"/>
              </w:rPr>
              <w:t>Contínuo</w:t>
            </w:r>
          </w:p>
        </w:tc>
        <w:tc>
          <w:tcPr>
            <w:tcW w:w="592" w:type="pct"/>
            <w:shd w:val="clear" w:color="auto" w:fill="FBD4B4" w:themeFill="accent6" w:themeFillTint="66"/>
            <w:vAlign w:val="center"/>
          </w:tcPr>
          <w:p w14:paraId="0D56D5FF" w14:textId="77777777" w:rsidR="004D65B3" w:rsidRPr="00EE6892" w:rsidRDefault="004D65B3" w:rsidP="0000064D">
            <w:pPr>
              <w:keepNext/>
              <w:keepLines/>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4D65B3" w:rsidRPr="00EE6892" w14:paraId="604A26B4" w14:textId="77777777" w:rsidTr="00BC6E92">
        <w:trPr>
          <w:cantSplit/>
        </w:trPr>
        <w:tc>
          <w:tcPr>
            <w:tcW w:w="351" w:type="pct"/>
            <w:gridSpan w:val="2"/>
            <w:shd w:val="clear" w:color="auto" w:fill="FBD4B4" w:themeFill="accent6" w:themeFillTint="66"/>
            <w:vAlign w:val="center"/>
          </w:tcPr>
          <w:p w14:paraId="094799E5" w14:textId="277C3BCA" w:rsidR="004D65B3" w:rsidRPr="00EE6892" w:rsidRDefault="004D65B3" w:rsidP="00BC6E92">
            <w:pPr>
              <w:spacing w:before="0" w:line="240" w:lineRule="auto"/>
              <w:jc w:val="center"/>
              <w:rPr>
                <w:rFonts w:asciiTheme="majorHAnsi" w:hAnsiTheme="majorHAnsi"/>
                <w:b/>
                <w:sz w:val="20"/>
                <w:szCs w:val="20"/>
              </w:rPr>
            </w:pPr>
            <w:r w:rsidRPr="00EE6892">
              <w:rPr>
                <w:rFonts w:asciiTheme="majorHAnsi" w:hAnsiTheme="majorHAnsi"/>
                <w:b/>
                <w:sz w:val="20"/>
                <w:szCs w:val="20"/>
              </w:rPr>
              <w:t>1</w:t>
            </w:r>
            <w:r w:rsidR="00BC6E92">
              <w:rPr>
                <w:rFonts w:asciiTheme="majorHAnsi" w:hAnsiTheme="majorHAnsi"/>
                <w:b/>
                <w:sz w:val="20"/>
                <w:szCs w:val="20"/>
              </w:rPr>
              <w:t>4</w:t>
            </w:r>
          </w:p>
        </w:tc>
        <w:tc>
          <w:tcPr>
            <w:tcW w:w="1978" w:type="pct"/>
            <w:gridSpan w:val="2"/>
            <w:shd w:val="clear" w:color="auto" w:fill="FBD4B4" w:themeFill="accent6" w:themeFillTint="66"/>
            <w:vAlign w:val="center"/>
          </w:tcPr>
          <w:p w14:paraId="1AE793C0" w14:textId="77777777" w:rsidR="004D65B3" w:rsidRPr="00EE6892" w:rsidRDefault="004D65B3" w:rsidP="0000064D">
            <w:pPr>
              <w:spacing w:before="0" w:line="240" w:lineRule="auto"/>
              <w:rPr>
                <w:rFonts w:asciiTheme="majorHAnsi" w:hAnsiTheme="majorHAnsi"/>
                <w:sz w:val="20"/>
                <w:szCs w:val="20"/>
              </w:rPr>
            </w:pPr>
            <w:r w:rsidRPr="00EE6892">
              <w:rPr>
                <w:rFonts w:asciiTheme="majorHAnsi" w:hAnsiTheme="majorHAnsi"/>
                <w:sz w:val="20"/>
                <w:szCs w:val="20"/>
              </w:rPr>
              <w:t>Médio vazamento de óleo combustível devido a trincas e furos no tanque de estocagem da embarcação de apoio com espalhamento de óleo para áreas adjacentes e consequente derrame para o mar.</w:t>
            </w:r>
          </w:p>
        </w:tc>
        <w:tc>
          <w:tcPr>
            <w:tcW w:w="811" w:type="pct"/>
            <w:shd w:val="clear" w:color="auto" w:fill="FBD4B4" w:themeFill="accent6" w:themeFillTint="66"/>
            <w:vAlign w:val="center"/>
          </w:tcPr>
          <w:p w14:paraId="411BF103"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Óleo Diesel</w:t>
            </w:r>
          </w:p>
        </w:tc>
        <w:tc>
          <w:tcPr>
            <w:tcW w:w="660" w:type="pct"/>
            <w:shd w:val="clear" w:color="auto" w:fill="FBD4B4" w:themeFill="accent6" w:themeFillTint="66"/>
            <w:vAlign w:val="center"/>
          </w:tcPr>
          <w:p w14:paraId="67F9C5C5"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Entre 8 e 200 m³</w:t>
            </w:r>
          </w:p>
        </w:tc>
        <w:tc>
          <w:tcPr>
            <w:tcW w:w="608" w:type="pct"/>
            <w:shd w:val="clear" w:color="auto" w:fill="FBD4B4" w:themeFill="accent6" w:themeFillTint="66"/>
            <w:vAlign w:val="center"/>
          </w:tcPr>
          <w:p w14:paraId="742513EB"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Contínuo</w:t>
            </w:r>
          </w:p>
        </w:tc>
        <w:tc>
          <w:tcPr>
            <w:tcW w:w="592" w:type="pct"/>
            <w:shd w:val="clear" w:color="auto" w:fill="FBD4B4" w:themeFill="accent6" w:themeFillTint="66"/>
            <w:vAlign w:val="center"/>
          </w:tcPr>
          <w:p w14:paraId="4D7A1A27"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4D65B3" w:rsidRPr="00EE6892" w14:paraId="025610CE" w14:textId="77777777" w:rsidTr="00BC6E92">
        <w:trPr>
          <w:cantSplit/>
        </w:trPr>
        <w:tc>
          <w:tcPr>
            <w:tcW w:w="351" w:type="pct"/>
            <w:gridSpan w:val="2"/>
            <w:shd w:val="clear" w:color="auto" w:fill="FBD4B4" w:themeFill="accent6" w:themeFillTint="66"/>
            <w:vAlign w:val="center"/>
          </w:tcPr>
          <w:p w14:paraId="17BBADBF" w14:textId="20C2BFD5" w:rsidR="004D65B3" w:rsidRPr="00EE6892" w:rsidRDefault="00BC6E92" w:rsidP="0000064D">
            <w:pPr>
              <w:spacing w:before="0" w:line="240" w:lineRule="auto"/>
              <w:jc w:val="center"/>
              <w:rPr>
                <w:rFonts w:asciiTheme="majorHAnsi" w:hAnsiTheme="majorHAnsi"/>
                <w:b/>
                <w:sz w:val="20"/>
                <w:szCs w:val="20"/>
              </w:rPr>
            </w:pPr>
            <w:r>
              <w:rPr>
                <w:rFonts w:asciiTheme="majorHAnsi" w:hAnsiTheme="majorHAnsi"/>
                <w:b/>
                <w:sz w:val="20"/>
                <w:szCs w:val="20"/>
              </w:rPr>
              <w:t>15</w:t>
            </w:r>
          </w:p>
        </w:tc>
        <w:tc>
          <w:tcPr>
            <w:tcW w:w="1978" w:type="pct"/>
            <w:gridSpan w:val="2"/>
            <w:shd w:val="clear" w:color="auto" w:fill="FBD4B4" w:themeFill="accent6" w:themeFillTint="66"/>
            <w:vAlign w:val="center"/>
          </w:tcPr>
          <w:p w14:paraId="16053083" w14:textId="77777777" w:rsidR="004D65B3" w:rsidRPr="00EE6892" w:rsidRDefault="004D65B3" w:rsidP="0000064D">
            <w:pPr>
              <w:spacing w:before="0" w:line="240" w:lineRule="auto"/>
              <w:rPr>
                <w:rFonts w:asciiTheme="majorHAnsi" w:hAnsiTheme="majorHAnsi"/>
                <w:sz w:val="20"/>
                <w:szCs w:val="20"/>
              </w:rPr>
            </w:pPr>
            <w:r w:rsidRPr="00EE6892">
              <w:rPr>
                <w:rFonts w:asciiTheme="majorHAnsi" w:hAnsiTheme="majorHAnsi"/>
                <w:sz w:val="20"/>
                <w:szCs w:val="20"/>
              </w:rPr>
              <w:t>Grande vazamento de óleo combustível devido à ruptura do tanque de estocagem da embarcação de apoio com espalhamento de óleo para áreas adjacentes e consequente derrame para o mar.</w:t>
            </w:r>
          </w:p>
        </w:tc>
        <w:tc>
          <w:tcPr>
            <w:tcW w:w="811" w:type="pct"/>
            <w:shd w:val="clear" w:color="auto" w:fill="FBD4B4" w:themeFill="accent6" w:themeFillTint="66"/>
            <w:vAlign w:val="center"/>
          </w:tcPr>
          <w:p w14:paraId="6022C6F0"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Óleo Diesel</w:t>
            </w:r>
          </w:p>
        </w:tc>
        <w:tc>
          <w:tcPr>
            <w:tcW w:w="660" w:type="pct"/>
            <w:shd w:val="clear" w:color="auto" w:fill="FBD4B4" w:themeFill="accent6" w:themeFillTint="66"/>
            <w:vAlign w:val="center"/>
          </w:tcPr>
          <w:p w14:paraId="3136CB9E"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Entre 200 e 204 m³</w:t>
            </w:r>
          </w:p>
        </w:tc>
        <w:tc>
          <w:tcPr>
            <w:tcW w:w="608" w:type="pct"/>
            <w:shd w:val="clear" w:color="auto" w:fill="FBD4B4" w:themeFill="accent6" w:themeFillTint="66"/>
            <w:vAlign w:val="center"/>
          </w:tcPr>
          <w:p w14:paraId="1E2E2B7E"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Instantâneo ou Contínuo</w:t>
            </w:r>
          </w:p>
        </w:tc>
        <w:tc>
          <w:tcPr>
            <w:tcW w:w="592" w:type="pct"/>
            <w:shd w:val="clear" w:color="auto" w:fill="FBD4B4" w:themeFill="accent6" w:themeFillTint="66"/>
            <w:vAlign w:val="center"/>
          </w:tcPr>
          <w:p w14:paraId="6C473200"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C22B12" w:rsidRPr="00EE6892" w14:paraId="575578D8" w14:textId="77777777" w:rsidTr="00C22B12">
        <w:trPr>
          <w:cantSplit/>
        </w:trPr>
        <w:tc>
          <w:tcPr>
            <w:tcW w:w="351" w:type="pct"/>
            <w:gridSpan w:val="2"/>
            <w:shd w:val="clear" w:color="auto" w:fill="F2F2F2" w:themeFill="background1" w:themeFillShade="F2"/>
            <w:vAlign w:val="center"/>
          </w:tcPr>
          <w:p w14:paraId="6505EFB4" w14:textId="70DB6901" w:rsidR="00C22B12" w:rsidRPr="00EE6892" w:rsidRDefault="00C22B12" w:rsidP="0000064D">
            <w:pPr>
              <w:spacing w:before="0" w:line="240" w:lineRule="auto"/>
              <w:jc w:val="center"/>
              <w:rPr>
                <w:rFonts w:asciiTheme="majorHAnsi" w:hAnsiTheme="majorHAnsi"/>
                <w:b/>
                <w:sz w:val="20"/>
                <w:szCs w:val="20"/>
              </w:rPr>
            </w:pPr>
            <w:r>
              <w:rPr>
                <w:rFonts w:asciiTheme="majorHAnsi" w:hAnsiTheme="majorHAnsi"/>
                <w:b/>
                <w:sz w:val="20"/>
                <w:szCs w:val="20"/>
              </w:rPr>
              <w:t>17</w:t>
            </w:r>
          </w:p>
        </w:tc>
        <w:tc>
          <w:tcPr>
            <w:tcW w:w="1978" w:type="pct"/>
            <w:gridSpan w:val="2"/>
            <w:shd w:val="clear" w:color="auto" w:fill="F2F2F2" w:themeFill="background1" w:themeFillShade="F2"/>
            <w:vAlign w:val="center"/>
          </w:tcPr>
          <w:p w14:paraId="2FC9B212" w14:textId="2C583B02" w:rsidR="00C22B12" w:rsidRPr="00EE6892" w:rsidRDefault="00C22B12" w:rsidP="0000064D">
            <w:pPr>
              <w:spacing w:before="0" w:line="240" w:lineRule="auto"/>
              <w:rPr>
                <w:rFonts w:asciiTheme="majorHAnsi" w:hAnsiTheme="majorHAnsi"/>
                <w:sz w:val="20"/>
                <w:szCs w:val="20"/>
              </w:rPr>
            </w:pPr>
            <w:r w:rsidRPr="00EE6892">
              <w:rPr>
                <w:rFonts w:asciiTheme="majorHAnsi" w:hAnsiTheme="majorHAnsi"/>
                <w:sz w:val="20"/>
                <w:szCs w:val="20"/>
              </w:rPr>
              <w:t>Pequeno vazamento de efluentes oleosos/água oleosa devido a furos, trincas ou falhas de vedação em tanques, linhas e/ou acessórios do sistema de separação de água oleosa.</w:t>
            </w:r>
          </w:p>
        </w:tc>
        <w:tc>
          <w:tcPr>
            <w:tcW w:w="811" w:type="pct"/>
            <w:shd w:val="clear" w:color="auto" w:fill="F2F2F2" w:themeFill="background1" w:themeFillShade="F2"/>
            <w:vAlign w:val="center"/>
          </w:tcPr>
          <w:p w14:paraId="67C122AB" w14:textId="4FDC87EE" w:rsidR="00C22B12" w:rsidRPr="00EE6892" w:rsidRDefault="00C22B12" w:rsidP="0000064D">
            <w:pPr>
              <w:spacing w:before="0" w:line="240" w:lineRule="auto"/>
              <w:jc w:val="center"/>
              <w:rPr>
                <w:rFonts w:asciiTheme="majorHAnsi" w:hAnsiTheme="majorHAnsi"/>
                <w:sz w:val="20"/>
                <w:szCs w:val="20"/>
              </w:rPr>
            </w:pPr>
            <w:r w:rsidRPr="00EE6892">
              <w:rPr>
                <w:rFonts w:asciiTheme="majorHAnsi" w:hAnsiTheme="majorHAnsi"/>
                <w:sz w:val="20"/>
                <w:szCs w:val="20"/>
              </w:rPr>
              <w:t>Efluentes Oleosos</w:t>
            </w:r>
          </w:p>
        </w:tc>
        <w:tc>
          <w:tcPr>
            <w:tcW w:w="660" w:type="pct"/>
            <w:shd w:val="clear" w:color="auto" w:fill="F2F2F2" w:themeFill="background1" w:themeFillShade="F2"/>
            <w:vAlign w:val="center"/>
          </w:tcPr>
          <w:p w14:paraId="775BFAEB" w14:textId="5A5784E2" w:rsidR="00C22B12" w:rsidRPr="00EE6892" w:rsidRDefault="00C22B12" w:rsidP="0000064D">
            <w:pPr>
              <w:spacing w:before="0" w:line="240" w:lineRule="auto"/>
              <w:jc w:val="center"/>
              <w:rPr>
                <w:rFonts w:asciiTheme="majorHAnsi" w:hAnsiTheme="majorHAnsi"/>
                <w:sz w:val="20"/>
                <w:szCs w:val="20"/>
              </w:rPr>
            </w:pPr>
            <w:r w:rsidRPr="00EE6892">
              <w:rPr>
                <w:rFonts w:asciiTheme="majorHAnsi" w:hAnsiTheme="majorHAnsi"/>
                <w:sz w:val="20"/>
                <w:szCs w:val="20"/>
              </w:rPr>
              <w:t>Até 8 m³</w:t>
            </w:r>
          </w:p>
        </w:tc>
        <w:tc>
          <w:tcPr>
            <w:tcW w:w="608" w:type="pct"/>
            <w:shd w:val="clear" w:color="auto" w:fill="F2F2F2" w:themeFill="background1" w:themeFillShade="F2"/>
            <w:vAlign w:val="center"/>
          </w:tcPr>
          <w:p w14:paraId="1EB612CB" w14:textId="6A91C09E" w:rsidR="00C22B12" w:rsidRPr="00EE6892" w:rsidRDefault="00C22B12" w:rsidP="0000064D">
            <w:pPr>
              <w:spacing w:before="0" w:line="240" w:lineRule="auto"/>
              <w:jc w:val="center"/>
              <w:rPr>
                <w:rFonts w:asciiTheme="majorHAnsi" w:hAnsiTheme="majorHAnsi"/>
                <w:sz w:val="20"/>
                <w:szCs w:val="20"/>
              </w:rPr>
            </w:pPr>
            <w:r w:rsidRPr="00EE6892">
              <w:rPr>
                <w:rFonts w:asciiTheme="majorHAnsi" w:hAnsiTheme="majorHAnsi"/>
                <w:sz w:val="20"/>
                <w:szCs w:val="20"/>
              </w:rPr>
              <w:t>Contínuo</w:t>
            </w:r>
          </w:p>
        </w:tc>
        <w:tc>
          <w:tcPr>
            <w:tcW w:w="592" w:type="pct"/>
            <w:shd w:val="clear" w:color="auto" w:fill="F2F2F2" w:themeFill="background1" w:themeFillShade="F2"/>
            <w:vAlign w:val="center"/>
          </w:tcPr>
          <w:p w14:paraId="49FBAE2B" w14:textId="717AB73D" w:rsidR="00C22B12" w:rsidRPr="00EE6892" w:rsidRDefault="00C22B12" w:rsidP="0000064D">
            <w:pPr>
              <w:spacing w:before="0" w:line="240" w:lineRule="auto"/>
              <w:jc w:val="center"/>
              <w:rPr>
                <w:rFonts w:asciiTheme="majorHAnsi" w:hAnsiTheme="majorHAnsi"/>
                <w:sz w:val="20"/>
                <w:szCs w:val="20"/>
              </w:rPr>
            </w:pPr>
            <w:r>
              <w:rPr>
                <w:rFonts w:asciiTheme="majorHAnsi" w:hAnsiTheme="majorHAnsi"/>
                <w:sz w:val="20"/>
                <w:szCs w:val="20"/>
              </w:rPr>
              <w:t>Não</w:t>
            </w:r>
          </w:p>
        </w:tc>
      </w:tr>
      <w:tr w:rsidR="00C22B12" w:rsidRPr="00EE6892" w14:paraId="1D27F906" w14:textId="77777777" w:rsidTr="00F854BD">
        <w:trPr>
          <w:cantSplit/>
        </w:trPr>
        <w:tc>
          <w:tcPr>
            <w:tcW w:w="351" w:type="pct"/>
            <w:gridSpan w:val="2"/>
            <w:shd w:val="clear" w:color="auto" w:fill="FBD4B4" w:themeFill="accent6" w:themeFillTint="66"/>
            <w:vAlign w:val="center"/>
          </w:tcPr>
          <w:p w14:paraId="3ACF6A68" w14:textId="7D434E7B" w:rsidR="00C22B12" w:rsidRPr="00EE6892" w:rsidRDefault="00F854BD" w:rsidP="0000064D">
            <w:pPr>
              <w:spacing w:before="0" w:line="240" w:lineRule="auto"/>
              <w:jc w:val="center"/>
              <w:rPr>
                <w:rFonts w:asciiTheme="majorHAnsi" w:hAnsiTheme="majorHAnsi"/>
                <w:b/>
                <w:sz w:val="20"/>
                <w:szCs w:val="20"/>
              </w:rPr>
            </w:pPr>
            <w:r>
              <w:rPr>
                <w:rFonts w:asciiTheme="majorHAnsi" w:hAnsiTheme="majorHAnsi"/>
                <w:b/>
                <w:sz w:val="20"/>
                <w:szCs w:val="20"/>
              </w:rPr>
              <w:t>27</w:t>
            </w:r>
          </w:p>
        </w:tc>
        <w:tc>
          <w:tcPr>
            <w:tcW w:w="1978" w:type="pct"/>
            <w:gridSpan w:val="2"/>
            <w:shd w:val="clear" w:color="auto" w:fill="FBD4B4" w:themeFill="accent6" w:themeFillTint="66"/>
            <w:vAlign w:val="center"/>
          </w:tcPr>
          <w:p w14:paraId="4231DAC5" w14:textId="77777777" w:rsidR="00C22B12" w:rsidRPr="00EE6892" w:rsidRDefault="00C22B12" w:rsidP="0000064D">
            <w:pPr>
              <w:spacing w:before="0" w:line="240" w:lineRule="auto"/>
              <w:rPr>
                <w:rFonts w:asciiTheme="majorHAnsi" w:hAnsiTheme="majorHAnsi"/>
                <w:sz w:val="20"/>
                <w:szCs w:val="20"/>
              </w:rPr>
            </w:pPr>
            <w:r w:rsidRPr="00EE6892">
              <w:rPr>
                <w:rFonts w:asciiTheme="majorHAnsi" w:hAnsiTheme="majorHAnsi"/>
                <w:sz w:val="20"/>
                <w:szCs w:val="20"/>
              </w:rPr>
              <w:t>Grande vazamento de óleo e/ou produtos químicos devido à perda de estabilidade da embarcação de apoio resultando em seu afundamento.</w:t>
            </w:r>
          </w:p>
        </w:tc>
        <w:tc>
          <w:tcPr>
            <w:tcW w:w="811" w:type="pct"/>
            <w:shd w:val="clear" w:color="auto" w:fill="FBD4B4" w:themeFill="accent6" w:themeFillTint="66"/>
            <w:vAlign w:val="center"/>
          </w:tcPr>
          <w:p w14:paraId="0DA290E2" w14:textId="77777777" w:rsidR="00C22B12" w:rsidRPr="00EE6892" w:rsidRDefault="00C22B12" w:rsidP="0000064D">
            <w:pPr>
              <w:spacing w:before="0" w:line="240" w:lineRule="auto"/>
              <w:jc w:val="center"/>
              <w:rPr>
                <w:rFonts w:asciiTheme="majorHAnsi" w:hAnsiTheme="majorHAnsi"/>
                <w:sz w:val="20"/>
                <w:szCs w:val="20"/>
              </w:rPr>
            </w:pPr>
            <w:r w:rsidRPr="00EE6892">
              <w:rPr>
                <w:rFonts w:asciiTheme="majorHAnsi" w:hAnsiTheme="majorHAnsi"/>
                <w:sz w:val="20"/>
                <w:szCs w:val="20"/>
              </w:rPr>
              <w:t>Óleo Diesel</w:t>
            </w:r>
          </w:p>
        </w:tc>
        <w:tc>
          <w:tcPr>
            <w:tcW w:w="660" w:type="pct"/>
            <w:shd w:val="clear" w:color="auto" w:fill="FBD4B4" w:themeFill="accent6" w:themeFillTint="66"/>
            <w:vAlign w:val="center"/>
          </w:tcPr>
          <w:p w14:paraId="309CF55C" w14:textId="42CCEA96" w:rsidR="00C22B12" w:rsidRPr="00EE6892" w:rsidRDefault="00C22B12" w:rsidP="00F854BD">
            <w:pPr>
              <w:spacing w:before="0" w:line="240" w:lineRule="auto"/>
              <w:jc w:val="center"/>
              <w:rPr>
                <w:rFonts w:asciiTheme="majorHAnsi" w:hAnsiTheme="majorHAnsi"/>
                <w:sz w:val="20"/>
                <w:szCs w:val="20"/>
              </w:rPr>
            </w:pPr>
            <w:r w:rsidRPr="00EE6892">
              <w:rPr>
                <w:rFonts w:asciiTheme="majorHAnsi" w:hAnsiTheme="majorHAnsi"/>
                <w:sz w:val="20"/>
                <w:szCs w:val="20"/>
              </w:rPr>
              <w:t>Até</w:t>
            </w:r>
            <w:r w:rsidR="00F854BD">
              <w:rPr>
                <w:rFonts w:asciiTheme="majorHAnsi" w:hAnsiTheme="majorHAnsi"/>
                <w:sz w:val="20"/>
                <w:szCs w:val="20"/>
              </w:rPr>
              <w:t xml:space="preserve"> </w:t>
            </w:r>
            <w:r w:rsidR="00A32D88" w:rsidRPr="00D80C93">
              <w:rPr>
                <w:rFonts w:asciiTheme="majorHAnsi" w:hAnsiTheme="majorHAnsi"/>
                <w:sz w:val="20"/>
                <w:szCs w:val="20"/>
                <w:highlight w:val="darkGray"/>
              </w:rPr>
              <w:t>1.</w:t>
            </w:r>
            <w:r w:rsidR="00F854BD" w:rsidRPr="00D80C93">
              <w:rPr>
                <w:rFonts w:asciiTheme="majorHAnsi" w:hAnsiTheme="majorHAnsi"/>
                <w:sz w:val="20"/>
                <w:szCs w:val="20"/>
                <w:highlight w:val="darkGray"/>
              </w:rPr>
              <w:t>9</w:t>
            </w:r>
            <w:r w:rsidRPr="00D80C93">
              <w:rPr>
                <w:rFonts w:asciiTheme="majorHAnsi" w:hAnsiTheme="majorHAnsi"/>
                <w:sz w:val="20"/>
                <w:szCs w:val="20"/>
                <w:highlight w:val="darkGray"/>
              </w:rPr>
              <w:t>00</w:t>
            </w:r>
            <w:r w:rsidRPr="00EE6892">
              <w:rPr>
                <w:rFonts w:asciiTheme="majorHAnsi" w:hAnsiTheme="majorHAnsi"/>
                <w:sz w:val="20"/>
                <w:szCs w:val="20"/>
              </w:rPr>
              <w:t xml:space="preserve"> m³</w:t>
            </w:r>
          </w:p>
        </w:tc>
        <w:tc>
          <w:tcPr>
            <w:tcW w:w="608" w:type="pct"/>
            <w:shd w:val="clear" w:color="auto" w:fill="FBD4B4" w:themeFill="accent6" w:themeFillTint="66"/>
            <w:vAlign w:val="center"/>
          </w:tcPr>
          <w:p w14:paraId="107D9A4C" w14:textId="77777777" w:rsidR="00C22B12" w:rsidRPr="00EE6892" w:rsidRDefault="00C22B12" w:rsidP="0000064D">
            <w:pPr>
              <w:spacing w:before="0" w:line="240" w:lineRule="auto"/>
              <w:jc w:val="center"/>
              <w:rPr>
                <w:rFonts w:asciiTheme="majorHAnsi" w:hAnsiTheme="majorHAnsi"/>
                <w:sz w:val="20"/>
                <w:szCs w:val="20"/>
              </w:rPr>
            </w:pPr>
            <w:r w:rsidRPr="00EE6892">
              <w:rPr>
                <w:rFonts w:asciiTheme="majorHAnsi" w:hAnsiTheme="majorHAnsi"/>
                <w:sz w:val="20"/>
                <w:szCs w:val="20"/>
              </w:rPr>
              <w:t>Instantâneo ou Contínuo</w:t>
            </w:r>
          </w:p>
        </w:tc>
        <w:tc>
          <w:tcPr>
            <w:tcW w:w="592" w:type="pct"/>
            <w:shd w:val="clear" w:color="auto" w:fill="FBD4B4" w:themeFill="accent6" w:themeFillTint="66"/>
            <w:vAlign w:val="center"/>
          </w:tcPr>
          <w:p w14:paraId="3D952136" w14:textId="77777777" w:rsidR="00C22B12" w:rsidRPr="00EE6892" w:rsidRDefault="00C22B12" w:rsidP="0000064D">
            <w:pPr>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C22B12" w:rsidRPr="00EE6892" w14:paraId="244E7A53" w14:textId="77777777" w:rsidTr="0000064D">
        <w:trPr>
          <w:cantSplit/>
          <w:trHeight w:val="340"/>
        </w:trPr>
        <w:tc>
          <w:tcPr>
            <w:tcW w:w="5000" w:type="pct"/>
            <w:gridSpan w:val="8"/>
            <w:shd w:val="clear" w:color="auto" w:fill="A6A6A6" w:themeFill="background1" w:themeFillShade="A6"/>
            <w:vAlign w:val="center"/>
          </w:tcPr>
          <w:p w14:paraId="21891DF1" w14:textId="77777777" w:rsidR="00C22B12" w:rsidRPr="00EE6892" w:rsidRDefault="00C22B12" w:rsidP="0000064D">
            <w:pPr>
              <w:keepNext/>
              <w:keepLines/>
              <w:spacing w:before="0" w:line="240" w:lineRule="auto"/>
              <w:rPr>
                <w:rFonts w:asciiTheme="majorHAnsi" w:hAnsiTheme="majorHAnsi"/>
                <w:sz w:val="20"/>
                <w:szCs w:val="20"/>
              </w:rPr>
            </w:pPr>
            <w:r w:rsidRPr="00EE6892">
              <w:rPr>
                <w:rFonts w:asciiTheme="majorHAnsi" w:hAnsiTheme="majorHAnsi"/>
                <w:b/>
                <w:sz w:val="20"/>
                <w:szCs w:val="20"/>
              </w:rPr>
              <w:t>Cenários relacionados à transferência de produtos oleosos</w:t>
            </w:r>
          </w:p>
        </w:tc>
      </w:tr>
      <w:tr w:rsidR="00C22B12" w:rsidRPr="00EE6892" w14:paraId="0409DAD7" w14:textId="77777777" w:rsidTr="00BC6E92">
        <w:trPr>
          <w:cantSplit/>
        </w:trPr>
        <w:tc>
          <w:tcPr>
            <w:tcW w:w="351" w:type="pct"/>
            <w:gridSpan w:val="2"/>
            <w:shd w:val="clear" w:color="auto" w:fill="F2F2F2" w:themeFill="background1" w:themeFillShade="F2"/>
            <w:vAlign w:val="center"/>
          </w:tcPr>
          <w:p w14:paraId="71B77879" w14:textId="231E3F00" w:rsidR="00C22B12" w:rsidRPr="00EE6892" w:rsidRDefault="00C22B12" w:rsidP="0000064D">
            <w:pPr>
              <w:keepNext/>
              <w:keepLines/>
              <w:spacing w:before="0" w:line="240" w:lineRule="auto"/>
              <w:jc w:val="center"/>
              <w:rPr>
                <w:rFonts w:asciiTheme="majorHAnsi" w:hAnsiTheme="majorHAnsi"/>
                <w:b/>
                <w:sz w:val="20"/>
                <w:szCs w:val="20"/>
              </w:rPr>
            </w:pPr>
            <w:r>
              <w:rPr>
                <w:rFonts w:asciiTheme="majorHAnsi" w:hAnsiTheme="majorHAnsi"/>
                <w:b/>
                <w:sz w:val="20"/>
                <w:szCs w:val="20"/>
              </w:rPr>
              <w:t>04</w:t>
            </w:r>
          </w:p>
        </w:tc>
        <w:tc>
          <w:tcPr>
            <w:tcW w:w="1978" w:type="pct"/>
            <w:gridSpan w:val="2"/>
            <w:shd w:val="clear" w:color="auto" w:fill="F2F2F2" w:themeFill="background1" w:themeFillShade="F2"/>
            <w:vAlign w:val="center"/>
          </w:tcPr>
          <w:p w14:paraId="2695AE3F" w14:textId="5A63B6C5" w:rsidR="00C22B12" w:rsidRPr="00EE6892" w:rsidRDefault="00C22B12" w:rsidP="0000064D">
            <w:pPr>
              <w:keepNext/>
              <w:keepLines/>
              <w:spacing w:before="0" w:line="240" w:lineRule="auto"/>
              <w:rPr>
                <w:rFonts w:asciiTheme="majorHAnsi" w:hAnsiTheme="majorHAnsi"/>
                <w:sz w:val="20"/>
                <w:szCs w:val="20"/>
              </w:rPr>
            </w:pPr>
            <w:r w:rsidRPr="00915A5A">
              <w:rPr>
                <w:rFonts w:ascii="Times New Roman" w:hAnsi="Times New Roman" w:cs="Times New Roman"/>
                <w:sz w:val="20"/>
                <w:szCs w:val="20"/>
              </w:rPr>
              <w:t>Pequeno vazamento de fluido</w:t>
            </w:r>
            <w:r>
              <w:rPr>
                <w:rFonts w:ascii="Times New Roman" w:hAnsi="Times New Roman" w:cs="Times New Roman"/>
                <w:sz w:val="20"/>
                <w:szCs w:val="20"/>
              </w:rPr>
              <w:t xml:space="preserve"> </w:t>
            </w:r>
            <w:r w:rsidRPr="00915A5A">
              <w:rPr>
                <w:rFonts w:ascii="Times New Roman" w:hAnsi="Times New Roman" w:cs="Times New Roman"/>
                <w:sz w:val="20"/>
                <w:szCs w:val="20"/>
              </w:rPr>
              <w:t>de perfuração devido a furos,</w:t>
            </w:r>
            <w:r>
              <w:rPr>
                <w:rFonts w:ascii="Times New Roman" w:hAnsi="Times New Roman" w:cs="Times New Roman"/>
                <w:sz w:val="20"/>
                <w:szCs w:val="20"/>
              </w:rPr>
              <w:t xml:space="preserve"> </w:t>
            </w:r>
            <w:r w:rsidRPr="00915A5A">
              <w:rPr>
                <w:rFonts w:ascii="Times New Roman" w:hAnsi="Times New Roman" w:cs="Times New Roman"/>
                <w:sz w:val="20"/>
                <w:szCs w:val="20"/>
              </w:rPr>
              <w:t>trincas e falhas de vedação na</w:t>
            </w:r>
            <w:r>
              <w:rPr>
                <w:rFonts w:ascii="Times New Roman" w:hAnsi="Times New Roman" w:cs="Times New Roman"/>
                <w:sz w:val="20"/>
                <w:szCs w:val="20"/>
              </w:rPr>
              <w:t xml:space="preserve"> </w:t>
            </w:r>
            <w:r w:rsidRPr="00915A5A">
              <w:rPr>
                <w:rFonts w:ascii="Times New Roman" w:hAnsi="Times New Roman" w:cs="Times New Roman"/>
                <w:sz w:val="20"/>
                <w:szCs w:val="20"/>
              </w:rPr>
              <w:t>tubulação de transferência</w:t>
            </w:r>
            <w:r>
              <w:rPr>
                <w:rFonts w:ascii="Times New Roman" w:hAnsi="Times New Roman" w:cs="Times New Roman"/>
                <w:sz w:val="20"/>
                <w:szCs w:val="20"/>
              </w:rPr>
              <w:t xml:space="preserve"> </w:t>
            </w:r>
            <w:r w:rsidRPr="00915A5A">
              <w:rPr>
                <w:rFonts w:ascii="Times New Roman" w:hAnsi="Times New Roman" w:cs="Times New Roman"/>
                <w:sz w:val="20"/>
                <w:szCs w:val="20"/>
              </w:rPr>
              <w:t>com espalhamento de fluido</w:t>
            </w:r>
            <w:r>
              <w:rPr>
                <w:rFonts w:ascii="Times New Roman" w:hAnsi="Times New Roman" w:cs="Times New Roman"/>
                <w:sz w:val="20"/>
                <w:szCs w:val="20"/>
              </w:rPr>
              <w:t xml:space="preserve"> </w:t>
            </w:r>
            <w:r w:rsidRPr="00915A5A">
              <w:rPr>
                <w:rFonts w:ascii="Times New Roman" w:hAnsi="Times New Roman" w:cs="Times New Roman"/>
                <w:sz w:val="20"/>
                <w:szCs w:val="20"/>
              </w:rPr>
              <w:t>por áreas adjacentes.</w:t>
            </w:r>
          </w:p>
        </w:tc>
        <w:tc>
          <w:tcPr>
            <w:tcW w:w="811" w:type="pct"/>
            <w:shd w:val="clear" w:color="auto" w:fill="F2F2F2" w:themeFill="background1" w:themeFillShade="F2"/>
            <w:vAlign w:val="center"/>
          </w:tcPr>
          <w:p w14:paraId="574A7D21" w14:textId="3E678041" w:rsidR="00C22B12" w:rsidRPr="00EE6892" w:rsidRDefault="00C22B12" w:rsidP="0000064D">
            <w:pPr>
              <w:keepNext/>
              <w:keepLines/>
              <w:spacing w:before="0" w:line="240" w:lineRule="auto"/>
              <w:jc w:val="center"/>
              <w:rPr>
                <w:rFonts w:asciiTheme="majorHAnsi" w:hAnsiTheme="majorHAnsi"/>
                <w:sz w:val="20"/>
                <w:szCs w:val="20"/>
              </w:rPr>
            </w:pPr>
            <w:r w:rsidRPr="00EE6892">
              <w:rPr>
                <w:rFonts w:asciiTheme="majorHAnsi" w:hAnsiTheme="majorHAnsi"/>
                <w:sz w:val="20"/>
                <w:szCs w:val="20"/>
              </w:rPr>
              <w:t>Fluido de Perfuração de base não aquosa</w:t>
            </w:r>
          </w:p>
        </w:tc>
        <w:tc>
          <w:tcPr>
            <w:tcW w:w="660" w:type="pct"/>
            <w:shd w:val="clear" w:color="auto" w:fill="F2F2F2" w:themeFill="background1" w:themeFillShade="F2"/>
            <w:vAlign w:val="center"/>
          </w:tcPr>
          <w:p w14:paraId="5FAF3773" w14:textId="23B00B8A" w:rsidR="00C22B12" w:rsidRPr="00EE6892" w:rsidRDefault="00C22B12" w:rsidP="0000064D">
            <w:pPr>
              <w:keepNext/>
              <w:keepLines/>
              <w:spacing w:before="0" w:line="240" w:lineRule="auto"/>
              <w:jc w:val="center"/>
              <w:rPr>
                <w:rFonts w:asciiTheme="majorHAnsi" w:hAnsiTheme="majorHAnsi"/>
                <w:sz w:val="20"/>
                <w:szCs w:val="20"/>
              </w:rPr>
            </w:pPr>
            <w:r w:rsidRPr="00EE6892">
              <w:rPr>
                <w:rFonts w:asciiTheme="majorHAnsi" w:hAnsiTheme="majorHAnsi"/>
                <w:sz w:val="20"/>
                <w:szCs w:val="20"/>
              </w:rPr>
              <w:t>Até 8 m³</w:t>
            </w:r>
          </w:p>
        </w:tc>
        <w:tc>
          <w:tcPr>
            <w:tcW w:w="608" w:type="pct"/>
            <w:shd w:val="clear" w:color="auto" w:fill="F2F2F2" w:themeFill="background1" w:themeFillShade="F2"/>
            <w:vAlign w:val="center"/>
          </w:tcPr>
          <w:p w14:paraId="5FEF1629" w14:textId="33B78360" w:rsidR="00C22B12" w:rsidRPr="00EE6892" w:rsidRDefault="00C22B12" w:rsidP="0000064D">
            <w:pPr>
              <w:keepNext/>
              <w:keepLines/>
              <w:spacing w:before="0" w:line="240" w:lineRule="auto"/>
              <w:jc w:val="center"/>
              <w:rPr>
                <w:rFonts w:asciiTheme="majorHAnsi" w:hAnsiTheme="majorHAnsi"/>
                <w:sz w:val="20"/>
                <w:szCs w:val="20"/>
              </w:rPr>
            </w:pPr>
            <w:r w:rsidRPr="00EE6892">
              <w:rPr>
                <w:rFonts w:asciiTheme="majorHAnsi" w:hAnsiTheme="majorHAnsi"/>
                <w:sz w:val="20"/>
                <w:szCs w:val="20"/>
              </w:rPr>
              <w:t>Contínuo</w:t>
            </w:r>
          </w:p>
        </w:tc>
        <w:tc>
          <w:tcPr>
            <w:tcW w:w="592" w:type="pct"/>
            <w:shd w:val="clear" w:color="auto" w:fill="F2F2F2" w:themeFill="background1" w:themeFillShade="F2"/>
            <w:vAlign w:val="center"/>
          </w:tcPr>
          <w:p w14:paraId="7232057F" w14:textId="2237D657" w:rsidR="00C22B12" w:rsidRPr="00EE6892" w:rsidRDefault="00C22B12" w:rsidP="0000064D">
            <w:pPr>
              <w:keepNext/>
              <w:keepLines/>
              <w:spacing w:before="0" w:line="240" w:lineRule="auto"/>
              <w:jc w:val="center"/>
              <w:rPr>
                <w:rFonts w:asciiTheme="majorHAnsi" w:hAnsiTheme="majorHAnsi"/>
                <w:sz w:val="20"/>
                <w:szCs w:val="20"/>
              </w:rPr>
            </w:pPr>
            <w:r w:rsidRPr="00EE6892">
              <w:rPr>
                <w:rFonts w:asciiTheme="majorHAnsi" w:hAnsiTheme="majorHAnsi"/>
                <w:sz w:val="20"/>
                <w:szCs w:val="20"/>
              </w:rPr>
              <w:t>Não</w:t>
            </w:r>
          </w:p>
        </w:tc>
      </w:tr>
      <w:tr w:rsidR="00C22B12" w:rsidRPr="00EE6892" w14:paraId="7C366391" w14:textId="77777777" w:rsidTr="00C22B12">
        <w:trPr>
          <w:cantSplit/>
        </w:trPr>
        <w:tc>
          <w:tcPr>
            <w:tcW w:w="351" w:type="pct"/>
            <w:gridSpan w:val="2"/>
            <w:shd w:val="clear" w:color="auto" w:fill="FBD4B4" w:themeFill="accent6" w:themeFillTint="66"/>
            <w:vAlign w:val="center"/>
          </w:tcPr>
          <w:p w14:paraId="6C51C73F" w14:textId="4D96BF24" w:rsidR="00C22B12" w:rsidRPr="00EE6892" w:rsidRDefault="00C22B12" w:rsidP="0000064D">
            <w:pPr>
              <w:spacing w:before="0" w:line="240" w:lineRule="auto"/>
              <w:jc w:val="center"/>
              <w:rPr>
                <w:rFonts w:asciiTheme="majorHAnsi" w:hAnsiTheme="majorHAnsi"/>
                <w:b/>
                <w:sz w:val="20"/>
                <w:szCs w:val="20"/>
              </w:rPr>
            </w:pPr>
            <w:r>
              <w:rPr>
                <w:rFonts w:asciiTheme="majorHAnsi" w:hAnsiTheme="majorHAnsi"/>
                <w:b/>
                <w:sz w:val="20"/>
                <w:szCs w:val="20"/>
              </w:rPr>
              <w:t>16</w:t>
            </w:r>
          </w:p>
        </w:tc>
        <w:tc>
          <w:tcPr>
            <w:tcW w:w="1978" w:type="pct"/>
            <w:gridSpan w:val="2"/>
            <w:shd w:val="clear" w:color="auto" w:fill="FBD4B4" w:themeFill="accent6" w:themeFillTint="66"/>
            <w:vAlign w:val="center"/>
          </w:tcPr>
          <w:p w14:paraId="70BE50F8" w14:textId="1EAC70E0" w:rsidR="00C22B12" w:rsidRPr="00C22B12" w:rsidRDefault="00C22B12" w:rsidP="00C22B12">
            <w:pPr>
              <w:autoSpaceDE w:val="0"/>
              <w:autoSpaceDN w:val="0"/>
              <w:adjustRightInd w:val="0"/>
              <w:spacing w:before="0" w:line="240" w:lineRule="auto"/>
              <w:jc w:val="left"/>
              <w:rPr>
                <w:rFonts w:ascii="Times New Roman" w:hAnsi="Times New Roman" w:cs="Times New Roman"/>
                <w:sz w:val="20"/>
                <w:szCs w:val="20"/>
              </w:rPr>
            </w:pPr>
            <w:r w:rsidRPr="00C22B12">
              <w:rPr>
                <w:rFonts w:ascii="Times New Roman" w:hAnsi="Times New Roman" w:cs="Times New Roman"/>
                <w:sz w:val="20"/>
                <w:szCs w:val="20"/>
              </w:rPr>
              <w:t>Pequeno vazamento de óleo</w:t>
            </w:r>
            <w:r>
              <w:rPr>
                <w:rFonts w:ascii="Times New Roman" w:hAnsi="Times New Roman" w:cs="Times New Roman"/>
                <w:sz w:val="20"/>
                <w:szCs w:val="20"/>
              </w:rPr>
              <w:t xml:space="preserve"> </w:t>
            </w:r>
            <w:r w:rsidRPr="00C22B12">
              <w:rPr>
                <w:rFonts w:ascii="Times New Roman" w:hAnsi="Times New Roman" w:cs="Times New Roman"/>
                <w:sz w:val="20"/>
                <w:szCs w:val="20"/>
              </w:rPr>
              <w:t>combustível devido a</w:t>
            </w:r>
            <w:r>
              <w:rPr>
                <w:rFonts w:ascii="Times New Roman" w:hAnsi="Times New Roman" w:cs="Times New Roman"/>
                <w:sz w:val="20"/>
                <w:szCs w:val="20"/>
              </w:rPr>
              <w:t xml:space="preserve"> </w:t>
            </w:r>
            <w:r w:rsidRPr="00C22B12">
              <w:rPr>
                <w:rFonts w:ascii="Times New Roman" w:hAnsi="Times New Roman" w:cs="Times New Roman"/>
                <w:sz w:val="20"/>
                <w:szCs w:val="20"/>
              </w:rPr>
              <w:t>furo/ruptura, falhas e/ou</w:t>
            </w:r>
            <w:r>
              <w:rPr>
                <w:rFonts w:ascii="Times New Roman" w:hAnsi="Times New Roman" w:cs="Times New Roman"/>
                <w:sz w:val="20"/>
                <w:szCs w:val="20"/>
              </w:rPr>
              <w:t xml:space="preserve"> </w:t>
            </w:r>
            <w:r w:rsidRPr="00C22B12">
              <w:rPr>
                <w:rFonts w:ascii="Times New Roman" w:hAnsi="Times New Roman" w:cs="Times New Roman"/>
                <w:sz w:val="20"/>
                <w:szCs w:val="20"/>
              </w:rPr>
              <w:t>desconexão de componentes</w:t>
            </w:r>
            <w:r>
              <w:rPr>
                <w:rFonts w:ascii="Times New Roman" w:hAnsi="Times New Roman" w:cs="Times New Roman"/>
                <w:sz w:val="20"/>
                <w:szCs w:val="20"/>
              </w:rPr>
              <w:t xml:space="preserve"> </w:t>
            </w:r>
            <w:r w:rsidRPr="00C22B12">
              <w:rPr>
                <w:rFonts w:ascii="Times New Roman" w:hAnsi="Times New Roman" w:cs="Times New Roman"/>
                <w:sz w:val="20"/>
                <w:szCs w:val="20"/>
              </w:rPr>
              <w:t>do sistema de transferência</w:t>
            </w:r>
            <w:r>
              <w:rPr>
                <w:rFonts w:ascii="Times New Roman" w:hAnsi="Times New Roman" w:cs="Times New Roman"/>
                <w:sz w:val="20"/>
                <w:szCs w:val="20"/>
              </w:rPr>
              <w:t xml:space="preserve"> </w:t>
            </w:r>
            <w:r w:rsidRPr="00C22B12">
              <w:rPr>
                <w:rFonts w:ascii="Times New Roman" w:hAnsi="Times New Roman" w:cs="Times New Roman"/>
                <w:sz w:val="20"/>
                <w:szCs w:val="20"/>
              </w:rPr>
              <w:t>(mangotes, válvulas e bomba</w:t>
            </w:r>
            <w:r>
              <w:rPr>
                <w:rFonts w:ascii="Times New Roman" w:hAnsi="Times New Roman" w:cs="Times New Roman"/>
                <w:sz w:val="20"/>
                <w:szCs w:val="20"/>
              </w:rPr>
              <w:t xml:space="preserve"> </w:t>
            </w:r>
            <w:r w:rsidRPr="00C22B12">
              <w:rPr>
                <w:rFonts w:ascii="Times New Roman" w:hAnsi="Times New Roman" w:cs="Times New Roman"/>
                <w:sz w:val="20"/>
                <w:szCs w:val="20"/>
              </w:rPr>
              <w:t>de transferência) com</w:t>
            </w:r>
          </w:p>
          <w:p w14:paraId="1855AF5B" w14:textId="50353640" w:rsidR="00C22B12" w:rsidRPr="00C22B12" w:rsidRDefault="00C22B12" w:rsidP="00C22B12">
            <w:pPr>
              <w:spacing w:before="0" w:line="240" w:lineRule="auto"/>
              <w:rPr>
                <w:rFonts w:asciiTheme="majorHAnsi" w:hAnsiTheme="majorHAnsi"/>
                <w:sz w:val="20"/>
                <w:szCs w:val="20"/>
              </w:rPr>
            </w:pPr>
            <w:r w:rsidRPr="00C22B12">
              <w:rPr>
                <w:rFonts w:ascii="Times New Roman" w:hAnsi="Times New Roman" w:cs="Times New Roman"/>
                <w:sz w:val="20"/>
                <w:szCs w:val="20"/>
              </w:rPr>
              <w:t>liberação de óleo para o mar.</w:t>
            </w:r>
          </w:p>
        </w:tc>
        <w:tc>
          <w:tcPr>
            <w:tcW w:w="811" w:type="pct"/>
            <w:shd w:val="clear" w:color="auto" w:fill="FBD4B4" w:themeFill="accent6" w:themeFillTint="66"/>
            <w:vAlign w:val="center"/>
          </w:tcPr>
          <w:p w14:paraId="2A34E617" w14:textId="7A3A2C10" w:rsidR="00C22B12" w:rsidRPr="00EE6892" w:rsidRDefault="00C22B12" w:rsidP="0000064D">
            <w:pPr>
              <w:spacing w:before="0" w:line="240" w:lineRule="auto"/>
              <w:jc w:val="center"/>
              <w:rPr>
                <w:rFonts w:asciiTheme="majorHAnsi" w:hAnsiTheme="majorHAnsi"/>
                <w:sz w:val="20"/>
                <w:szCs w:val="20"/>
              </w:rPr>
            </w:pPr>
            <w:r w:rsidRPr="00EE6892">
              <w:rPr>
                <w:rFonts w:asciiTheme="majorHAnsi" w:hAnsiTheme="majorHAnsi"/>
                <w:sz w:val="20"/>
                <w:szCs w:val="20"/>
              </w:rPr>
              <w:t>Óleo Diesel</w:t>
            </w:r>
          </w:p>
        </w:tc>
        <w:tc>
          <w:tcPr>
            <w:tcW w:w="660" w:type="pct"/>
            <w:shd w:val="clear" w:color="auto" w:fill="FBD4B4" w:themeFill="accent6" w:themeFillTint="66"/>
            <w:vAlign w:val="center"/>
          </w:tcPr>
          <w:p w14:paraId="4A6BC464" w14:textId="04F90857" w:rsidR="00C22B12" w:rsidRPr="00EE6892" w:rsidRDefault="00C22B12" w:rsidP="00850504">
            <w:pPr>
              <w:spacing w:before="0" w:line="240" w:lineRule="auto"/>
              <w:jc w:val="center"/>
              <w:rPr>
                <w:rFonts w:asciiTheme="majorHAnsi" w:hAnsiTheme="majorHAnsi"/>
                <w:sz w:val="20"/>
                <w:szCs w:val="20"/>
              </w:rPr>
            </w:pPr>
            <w:r w:rsidRPr="00EE6892">
              <w:rPr>
                <w:rFonts w:asciiTheme="majorHAnsi" w:hAnsiTheme="majorHAnsi"/>
                <w:sz w:val="20"/>
                <w:szCs w:val="20"/>
              </w:rPr>
              <w:t xml:space="preserve">Até </w:t>
            </w:r>
            <w:r w:rsidR="00850504">
              <w:rPr>
                <w:rFonts w:asciiTheme="majorHAnsi" w:hAnsiTheme="majorHAnsi"/>
                <w:sz w:val="20"/>
                <w:szCs w:val="20"/>
              </w:rPr>
              <w:t>8</w:t>
            </w:r>
            <w:r w:rsidRPr="00EE6892">
              <w:rPr>
                <w:rFonts w:asciiTheme="majorHAnsi" w:hAnsiTheme="majorHAnsi"/>
                <w:sz w:val="20"/>
                <w:szCs w:val="20"/>
              </w:rPr>
              <w:t xml:space="preserve"> m³</w:t>
            </w:r>
          </w:p>
        </w:tc>
        <w:tc>
          <w:tcPr>
            <w:tcW w:w="608" w:type="pct"/>
            <w:shd w:val="clear" w:color="auto" w:fill="FBD4B4" w:themeFill="accent6" w:themeFillTint="66"/>
            <w:vAlign w:val="center"/>
          </w:tcPr>
          <w:p w14:paraId="235A0779" w14:textId="3ED35356" w:rsidR="00C22B12" w:rsidRPr="00EE6892" w:rsidRDefault="00C22B12" w:rsidP="0000064D">
            <w:pPr>
              <w:spacing w:before="0" w:line="240" w:lineRule="auto"/>
              <w:jc w:val="center"/>
              <w:rPr>
                <w:rFonts w:asciiTheme="majorHAnsi" w:hAnsiTheme="majorHAnsi"/>
                <w:sz w:val="20"/>
                <w:szCs w:val="20"/>
              </w:rPr>
            </w:pPr>
            <w:r w:rsidRPr="00EE6892">
              <w:rPr>
                <w:rFonts w:asciiTheme="majorHAnsi" w:hAnsiTheme="majorHAnsi"/>
                <w:sz w:val="20"/>
                <w:szCs w:val="20"/>
              </w:rPr>
              <w:t>Instantâneo ou Contínuo</w:t>
            </w:r>
          </w:p>
        </w:tc>
        <w:tc>
          <w:tcPr>
            <w:tcW w:w="592" w:type="pct"/>
            <w:shd w:val="clear" w:color="auto" w:fill="FBD4B4" w:themeFill="accent6" w:themeFillTint="66"/>
            <w:vAlign w:val="center"/>
          </w:tcPr>
          <w:p w14:paraId="4FDD69F3" w14:textId="4C30E2A8" w:rsidR="00C22B12" w:rsidRPr="00EE6892" w:rsidRDefault="00C22B12" w:rsidP="0000064D">
            <w:pPr>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C22B12" w:rsidRPr="00EE6892" w14:paraId="7AE30152" w14:textId="77777777" w:rsidTr="00FA1E16">
        <w:trPr>
          <w:cantSplit/>
        </w:trPr>
        <w:tc>
          <w:tcPr>
            <w:tcW w:w="5000" w:type="pct"/>
            <w:gridSpan w:val="8"/>
            <w:shd w:val="clear" w:color="auto" w:fill="FFFFFF" w:themeFill="background1"/>
          </w:tcPr>
          <w:p w14:paraId="4078F1DA" w14:textId="77777777" w:rsidR="00C22B12" w:rsidRPr="00EE6892" w:rsidRDefault="00C22B12" w:rsidP="00FA1E16">
            <w:pPr>
              <w:spacing w:before="0" w:line="240" w:lineRule="auto"/>
              <w:jc w:val="left"/>
              <w:rPr>
                <w:rFonts w:asciiTheme="majorHAnsi" w:hAnsiTheme="majorHAnsi"/>
                <w:b/>
                <w:sz w:val="20"/>
                <w:szCs w:val="20"/>
              </w:rPr>
            </w:pPr>
            <w:r w:rsidRPr="00EE6892">
              <w:rPr>
                <w:rFonts w:asciiTheme="majorHAnsi" w:hAnsiTheme="majorHAnsi"/>
                <w:b/>
                <w:sz w:val="20"/>
                <w:szCs w:val="20"/>
              </w:rPr>
              <w:t xml:space="preserve">Legenda: APR – </w:t>
            </w:r>
            <w:r w:rsidRPr="00EE6892">
              <w:rPr>
                <w:rFonts w:asciiTheme="majorHAnsi" w:hAnsiTheme="majorHAnsi"/>
                <w:sz w:val="20"/>
                <w:szCs w:val="20"/>
              </w:rPr>
              <w:t>Análise Preliminar de Riscos.</w:t>
            </w:r>
          </w:p>
        </w:tc>
      </w:tr>
      <w:tr w:rsidR="00C22B12" w:rsidRPr="00EE6892" w14:paraId="15C55586" w14:textId="77777777" w:rsidTr="0000064D">
        <w:trPr>
          <w:cantSplit/>
          <w:trHeight w:val="340"/>
        </w:trPr>
        <w:tc>
          <w:tcPr>
            <w:tcW w:w="337" w:type="pct"/>
            <w:shd w:val="clear" w:color="auto" w:fill="FFFFFF" w:themeFill="background1"/>
            <w:vAlign w:val="center"/>
          </w:tcPr>
          <w:p w14:paraId="71B6B1C7" w14:textId="77777777" w:rsidR="00C22B12" w:rsidRPr="00EE6892" w:rsidRDefault="00C22B12" w:rsidP="0000064D">
            <w:pPr>
              <w:spacing w:before="0" w:line="240" w:lineRule="auto"/>
              <w:jc w:val="center"/>
              <w:rPr>
                <w:rFonts w:asciiTheme="majorHAnsi" w:hAnsiTheme="majorHAnsi"/>
                <w:b/>
                <w:sz w:val="20"/>
                <w:szCs w:val="20"/>
              </w:rPr>
            </w:pPr>
          </w:p>
        </w:tc>
        <w:tc>
          <w:tcPr>
            <w:tcW w:w="399" w:type="pct"/>
            <w:gridSpan w:val="2"/>
            <w:shd w:val="clear" w:color="auto" w:fill="FBD4B4" w:themeFill="accent6" w:themeFillTint="66"/>
            <w:vAlign w:val="center"/>
          </w:tcPr>
          <w:p w14:paraId="08CF1D67" w14:textId="77777777" w:rsidR="00C22B12" w:rsidRPr="00EE6892" w:rsidRDefault="00C22B12" w:rsidP="0000064D">
            <w:pPr>
              <w:spacing w:before="0" w:line="240" w:lineRule="auto"/>
              <w:jc w:val="center"/>
              <w:rPr>
                <w:rFonts w:asciiTheme="majorHAnsi" w:hAnsiTheme="majorHAnsi"/>
                <w:b/>
                <w:sz w:val="20"/>
                <w:szCs w:val="20"/>
              </w:rPr>
            </w:pPr>
          </w:p>
        </w:tc>
        <w:tc>
          <w:tcPr>
            <w:tcW w:w="4264" w:type="pct"/>
            <w:gridSpan w:val="5"/>
            <w:shd w:val="clear" w:color="auto" w:fill="FFFFFF" w:themeFill="background1"/>
            <w:vAlign w:val="center"/>
          </w:tcPr>
          <w:p w14:paraId="0CA7A082" w14:textId="77777777" w:rsidR="00C22B12" w:rsidRPr="00EE6892" w:rsidRDefault="00C22B12" w:rsidP="0000064D">
            <w:pPr>
              <w:spacing w:before="0" w:line="240" w:lineRule="auto"/>
              <w:rPr>
                <w:rFonts w:asciiTheme="majorHAnsi" w:hAnsiTheme="majorHAnsi"/>
                <w:sz w:val="20"/>
                <w:szCs w:val="20"/>
              </w:rPr>
            </w:pPr>
            <w:r w:rsidRPr="00EE6892">
              <w:rPr>
                <w:rFonts w:asciiTheme="majorHAnsi" w:hAnsiTheme="majorHAnsi"/>
                <w:sz w:val="20"/>
                <w:szCs w:val="20"/>
              </w:rPr>
              <w:t xml:space="preserve">Cenários com potencial de </w:t>
            </w:r>
            <w:r>
              <w:rPr>
                <w:rFonts w:asciiTheme="majorHAnsi" w:hAnsiTheme="majorHAnsi"/>
                <w:sz w:val="20"/>
                <w:szCs w:val="20"/>
              </w:rPr>
              <w:t>derramamento</w:t>
            </w:r>
            <w:r w:rsidRPr="00EE6892">
              <w:rPr>
                <w:rFonts w:asciiTheme="majorHAnsi" w:hAnsiTheme="majorHAnsi"/>
                <w:sz w:val="20"/>
                <w:szCs w:val="20"/>
              </w:rPr>
              <w:t xml:space="preserve"> de óleo para o mar.</w:t>
            </w:r>
          </w:p>
        </w:tc>
      </w:tr>
    </w:tbl>
    <w:p w14:paraId="4E6EB54B" w14:textId="77777777" w:rsidR="004D65B3" w:rsidRPr="0085705D" w:rsidRDefault="004D65B3" w:rsidP="004D65B3">
      <w:pPr>
        <w:pStyle w:val="Titulo1WOB"/>
        <w:numPr>
          <w:ilvl w:val="0"/>
          <w:numId w:val="0"/>
        </w:numPr>
        <w:ind w:left="360"/>
        <w:sectPr w:rsidR="004D65B3" w:rsidRPr="0085705D" w:rsidSect="00656D39">
          <w:headerReference w:type="even" r:id="rId22"/>
          <w:headerReference w:type="default" r:id="rId23"/>
          <w:footerReference w:type="even" r:id="rId24"/>
          <w:footerReference w:type="default" r:id="rId25"/>
          <w:pgSz w:w="16840" w:h="11906" w:orient="landscape" w:code="9"/>
          <w:pgMar w:top="1418" w:right="1418" w:bottom="1418" w:left="1418" w:header="170" w:footer="0" w:gutter="0"/>
          <w:cols w:space="708"/>
          <w:docGrid w:linePitch="360"/>
        </w:sectPr>
      </w:pPr>
    </w:p>
    <w:p w14:paraId="082DE042" w14:textId="72769870" w:rsidR="004D65B3" w:rsidRPr="004D65B3" w:rsidRDefault="004D65B3" w:rsidP="00723A97">
      <w:pPr>
        <w:pStyle w:val="tier1Itext"/>
      </w:pPr>
      <w:r w:rsidRPr="009F0525">
        <w:lastRenderedPageBreak/>
        <w:t>Conforme apresentado</w:t>
      </w:r>
      <w:r w:rsidRPr="004D65B3">
        <w:t xml:space="preserve"> na </w:t>
      </w:r>
      <w:r w:rsidRPr="000206D2">
        <w:rPr>
          <w:b/>
        </w:rPr>
        <w:fldChar w:fldCharType="begin"/>
      </w:r>
      <w:r w:rsidRPr="000206D2">
        <w:rPr>
          <w:b/>
        </w:rPr>
        <w:instrText xml:space="preserve"> REF _Ref412128602 \h  \* MERGEFORMAT </w:instrText>
      </w:r>
      <w:r w:rsidRPr="000206D2">
        <w:rPr>
          <w:b/>
        </w:rPr>
      </w:r>
      <w:r w:rsidRPr="000206D2">
        <w:rPr>
          <w:b/>
        </w:rPr>
        <w:fldChar w:fldCharType="separate"/>
      </w:r>
      <w:r w:rsidR="00A50E67" w:rsidRPr="00A50E67">
        <w:rPr>
          <w:b/>
        </w:rPr>
        <w:t xml:space="preserve">Tabela </w:t>
      </w:r>
      <w:r w:rsidR="00A50E67" w:rsidRPr="00A50E67">
        <w:rPr>
          <w:b/>
          <w:noProof/>
        </w:rPr>
        <w:t>6</w:t>
      </w:r>
      <w:r w:rsidRPr="000206D2">
        <w:rPr>
          <w:b/>
        </w:rPr>
        <w:fldChar w:fldCharType="end"/>
      </w:r>
      <w:r w:rsidRPr="004D65B3">
        <w:t xml:space="preserve">, foram identificadas na Análise Preliminar de Riscos o total de </w:t>
      </w:r>
      <w:r w:rsidR="00527CB8">
        <w:t>2</w:t>
      </w:r>
      <w:r w:rsidR="00850504">
        <w:t>3</w:t>
      </w:r>
      <w:r w:rsidRPr="004D65B3">
        <w:t xml:space="preserve"> cenários com potencial de </w:t>
      </w:r>
      <w:r w:rsidR="00642786">
        <w:t>derramamento</w:t>
      </w:r>
      <w:r w:rsidRPr="004D65B3">
        <w:t xml:space="preserve"> de produto oleoso. Dentre estes, 1</w:t>
      </w:r>
      <w:r w:rsidR="00527CB8">
        <w:t>8</w:t>
      </w:r>
      <w:r w:rsidRPr="004D65B3">
        <w:t xml:space="preserve"> apresentaram potencial de atingir o mar, sendo o cenário da APR #0</w:t>
      </w:r>
      <w:r w:rsidR="00527CB8">
        <w:t>9</w:t>
      </w:r>
      <w:r w:rsidRPr="004D65B3">
        <w:t xml:space="preserve"> o correspondente à descarga de pior caso.</w:t>
      </w:r>
    </w:p>
    <w:p w14:paraId="6300E791" w14:textId="77777777" w:rsidR="004D65B3" w:rsidRPr="004D65B3" w:rsidRDefault="004D65B3" w:rsidP="00723A97">
      <w:pPr>
        <w:pStyle w:val="tier1Itext"/>
      </w:pPr>
      <w:r w:rsidRPr="004D65B3">
        <w:t>O volume da descarga de pior caso (V</w:t>
      </w:r>
      <w:r w:rsidRPr="004D65B3">
        <w:rPr>
          <w:vertAlign w:val="subscript"/>
        </w:rPr>
        <w:t>pc</w:t>
      </w:r>
      <w:r w:rsidRPr="004D65B3">
        <w:t>) é calculado a partir do volume da perda de controle do poço (</w:t>
      </w:r>
      <w:r w:rsidRPr="004D65B3">
        <w:rPr>
          <w:i/>
        </w:rPr>
        <w:t>blowout</w:t>
      </w:r>
      <w:r w:rsidRPr="004D65B3">
        <w:t>) durante 30 dias, conforme preconizado na Resolução Conama nº 398/08. Assim, com a estimativa de vazão de 9.800 bbl/dia, o volume de pior caso estimado é de:</w:t>
      </w:r>
    </w:p>
    <w:p w14:paraId="34C08A3B" w14:textId="77777777" w:rsidR="004D65B3" w:rsidRPr="004D65B3" w:rsidRDefault="004D65B3" w:rsidP="0000064D">
      <w:pPr>
        <w:pStyle w:val="OCEBullet"/>
        <w:tabs>
          <w:tab w:val="clear" w:pos="227"/>
          <w:tab w:val="clear" w:pos="709"/>
          <w:tab w:val="left" w:pos="0"/>
        </w:tabs>
        <w:spacing w:after="240" w:line="360" w:lineRule="auto"/>
        <w:ind w:left="0" w:firstLine="0"/>
        <w:jc w:val="center"/>
        <w:rPr>
          <w:rFonts w:ascii="Cambria" w:hAnsi="Cambria"/>
        </w:rPr>
      </w:pPr>
      <w:r w:rsidRPr="004D65B3">
        <w:rPr>
          <w:rFonts w:ascii="Cambria" w:hAnsi="Cambria"/>
        </w:rPr>
        <w:t>V</w:t>
      </w:r>
      <w:r w:rsidRPr="004D65B3">
        <w:rPr>
          <w:rFonts w:ascii="Cambria" w:hAnsi="Cambria"/>
          <w:vertAlign w:val="subscript"/>
        </w:rPr>
        <w:t>pc</w:t>
      </w:r>
      <w:r w:rsidRPr="004D65B3">
        <w:rPr>
          <w:rFonts w:ascii="Cambria" w:hAnsi="Cambria"/>
        </w:rPr>
        <w:t xml:space="preserve"> = 9.800 bbl/dia x 30 dias = 294.000 bbl (46.742,25 m³).</w:t>
      </w:r>
    </w:p>
    <w:p w14:paraId="5983CA21" w14:textId="2BE5FD4E" w:rsidR="004D65B3" w:rsidRPr="004D65B3" w:rsidRDefault="004D65B3" w:rsidP="00723A97">
      <w:pPr>
        <w:pStyle w:val="tier1Itext"/>
      </w:pPr>
      <w:r w:rsidRPr="001D4B93">
        <w:t>Outro aspecto observado</w:t>
      </w:r>
      <w:r w:rsidRPr="004D65B3">
        <w:t xml:space="preserve"> na </w:t>
      </w:r>
      <w:r w:rsidRPr="000206D2">
        <w:rPr>
          <w:b/>
        </w:rPr>
        <w:fldChar w:fldCharType="begin"/>
      </w:r>
      <w:r w:rsidRPr="000206D2">
        <w:rPr>
          <w:b/>
        </w:rPr>
        <w:instrText xml:space="preserve"> REF _Ref412128602 \h  \* MERGEFORMAT </w:instrText>
      </w:r>
      <w:r w:rsidRPr="000206D2">
        <w:rPr>
          <w:b/>
        </w:rPr>
      </w:r>
      <w:r w:rsidRPr="000206D2">
        <w:rPr>
          <w:b/>
        </w:rPr>
        <w:fldChar w:fldCharType="separate"/>
      </w:r>
      <w:r w:rsidR="00A50E67" w:rsidRPr="00A50E67">
        <w:rPr>
          <w:b/>
        </w:rPr>
        <w:t xml:space="preserve">Tabela </w:t>
      </w:r>
      <w:r w:rsidR="00A50E67" w:rsidRPr="00A50E67">
        <w:rPr>
          <w:b/>
          <w:noProof/>
        </w:rPr>
        <w:t>6</w:t>
      </w:r>
      <w:r w:rsidRPr="000206D2">
        <w:rPr>
          <w:b/>
        </w:rPr>
        <w:fldChar w:fldCharType="end"/>
      </w:r>
      <w:r w:rsidRPr="004D65B3">
        <w:t xml:space="preserve"> é que 0</w:t>
      </w:r>
      <w:r w:rsidR="00850504">
        <w:t>9</w:t>
      </w:r>
      <w:r w:rsidRPr="004D65B3">
        <w:t xml:space="preserve"> (</w:t>
      </w:r>
      <w:r w:rsidR="00850504">
        <w:t>nove</w:t>
      </w:r>
      <w:r w:rsidRPr="004D65B3">
        <w:t xml:space="preserve">) cenários, isto é 40% do total com potencial </w:t>
      </w:r>
      <w:r w:rsidR="00642786">
        <w:t>derramamento</w:t>
      </w:r>
      <w:r w:rsidRPr="004D65B3">
        <w:t xml:space="preserve"> de produto oleoso são classificados como descarga pequena (até 8 m³), sendo 0</w:t>
      </w:r>
      <w:r w:rsidR="00850504">
        <w:t>5</w:t>
      </w:r>
      <w:r w:rsidRPr="004D65B3">
        <w:t xml:space="preserve"> (</w:t>
      </w:r>
      <w:r w:rsidR="00850504">
        <w:t>cinco</w:t>
      </w:r>
      <w:r w:rsidRPr="004D65B3">
        <w:t>) com potencial de atingir o mar. Analogamente, 07 (sete) cenários, isto é 3</w:t>
      </w:r>
      <w:r w:rsidR="00850504">
        <w:t>0</w:t>
      </w:r>
      <w:r w:rsidRPr="004D65B3">
        <w:t>%, são classificados como descarga média (8 e 200 m³), dentre eles 05 (cinco) com potencial de atingir o mar. Por fim, dentre os 2</w:t>
      </w:r>
      <w:r w:rsidR="00850504">
        <w:t>3</w:t>
      </w:r>
      <w:r w:rsidRPr="004D65B3">
        <w:t xml:space="preserve"> cenários identificados, 0</w:t>
      </w:r>
      <w:r w:rsidR="00850504">
        <w:t>7</w:t>
      </w:r>
      <w:r w:rsidRPr="004D65B3">
        <w:t xml:space="preserve"> (</w:t>
      </w:r>
      <w:r w:rsidR="00850504">
        <w:t>sete</w:t>
      </w:r>
      <w:r w:rsidRPr="004D65B3">
        <w:t xml:space="preserve">), ou seja </w:t>
      </w:r>
      <w:r w:rsidR="00850504">
        <w:t>30</w:t>
      </w:r>
      <w:r w:rsidRPr="004D65B3">
        <w:t xml:space="preserve">%, correspondem a de descarga grande (acima de 200 m³), sendo neste caso, todos com potencial de atingir o mar. A </w:t>
      </w:r>
      <w:r w:rsidRPr="004D65B3">
        <w:rPr>
          <w:b/>
        </w:rPr>
        <w:fldChar w:fldCharType="begin"/>
      </w:r>
      <w:r w:rsidRPr="004D65B3">
        <w:rPr>
          <w:b/>
        </w:rPr>
        <w:instrText xml:space="preserve"> REF _Ref412476071 \h  \* MERGEFORMAT </w:instrText>
      </w:r>
      <w:r w:rsidRPr="004D65B3">
        <w:rPr>
          <w:b/>
        </w:rPr>
      </w:r>
      <w:r w:rsidRPr="004D65B3">
        <w:rPr>
          <w:b/>
        </w:rPr>
        <w:fldChar w:fldCharType="separate"/>
      </w:r>
      <w:r w:rsidR="00A50E67" w:rsidRPr="00A50E67">
        <w:rPr>
          <w:b/>
        </w:rPr>
        <w:t xml:space="preserve">Tabela </w:t>
      </w:r>
      <w:r w:rsidR="00A50E67" w:rsidRPr="00A50E67">
        <w:rPr>
          <w:b/>
          <w:noProof/>
        </w:rPr>
        <w:t>7</w:t>
      </w:r>
      <w:r w:rsidRPr="004D65B3">
        <w:rPr>
          <w:b/>
        </w:rPr>
        <w:fldChar w:fldCharType="end"/>
      </w:r>
      <w:r w:rsidRPr="004D65B3">
        <w:t xml:space="preserve"> resume a proporção de cenários acidentais envolvendo descargas pequena, média e grande de produto oleoso.</w:t>
      </w:r>
    </w:p>
    <w:tbl>
      <w:tblPr>
        <w:tblStyle w:val="Tabelacomgrade"/>
        <w:tblW w:w="0" w:type="auto"/>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Look w:val="04A0" w:firstRow="1" w:lastRow="0" w:firstColumn="1" w:lastColumn="0" w:noHBand="0" w:noVBand="1"/>
      </w:tblPr>
      <w:tblGrid>
        <w:gridCol w:w="2445"/>
        <w:gridCol w:w="1933"/>
        <w:gridCol w:w="2239"/>
        <w:gridCol w:w="2239"/>
      </w:tblGrid>
      <w:tr w:rsidR="004D65B3" w:rsidRPr="00EE6892" w14:paraId="62FBA62C" w14:textId="77777777" w:rsidTr="000206D2">
        <w:trPr>
          <w:trHeight w:val="340"/>
          <w:jc w:val="center"/>
        </w:trPr>
        <w:tc>
          <w:tcPr>
            <w:tcW w:w="8856" w:type="dxa"/>
            <w:gridSpan w:val="4"/>
            <w:shd w:val="clear" w:color="auto" w:fill="FFFFFF" w:themeFill="background1"/>
            <w:vAlign w:val="bottom"/>
          </w:tcPr>
          <w:p w14:paraId="2FEE45E1" w14:textId="683D6ED4" w:rsidR="004D65B3" w:rsidRPr="00EE6892" w:rsidRDefault="004D65B3" w:rsidP="00EE6892">
            <w:pPr>
              <w:pStyle w:val="Legenda"/>
              <w:spacing w:before="0" w:after="0" w:line="240" w:lineRule="auto"/>
              <w:jc w:val="both"/>
              <w:rPr>
                <w:color w:val="FFFFFF" w:themeColor="background1"/>
                <w:szCs w:val="20"/>
              </w:rPr>
            </w:pPr>
            <w:bookmarkStart w:id="61" w:name="_Ref412476071"/>
            <w:bookmarkStart w:id="62" w:name="_Toc412476176"/>
            <w:bookmarkStart w:id="63" w:name="_Toc527990482"/>
            <w:r w:rsidRPr="00EE6892">
              <w:rPr>
                <w:szCs w:val="20"/>
              </w:rPr>
              <w:t xml:space="preserve">Tabela </w:t>
            </w:r>
            <w:r w:rsidR="0036087F" w:rsidRPr="00EE6892">
              <w:rPr>
                <w:szCs w:val="20"/>
              </w:rPr>
              <w:fldChar w:fldCharType="begin"/>
            </w:r>
            <w:r w:rsidR="0036087F" w:rsidRPr="00EE6892">
              <w:rPr>
                <w:szCs w:val="20"/>
              </w:rPr>
              <w:instrText xml:space="preserve"> SEQ Tabela \* ARABIC </w:instrText>
            </w:r>
            <w:r w:rsidR="0036087F" w:rsidRPr="00EE6892">
              <w:rPr>
                <w:szCs w:val="20"/>
              </w:rPr>
              <w:fldChar w:fldCharType="separate"/>
            </w:r>
            <w:r w:rsidR="00A50E67">
              <w:rPr>
                <w:noProof/>
                <w:szCs w:val="20"/>
              </w:rPr>
              <w:t>7</w:t>
            </w:r>
            <w:r w:rsidR="0036087F" w:rsidRPr="00EE6892">
              <w:rPr>
                <w:noProof/>
                <w:szCs w:val="20"/>
              </w:rPr>
              <w:fldChar w:fldCharType="end"/>
            </w:r>
            <w:bookmarkEnd w:id="61"/>
            <w:r w:rsidRPr="00EE6892">
              <w:rPr>
                <w:szCs w:val="20"/>
              </w:rPr>
              <w:t>: Proporção de cenários acidentais envolvendo descargas pequena, média e grande de produto oleoso</w:t>
            </w:r>
            <w:bookmarkEnd w:id="62"/>
            <w:r w:rsidR="000D65DA" w:rsidRPr="00EE6892">
              <w:rPr>
                <w:szCs w:val="20"/>
              </w:rPr>
              <w:t>.</w:t>
            </w:r>
            <w:bookmarkEnd w:id="63"/>
          </w:p>
        </w:tc>
      </w:tr>
      <w:tr w:rsidR="004D65B3" w:rsidRPr="00EE6892" w14:paraId="61C11D6B" w14:textId="77777777" w:rsidTr="0000064D">
        <w:trPr>
          <w:trHeight w:val="1417"/>
          <w:jc w:val="center"/>
        </w:trPr>
        <w:tc>
          <w:tcPr>
            <w:tcW w:w="2445" w:type="dxa"/>
            <w:shd w:val="clear" w:color="auto" w:fill="1F497D"/>
            <w:vAlign w:val="center"/>
          </w:tcPr>
          <w:p w14:paraId="6B22D33A" w14:textId="77777777" w:rsidR="004D65B3" w:rsidRPr="00EE6892" w:rsidRDefault="004D65B3" w:rsidP="000206D2">
            <w:pPr>
              <w:pStyle w:val="tier1Itext"/>
              <w:spacing w:before="0" w:after="0" w:line="240" w:lineRule="auto"/>
              <w:jc w:val="center"/>
              <w:rPr>
                <w:b/>
                <w:color w:val="FFFFFF" w:themeColor="background1"/>
                <w:sz w:val="20"/>
                <w:szCs w:val="20"/>
              </w:rPr>
            </w:pPr>
            <w:r w:rsidRPr="00EE6892">
              <w:rPr>
                <w:b/>
                <w:color w:val="FFFFFF" w:themeColor="background1"/>
                <w:sz w:val="20"/>
                <w:szCs w:val="20"/>
              </w:rPr>
              <w:t>Cenário</w:t>
            </w:r>
          </w:p>
        </w:tc>
        <w:tc>
          <w:tcPr>
            <w:tcW w:w="1933" w:type="dxa"/>
            <w:shd w:val="clear" w:color="auto" w:fill="1F497D"/>
            <w:vAlign w:val="center"/>
          </w:tcPr>
          <w:p w14:paraId="320E51D4" w14:textId="77777777" w:rsidR="004D65B3" w:rsidRPr="00EE6892" w:rsidRDefault="004D65B3" w:rsidP="000206D2">
            <w:pPr>
              <w:pStyle w:val="tier1Itext"/>
              <w:spacing w:before="0" w:after="0" w:line="240" w:lineRule="auto"/>
              <w:jc w:val="center"/>
              <w:rPr>
                <w:b/>
                <w:color w:val="FFFFFF" w:themeColor="background1"/>
                <w:sz w:val="20"/>
                <w:szCs w:val="20"/>
              </w:rPr>
            </w:pPr>
            <w:r w:rsidRPr="00EE6892">
              <w:rPr>
                <w:b/>
                <w:color w:val="FFFFFF" w:themeColor="background1"/>
                <w:sz w:val="20"/>
                <w:szCs w:val="20"/>
              </w:rPr>
              <w:t>Número Total e Porcentagem de Cenários¹</w:t>
            </w:r>
          </w:p>
        </w:tc>
        <w:tc>
          <w:tcPr>
            <w:tcW w:w="2239" w:type="dxa"/>
            <w:shd w:val="clear" w:color="auto" w:fill="1F497D"/>
            <w:vAlign w:val="center"/>
          </w:tcPr>
          <w:p w14:paraId="6A66124C" w14:textId="77777777" w:rsidR="004D65B3" w:rsidRPr="00EE6892" w:rsidRDefault="004D65B3" w:rsidP="000206D2">
            <w:pPr>
              <w:pStyle w:val="tier1Itext"/>
              <w:spacing w:before="0" w:after="0" w:line="240" w:lineRule="auto"/>
              <w:jc w:val="center"/>
              <w:rPr>
                <w:b/>
                <w:color w:val="FFFFFF" w:themeColor="background1"/>
                <w:sz w:val="20"/>
                <w:szCs w:val="20"/>
              </w:rPr>
            </w:pPr>
            <w:r w:rsidRPr="00EE6892">
              <w:rPr>
                <w:b/>
                <w:color w:val="FFFFFF" w:themeColor="background1"/>
                <w:sz w:val="20"/>
                <w:szCs w:val="20"/>
              </w:rPr>
              <w:t>Número e Porcentagem de Cenários COM potencial de atingir o mar¹</w:t>
            </w:r>
          </w:p>
        </w:tc>
        <w:tc>
          <w:tcPr>
            <w:tcW w:w="2239" w:type="dxa"/>
            <w:shd w:val="clear" w:color="auto" w:fill="1F497D"/>
            <w:vAlign w:val="center"/>
          </w:tcPr>
          <w:p w14:paraId="68D8D71B" w14:textId="77777777" w:rsidR="004D65B3" w:rsidRPr="00EE6892" w:rsidRDefault="004D65B3" w:rsidP="000206D2">
            <w:pPr>
              <w:pStyle w:val="tier1Itext"/>
              <w:spacing w:before="0" w:after="0" w:line="240" w:lineRule="auto"/>
              <w:jc w:val="center"/>
              <w:rPr>
                <w:b/>
                <w:color w:val="FFFFFF" w:themeColor="background1"/>
                <w:sz w:val="20"/>
                <w:szCs w:val="20"/>
              </w:rPr>
            </w:pPr>
            <w:r w:rsidRPr="00EE6892">
              <w:rPr>
                <w:b/>
                <w:color w:val="FFFFFF" w:themeColor="background1"/>
                <w:sz w:val="20"/>
                <w:szCs w:val="20"/>
              </w:rPr>
              <w:t>Número e Porcentagem de Cenários SEM potencial de atingir o mar¹</w:t>
            </w:r>
          </w:p>
        </w:tc>
      </w:tr>
      <w:tr w:rsidR="004D65B3" w:rsidRPr="00EE6892" w14:paraId="459133EB" w14:textId="77777777" w:rsidTr="00EE6892">
        <w:trPr>
          <w:trHeight w:val="624"/>
          <w:jc w:val="center"/>
        </w:trPr>
        <w:tc>
          <w:tcPr>
            <w:tcW w:w="2445" w:type="dxa"/>
            <w:shd w:val="clear" w:color="auto" w:fill="D9D9D9" w:themeFill="background1" w:themeFillShade="D9"/>
          </w:tcPr>
          <w:p w14:paraId="48928051" w14:textId="77777777" w:rsidR="004D65B3" w:rsidRPr="00EE6892" w:rsidRDefault="004D65B3" w:rsidP="000206D2">
            <w:pPr>
              <w:pStyle w:val="tier1Itext"/>
              <w:spacing w:before="0" w:after="0" w:line="240" w:lineRule="auto"/>
              <w:rPr>
                <w:sz w:val="20"/>
                <w:szCs w:val="20"/>
              </w:rPr>
            </w:pPr>
            <w:r w:rsidRPr="00EE6892">
              <w:rPr>
                <w:sz w:val="20"/>
                <w:szCs w:val="20"/>
              </w:rPr>
              <w:t>Descarga Pequena:</w:t>
            </w:r>
          </w:p>
          <w:p w14:paraId="3751733A" w14:textId="77777777" w:rsidR="004D65B3" w:rsidRPr="00EE6892" w:rsidRDefault="004D65B3" w:rsidP="000206D2">
            <w:pPr>
              <w:pStyle w:val="tier1Itext"/>
              <w:spacing w:before="0" w:after="0" w:line="240" w:lineRule="auto"/>
              <w:rPr>
                <w:sz w:val="20"/>
                <w:szCs w:val="20"/>
              </w:rPr>
            </w:pPr>
            <w:r w:rsidRPr="00EE6892">
              <w:rPr>
                <w:sz w:val="20"/>
                <w:szCs w:val="20"/>
              </w:rPr>
              <w:t>Volume ≤ 8 m³</w:t>
            </w:r>
          </w:p>
        </w:tc>
        <w:tc>
          <w:tcPr>
            <w:tcW w:w="1933" w:type="dxa"/>
            <w:shd w:val="clear" w:color="auto" w:fill="D9D9D9" w:themeFill="background1" w:themeFillShade="D9"/>
            <w:vAlign w:val="center"/>
          </w:tcPr>
          <w:p w14:paraId="4ABE3CB4" w14:textId="7686E652" w:rsidR="004D65B3" w:rsidRPr="00EE6892" w:rsidRDefault="004D65B3" w:rsidP="00850504">
            <w:pPr>
              <w:pStyle w:val="tier1Itext"/>
              <w:spacing w:before="0" w:after="0" w:line="240" w:lineRule="auto"/>
              <w:jc w:val="center"/>
              <w:rPr>
                <w:sz w:val="20"/>
                <w:szCs w:val="20"/>
              </w:rPr>
            </w:pPr>
            <w:r w:rsidRPr="00EE6892">
              <w:rPr>
                <w:sz w:val="20"/>
                <w:szCs w:val="20"/>
              </w:rPr>
              <w:t>0</w:t>
            </w:r>
            <w:r w:rsidR="00850504">
              <w:rPr>
                <w:sz w:val="20"/>
                <w:szCs w:val="20"/>
              </w:rPr>
              <w:t>9</w:t>
            </w:r>
            <w:r w:rsidRPr="00EE6892">
              <w:rPr>
                <w:sz w:val="20"/>
                <w:szCs w:val="20"/>
              </w:rPr>
              <w:t xml:space="preserve"> (40%)</w:t>
            </w:r>
          </w:p>
        </w:tc>
        <w:tc>
          <w:tcPr>
            <w:tcW w:w="2239" w:type="dxa"/>
            <w:shd w:val="clear" w:color="auto" w:fill="D9D9D9" w:themeFill="background1" w:themeFillShade="D9"/>
            <w:vAlign w:val="center"/>
          </w:tcPr>
          <w:p w14:paraId="7F2BADE9" w14:textId="39239DF4" w:rsidR="004D65B3" w:rsidRPr="00EE6892" w:rsidRDefault="004D65B3" w:rsidP="00D86BA1">
            <w:pPr>
              <w:pStyle w:val="tier1Itext"/>
              <w:spacing w:before="0" w:after="0" w:line="240" w:lineRule="auto"/>
              <w:jc w:val="center"/>
              <w:rPr>
                <w:sz w:val="20"/>
                <w:szCs w:val="20"/>
              </w:rPr>
            </w:pPr>
            <w:r w:rsidRPr="00EE6892">
              <w:rPr>
                <w:sz w:val="20"/>
                <w:szCs w:val="20"/>
              </w:rPr>
              <w:t>0</w:t>
            </w:r>
            <w:r w:rsidR="00D86BA1">
              <w:rPr>
                <w:sz w:val="20"/>
                <w:szCs w:val="20"/>
              </w:rPr>
              <w:t>5</w:t>
            </w:r>
            <w:r w:rsidRPr="00EE6892">
              <w:rPr>
                <w:sz w:val="20"/>
                <w:szCs w:val="20"/>
              </w:rPr>
              <w:t xml:space="preserve"> (2</w:t>
            </w:r>
            <w:r w:rsidR="00D86BA1">
              <w:rPr>
                <w:sz w:val="20"/>
                <w:szCs w:val="20"/>
              </w:rPr>
              <w:t>2</w:t>
            </w:r>
            <w:r w:rsidRPr="00EE6892">
              <w:rPr>
                <w:sz w:val="20"/>
                <w:szCs w:val="20"/>
              </w:rPr>
              <w:t>%)</w:t>
            </w:r>
          </w:p>
        </w:tc>
        <w:tc>
          <w:tcPr>
            <w:tcW w:w="2239" w:type="dxa"/>
            <w:shd w:val="clear" w:color="auto" w:fill="D9D9D9" w:themeFill="background1" w:themeFillShade="D9"/>
            <w:vAlign w:val="center"/>
          </w:tcPr>
          <w:p w14:paraId="49BBD2C2" w14:textId="16BAEA66" w:rsidR="004D65B3" w:rsidRPr="00EE6892" w:rsidRDefault="004D65B3" w:rsidP="00D86BA1">
            <w:pPr>
              <w:pStyle w:val="tier1Itext"/>
              <w:spacing w:before="0" w:after="0" w:line="240" w:lineRule="auto"/>
              <w:jc w:val="center"/>
              <w:rPr>
                <w:sz w:val="20"/>
                <w:szCs w:val="20"/>
              </w:rPr>
            </w:pPr>
            <w:r w:rsidRPr="00EE6892">
              <w:rPr>
                <w:sz w:val="20"/>
                <w:szCs w:val="20"/>
              </w:rPr>
              <w:t>04 (</w:t>
            </w:r>
            <w:r w:rsidR="00D86BA1">
              <w:rPr>
                <w:sz w:val="20"/>
                <w:szCs w:val="20"/>
              </w:rPr>
              <w:t>18</w:t>
            </w:r>
            <w:r w:rsidRPr="00EE6892">
              <w:rPr>
                <w:sz w:val="20"/>
                <w:szCs w:val="20"/>
              </w:rPr>
              <w:t>%)</w:t>
            </w:r>
          </w:p>
        </w:tc>
      </w:tr>
      <w:tr w:rsidR="004D65B3" w:rsidRPr="00EE6892" w14:paraId="4632DB4E" w14:textId="77777777" w:rsidTr="00EE6892">
        <w:trPr>
          <w:trHeight w:val="624"/>
          <w:jc w:val="center"/>
        </w:trPr>
        <w:tc>
          <w:tcPr>
            <w:tcW w:w="2445" w:type="dxa"/>
            <w:shd w:val="clear" w:color="auto" w:fill="D9D9D9" w:themeFill="background1" w:themeFillShade="D9"/>
          </w:tcPr>
          <w:p w14:paraId="6E81973C" w14:textId="77777777" w:rsidR="004D65B3" w:rsidRPr="00EE6892" w:rsidRDefault="004D65B3" w:rsidP="000206D2">
            <w:pPr>
              <w:pStyle w:val="tier1Itext"/>
              <w:spacing w:before="0" w:after="0" w:line="240" w:lineRule="auto"/>
              <w:rPr>
                <w:sz w:val="20"/>
                <w:szCs w:val="20"/>
              </w:rPr>
            </w:pPr>
            <w:r w:rsidRPr="00EE6892">
              <w:rPr>
                <w:sz w:val="20"/>
                <w:szCs w:val="20"/>
              </w:rPr>
              <w:t>Descarga Média:</w:t>
            </w:r>
          </w:p>
          <w:p w14:paraId="7C93C2F8" w14:textId="77777777" w:rsidR="004D65B3" w:rsidRPr="00EE6892" w:rsidRDefault="004D65B3" w:rsidP="000206D2">
            <w:pPr>
              <w:pStyle w:val="tier1Itext"/>
              <w:spacing w:before="0" w:after="0" w:line="240" w:lineRule="auto"/>
              <w:rPr>
                <w:sz w:val="20"/>
                <w:szCs w:val="20"/>
              </w:rPr>
            </w:pPr>
            <w:r w:rsidRPr="00EE6892">
              <w:rPr>
                <w:sz w:val="20"/>
                <w:szCs w:val="20"/>
              </w:rPr>
              <w:t>8 &gt; Volume ≤ 200 m³</w:t>
            </w:r>
          </w:p>
        </w:tc>
        <w:tc>
          <w:tcPr>
            <w:tcW w:w="1933" w:type="dxa"/>
            <w:shd w:val="clear" w:color="auto" w:fill="D9D9D9" w:themeFill="background1" w:themeFillShade="D9"/>
            <w:vAlign w:val="center"/>
          </w:tcPr>
          <w:p w14:paraId="4BAB8CC5" w14:textId="449F5DAC" w:rsidR="004D65B3" w:rsidRPr="00EE6892" w:rsidRDefault="004D65B3" w:rsidP="00850504">
            <w:pPr>
              <w:pStyle w:val="tier1Itext"/>
              <w:spacing w:before="0" w:after="0" w:line="240" w:lineRule="auto"/>
              <w:jc w:val="center"/>
              <w:rPr>
                <w:sz w:val="20"/>
                <w:szCs w:val="20"/>
              </w:rPr>
            </w:pPr>
            <w:r w:rsidRPr="00EE6892">
              <w:rPr>
                <w:sz w:val="20"/>
                <w:szCs w:val="20"/>
              </w:rPr>
              <w:t>07 (3</w:t>
            </w:r>
            <w:r w:rsidR="00850504">
              <w:rPr>
                <w:sz w:val="20"/>
                <w:szCs w:val="20"/>
              </w:rPr>
              <w:t>0</w:t>
            </w:r>
            <w:r w:rsidRPr="00EE6892">
              <w:rPr>
                <w:sz w:val="20"/>
                <w:szCs w:val="20"/>
              </w:rPr>
              <w:t>%)</w:t>
            </w:r>
          </w:p>
        </w:tc>
        <w:tc>
          <w:tcPr>
            <w:tcW w:w="2239" w:type="dxa"/>
            <w:shd w:val="clear" w:color="auto" w:fill="D9D9D9" w:themeFill="background1" w:themeFillShade="D9"/>
            <w:vAlign w:val="center"/>
          </w:tcPr>
          <w:p w14:paraId="0F4431F8" w14:textId="2E07AF61" w:rsidR="004D65B3" w:rsidRPr="00EE6892" w:rsidRDefault="004D65B3" w:rsidP="00D86BA1">
            <w:pPr>
              <w:pStyle w:val="tier1Itext"/>
              <w:spacing w:before="0" w:after="0" w:line="240" w:lineRule="auto"/>
              <w:jc w:val="center"/>
              <w:rPr>
                <w:sz w:val="20"/>
                <w:szCs w:val="20"/>
              </w:rPr>
            </w:pPr>
            <w:r w:rsidRPr="00EE6892">
              <w:rPr>
                <w:sz w:val="20"/>
                <w:szCs w:val="20"/>
              </w:rPr>
              <w:t>05 (</w:t>
            </w:r>
            <w:r w:rsidR="00D86BA1">
              <w:rPr>
                <w:sz w:val="20"/>
                <w:szCs w:val="20"/>
              </w:rPr>
              <w:t>22</w:t>
            </w:r>
            <w:r w:rsidRPr="00EE6892">
              <w:rPr>
                <w:sz w:val="20"/>
                <w:szCs w:val="20"/>
              </w:rPr>
              <w:t>%)</w:t>
            </w:r>
          </w:p>
        </w:tc>
        <w:tc>
          <w:tcPr>
            <w:tcW w:w="2239" w:type="dxa"/>
            <w:shd w:val="clear" w:color="auto" w:fill="D9D9D9" w:themeFill="background1" w:themeFillShade="D9"/>
            <w:vAlign w:val="center"/>
          </w:tcPr>
          <w:p w14:paraId="463DA6C0" w14:textId="1B2EEF3A" w:rsidR="004D65B3" w:rsidRPr="00EE6892" w:rsidRDefault="004D65B3" w:rsidP="00D86BA1">
            <w:pPr>
              <w:pStyle w:val="tier1Itext"/>
              <w:spacing w:before="0" w:after="0" w:line="240" w:lineRule="auto"/>
              <w:jc w:val="center"/>
              <w:rPr>
                <w:sz w:val="20"/>
                <w:szCs w:val="20"/>
              </w:rPr>
            </w:pPr>
            <w:r w:rsidRPr="00EE6892">
              <w:rPr>
                <w:sz w:val="20"/>
                <w:szCs w:val="20"/>
              </w:rPr>
              <w:t>02 (</w:t>
            </w:r>
            <w:r w:rsidR="00D86BA1">
              <w:rPr>
                <w:sz w:val="20"/>
                <w:szCs w:val="20"/>
              </w:rPr>
              <w:t>08</w:t>
            </w:r>
            <w:r w:rsidRPr="00EE6892">
              <w:rPr>
                <w:sz w:val="20"/>
                <w:szCs w:val="20"/>
              </w:rPr>
              <w:t>%)</w:t>
            </w:r>
          </w:p>
        </w:tc>
      </w:tr>
      <w:tr w:rsidR="004D65B3" w:rsidRPr="00EE6892" w14:paraId="5B82C64E" w14:textId="77777777" w:rsidTr="00EE6892">
        <w:trPr>
          <w:trHeight w:val="624"/>
          <w:jc w:val="center"/>
        </w:trPr>
        <w:tc>
          <w:tcPr>
            <w:tcW w:w="2445" w:type="dxa"/>
            <w:tcBorders>
              <w:bottom w:val="single" w:sz="12" w:space="0" w:color="FFFFFF" w:themeColor="background1"/>
            </w:tcBorders>
            <w:shd w:val="clear" w:color="auto" w:fill="D9D9D9" w:themeFill="background1" w:themeFillShade="D9"/>
          </w:tcPr>
          <w:p w14:paraId="28142B16" w14:textId="77777777" w:rsidR="004D65B3" w:rsidRPr="00EE6892" w:rsidRDefault="004D65B3" w:rsidP="000206D2">
            <w:pPr>
              <w:pStyle w:val="tier1Itext"/>
              <w:spacing w:before="0" w:after="0" w:line="240" w:lineRule="auto"/>
              <w:rPr>
                <w:sz w:val="20"/>
                <w:szCs w:val="20"/>
              </w:rPr>
            </w:pPr>
            <w:r w:rsidRPr="00EE6892">
              <w:rPr>
                <w:sz w:val="20"/>
                <w:szCs w:val="20"/>
              </w:rPr>
              <w:t>Descarga Grande:</w:t>
            </w:r>
          </w:p>
          <w:p w14:paraId="28C5A61D" w14:textId="77777777" w:rsidR="004D65B3" w:rsidRPr="00EE6892" w:rsidRDefault="004D65B3" w:rsidP="000206D2">
            <w:pPr>
              <w:pStyle w:val="tier1Itext"/>
              <w:spacing w:before="0" w:after="0" w:line="240" w:lineRule="auto"/>
              <w:rPr>
                <w:sz w:val="20"/>
                <w:szCs w:val="20"/>
              </w:rPr>
            </w:pPr>
            <w:r w:rsidRPr="00EE6892">
              <w:rPr>
                <w:sz w:val="20"/>
                <w:szCs w:val="20"/>
              </w:rPr>
              <w:t>Volume &gt; 200 m³</w:t>
            </w:r>
          </w:p>
        </w:tc>
        <w:tc>
          <w:tcPr>
            <w:tcW w:w="1933" w:type="dxa"/>
            <w:tcBorders>
              <w:bottom w:val="single" w:sz="12" w:space="0" w:color="FFFFFF" w:themeColor="background1"/>
            </w:tcBorders>
            <w:shd w:val="clear" w:color="auto" w:fill="D9D9D9" w:themeFill="background1" w:themeFillShade="D9"/>
            <w:vAlign w:val="center"/>
          </w:tcPr>
          <w:p w14:paraId="41826613" w14:textId="4F4CCF50" w:rsidR="004D65B3" w:rsidRPr="00EE6892" w:rsidRDefault="004D65B3" w:rsidP="00850504">
            <w:pPr>
              <w:pStyle w:val="tier1Itext"/>
              <w:spacing w:before="0" w:after="0" w:line="240" w:lineRule="auto"/>
              <w:jc w:val="center"/>
              <w:rPr>
                <w:sz w:val="20"/>
                <w:szCs w:val="20"/>
              </w:rPr>
            </w:pPr>
            <w:r w:rsidRPr="00EE6892">
              <w:rPr>
                <w:sz w:val="20"/>
                <w:szCs w:val="20"/>
              </w:rPr>
              <w:t>0</w:t>
            </w:r>
            <w:r w:rsidR="00850504">
              <w:rPr>
                <w:sz w:val="20"/>
                <w:szCs w:val="20"/>
              </w:rPr>
              <w:t>7</w:t>
            </w:r>
            <w:r w:rsidRPr="00EE6892">
              <w:rPr>
                <w:sz w:val="20"/>
                <w:szCs w:val="20"/>
              </w:rPr>
              <w:t xml:space="preserve"> (</w:t>
            </w:r>
            <w:r w:rsidR="00850504">
              <w:rPr>
                <w:sz w:val="20"/>
                <w:szCs w:val="20"/>
              </w:rPr>
              <w:t>30</w:t>
            </w:r>
            <w:r w:rsidRPr="00EE6892">
              <w:rPr>
                <w:sz w:val="20"/>
                <w:szCs w:val="20"/>
              </w:rPr>
              <w:t>%)</w:t>
            </w:r>
          </w:p>
        </w:tc>
        <w:tc>
          <w:tcPr>
            <w:tcW w:w="2239" w:type="dxa"/>
            <w:tcBorders>
              <w:bottom w:val="single" w:sz="12" w:space="0" w:color="FFFFFF" w:themeColor="background1"/>
            </w:tcBorders>
            <w:shd w:val="clear" w:color="auto" w:fill="D9D9D9" w:themeFill="background1" w:themeFillShade="D9"/>
            <w:vAlign w:val="center"/>
          </w:tcPr>
          <w:p w14:paraId="4292C1F1" w14:textId="78FB9184" w:rsidR="004D65B3" w:rsidRPr="00EE6892" w:rsidRDefault="004D65B3" w:rsidP="00D86BA1">
            <w:pPr>
              <w:pStyle w:val="tier1Itext"/>
              <w:spacing w:before="0" w:after="0" w:line="240" w:lineRule="auto"/>
              <w:jc w:val="center"/>
              <w:rPr>
                <w:sz w:val="20"/>
                <w:szCs w:val="20"/>
              </w:rPr>
            </w:pPr>
            <w:r w:rsidRPr="00EE6892">
              <w:rPr>
                <w:sz w:val="20"/>
                <w:szCs w:val="20"/>
              </w:rPr>
              <w:t>0</w:t>
            </w:r>
            <w:r w:rsidR="00D86BA1">
              <w:rPr>
                <w:sz w:val="20"/>
                <w:szCs w:val="20"/>
              </w:rPr>
              <w:t>7</w:t>
            </w:r>
            <w:r w:rsidRPr="00EE6892">
              <w:rPr>
                <w:sz w:val="20"/>
                <w:szCs w:val="20"/>
              </w:rPr>
              <w:t xml:space="preserve"> (</w:t>
            </w:r>
            <w:r w:rsidR="00D86BA1">
              <w:rPr>
                <w:sz w:val="20"/>
                <w:szCs w:val="20"/>
              </w:rPr>
              <w:t>30</w:t>
            </w:r>
            <w:r w:rsidRPr="00EE6892">
              <w:rPr>
                <w:sz w:val="20"/>
                <w:szCs w:val="20"/>
              </w:rPr>
              <w:t>%)</w:t>
            </w:r>
          </w:p>
        </w:tc>
        <w:tc>
          <w:tcPr>
            <w:tcW w:w="2239" w:type="dxa"/>
            <w:tcBorders>
              <w:bottom w:val="single" w:sz="12" w:space="0" w:color="FFFFFF" w:themeColor="background1"/>
            </w:tcBorders>
            <w:shd w:val="clear" w:color="auto" w:fill="D9D9D9" w:themeFill="background1" w:themeFillShade="D9"/>
            <w:vAlign w:val="center"/>
          </w:tcPr>
          <w:p w14:paraId="132708A1" w14:textId="77777777" w:rsidR="004D65B3" w:rsidRPr="00EE6892" w:rsidRDefault="004D65B3" w:rsidP="00EE6892">
            <w:pPr>
              <w:pStyle w:val="tier1Itext"/>
              <w:spacing w:before="0" w:after="0" w:line="240" w:lineRule="auto"/>
              <w:jc w:val="center"/>
              <w:rPr>
                <w:sz w:val="20"/>
                <w:szCs w:val="20"/>
              </w:rPr>
            </w:pPr>
            <w:r w:rsidRPr="00EE6892">
              <w:rPr>
                <w:sz w:val="20"/>
                <w:szCs w:val="20"/>
              </w:rPr>
              <w:t>-</w:t>
            </w:r>
          </w:p>
        </w:tc>
      </w:tr>
      <w:tr w:rsidR="004D65B3" w:rsidRPr="00EE6892" w14:paraId="367D91B8" w14:textId="77777777" w:rsidTr="00FA1E16">
        <w:trPr>
          <w:jc w:val="center"/>
        </w:trPr>
        <w:tc>
          <w:tcPr>
            <w:tcW w:w="8856" w:type="dxa"/>
            <w:gridSpan w:val="4"/>
            <w:tcBorders>
              <w:bottom w:val="nil"/>
            </w:tcBorders>
            <w:shd w:val="clear" w:color="auto" w:fill="FFFFFF" w:themeFill="background1"/>
          </w:tcPr>
          <w:p w14:paraId="42FE728E" w14:textId="5E91D1EA" w:rsidR="004D65B3" w:rsidRPr="00EE6892" w:rsidRDefault="00EE6892" w:rsidP="00D86BA1">
            <w:pPr>
              <w:pStyle w:val="tier1Itext"/>
              <w:spacing w:before="0" w:after="0" w:line="240" w:lineRule="auto"/>
              <w:jc w:val="left"/>
              <w:rPr>
                <w:sz w:val="20"/>
                <w:szCs w:val="20"/>
              </w:rPr>
            </w:pPr>
            <w:r w:rsidRPr="00EE6892">
              <w:rPr>
                <w:b/>
                <w:sz w:val="20"/>
                <w:szCs w:val="20"/>
              </w:rPr>
              <w:t>Legenda:</w:t>
            </w:r>
            <w:r w:rsidRPr="00EE6892">
              <w:rPr>
                <w:sz w:val="20"/>
                <w:szCs w:val="20"/>
              </w:rPr>
              <w:t xml:space="preserve"> </w:t>
            </w:r>
            <w:r w:rsidR="004D65B3" w:rsidRPr="00EE6892">
              <w:rPr>
                <w:sz w:val="20"/>
                <w:szCs w:val="20"/>
              </w:rPr>
              <w:t>¹ Valores percentuais referentes ao total de 2</w:t>
            </w:r>
            <w:r w:rsidR="00D86BA1">
              <w:rPr>
                <w:sz w:val="20"/>
                <w:szCs w:val="20"/>
              </w:rPr>
              <w:t>3</w:t>
            </w:r>
            <w:r w:rsidR="004D65B3" w:rsidRPr="00EE6892">
              <w:rPr>
                <w:sz w:val="20"/>
                <w:szCs w:val="20"/>
              </w:rPr>
              <w:t xml:space="preserve"> cenários com potencial </w:t>
            </w:r>
            <w:r w:rsidR="00642786">
              <w:rPr>
                <w:sz w:val="20"/>
                <w:szCs w:val="20"/>
              </w:rPr>
              <w:t>derramamento</w:t>
            </w:r>
            <w:r w:rsidR="004D65B3" w:rsidRPr="00EE6892">
              <w:rPr>
                <w:sz w:val="20"/>
                <w:szCs w:val="20"/>
              </w:rPr>
              <w:t xml:space="preserve"> de produto oleoso</w:t>
            </w:r>
          </w:p>
        </w:tc>
      </w:tr>
    </w:tbl>
    <w:p w14:paraId="0A4C1B69" w14:textId="77777777" w:rsidR="004D65B3" w:rsidRPr="004D65B3" w:rsidRDefault="004D65B3" w:rsidP="00642786">
      <w:pPr>
        <w:pStyle w:val="tier1Itext"/>
        <w:spacing w:before="360"/>
      </w:pPr>
      <w:r w:rsidRPr="004D65B3">
        <w:t xml:space="preserve">Cabe ressaltar que este Plano foi desenvolvido para atender aos cenários acidentais inerentes à atividade com potencial </w:t>
      </w:r>
      <w:r w:rsidR="00642786">
        <w:t>derramamento</w:t>
      </w:r>
      <w:r w:rsidRPr="004D65B3">
        <w:t xml:space="preserve"> de produto oleoso no mar. Os demais cenários com potencial de </w:t>
      </w:r>
      <w:r w:rsidR="00642786">
        <w:t>derramamento</w:t>
      </w:r>
      <w:r w:rsidRPr="004D65B3">
        <w:t xml:space="preserve"> restrito às instalações das unidades marítimas estão contemplados no </w:t>
      </w:r>
      <w:r w:rsidRPr="004D65B3">
        <w:rPr>
          <w:i/>
        </w:rPr>
        <w:t xml:space="preserve">Shipboard Oil Pollution Emergency Plan </w:t>
      </w:r>
      <w:r w:rsidRPr="004D65B3">
        <w:t>(SOPEP) dessas instalações.</w:t>
      </w:r>
    </w:p>
    <w:p w14:paraId="24C43D46" w14:textId="77777777" w:rsidR="000F3DA6" w:rsidRPr="00CE6488" w:rsidRDefault="000F3DA6" w:rsidP="009D01BE">
      <w:pPr>
        <w:pStyle w:val="Ttulo1"/>
      </w:pPr>
      <w:bookmarkStart w:id="64" w:name="_Ref414544801"/>
      <w:bookmarkStart w:id="65" w:name="_Ref414547727"/>
      <w:bookmarkStart w:id="66" w:name="_Toc527990402"/>
      <w:r w:rsidRPr="00CE6488">
        <w:lastRenderedPageBreak/>
        <w:t>ANÁLISE DE VULNERABILIDADE</w:t>
      </w:r>
      <w:bookmarkEnd w:id="64"/>
      <w:bookmarkEnd w:id="65"/>
      <w:bookmarkEnd w:id="66"/>
    </w:p>
    <w:p w14:paraId="176F6DC4" w14:textId="77777777" w:rsidR="00EE6892" w:rsidRDefault="00EE6892" w:rsidP="00EE6892">
      <w:pPr>
        <w:pStyle w:val="tier1Itext"/>
      </w:pPr>
      <w:r>
        <w:t>A</w:t>
      </w:r>
      <w:r w:rsidRPr="00420C5D">
        <w:t xml:space="preserve"> Resolução CONAMA n°</w:t>
      </w:r>
      <w:r>
        <w:t> </w:t>
      </w:r>
      <w:r w:rsidRPr="00420C5D">
        <w:t>398/2008</w:t>
      </w:r>
      <w:r>
        <w:t xml:space="preserve"> define como escopo da Análise de Vulnerabilidade a avaliação dos “</w:t>
      </w:r>
      <w:r w:rsidRPr="00623BB0">
        <w:rPr>
          <w:i/>
        </w:rPr>
        <w:t>efeitos dos incidentes de poluição por óleo sobre a segurança da vida humana e</w:t>
      </w:r>
      <w:r>
        <w:t xml:space="preserve"> (sobre) </w:t>
      </w:r>
      <w:r w:rsidRPr="00623BB0">
        <w:rPr>
          <w:i/>
        </w:rPr>
        <w:t xml:space="preserve">o meio ambiente, nas </w:t>
      </w:r>
      <w:r>
        <w:rPr>
          <w:i/>
        </w:rPr>
        <w:t xml:space="preserve">áreas </w:t>
      </w:r>
      <w:r w:rsidRPr="00623BB0">
        <w:rPr>
          <w:i/>
        </w:rPr>
        <w:t>passíveis de serem atingidas por estes incidentes</w:t>
      </w:r>
      <w:r>
        <w:t>”, devendo-se considerar:</w:t>
      </w:r>
    </w:p>
    <w:p w14:paraId="28D2A8AF" w14:textId="77777777" w:rsidR="00EE6892" w:rsidRDefault="00EE6892" w:rsidP="00EA2A77">
      <w:pPr>
        <w:pStyle w:val="tier1Itext"/>
        <w:keepLines w:val="0"/>
        <w:widowControl/>
        <w:numPr>
          <w:ilvl w:val="0"/>
          <w:numId w:val="27"/>
        </w:numPr>
        <w:tabs>
          <w:tab w:val="clear" w:pos="5529"/>
        </w:tabs>
        <w:spacing w:after="0"/>
        <w:ind w:left="714" w:hanging="357"/>
      </w:pPr>
      <w:r>
        <w:t>A probabilidade de o óleo atingir tais áreas, de acordo com os resultados da modelagem de dispersão do óleo, em particular para o volume de descarga de pior caso, na ausência de ações de contingência; e</w:t>
      </w:r>
    </w:p>
    <w:p w14:paraId="349E090F" w14:textId="77777777" w:rsidR="00EE6892" w:rsidRDefault="00EE6892" w:rsidP="00EA2A77">
      <w:pPr>
        <w:pStyle w:val="tier1Itext"/>
        <w:keepLines w:val="0"/>
        <w:widowControl/>
        <w:numPr>
          <w:ilvl w:val="0"/>
          <w:numId w:val="27"/>
        </w:numPr>
        <w:tabs>
          <w:tab w:val="clear" w:pos="5529"/>
        </w:tabs>
        <w:spacing w:before="0"/>
        <w:ind w:left="714" w:hanging="357"/>
      </w:pPr>
      <w:r>
        <w:t>A sensibilidade destas áreas ao óleo.</w:t>
      </w:r>
    </w:p>
    <w:p w14:paraId="2DCE42DE" w14:textId="29AAC67E" w:rsidR="00EE6892" w:rsidRPr="00EE6892" w:rsidRDefault="00EE6892" w:rsidP="00EE6892">
      <w:pPr>
        <w:pStyle w:val="tier1Itext"/>
      </w:pPr>
      <w:r w:rsidRPr="00EE6892">
        <w:t xml:space="preserve">Com base nessas diretrizes, foi definida como ferramenta para a determinação da vulnerabilidade ambiental a matriz apresentada na </w:t>
      </w:r>
      <w:r w:rsidRPr="00EE6892">
        <w:fldChar w:fldCharType="begin"/>
      </w:r>
      <w:r w:rsidRPr="00EE6892">
        <w:instrText xml:space="preserve"> REF _Ref413333943 \h </w:instrText>
      </w:r>
      <w:r>
        <w:instrText xml:space="preserve"> \* MERGEFORMAT </w:instrText>
      </w:r>
      <w:r w:rsidRPr="00EE6892">
        <w:fldChar w:fldCharType="separate"/>
      </w:r>
      <w:r w:rsidR="00A50E67" w:rsidRPr="00A50E67">
        <w:rPr>
          <w:b/>
          <w:szCs w:val="22"/>
        </w:rPr>
        <w:t xml:space="preserve">Tabela </w:t>
      </w:r>
      <w:r w:rsidR="00A50E67" w:rsidRPr="00A50E67">
        <w:rPr>
          <w:b/>
          <w:noProof/>
          <w:szCs w:val="22"/>
        </w:rPr>
        <w:t>8</w:t>
      </w:r>
      <w:r w:rsidRPr="00EE6892">
        <w:fldChar w:fldCharType="end"/>
      </w:r>
      <w:r w:rsidRPr="00EE6892">
        <w:t>.</w:t>
      </w:r>
    </w:p>
    <w:tbl>
      <w:tblPr>
        <w:tblStyle w:val="Tabelacomgrade"/>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Look w:val="04A0" w:firstRow="1" w:lastRow="0" w:firstColumn="1" w:lastColumn="0" w:noHBand="0" w:noVBand="1"/>
      </w:tblPr>
      <w:tblGrid>
        <w:gridCol w:w="2261"/>
        <w:gridCol w:w="2260"/>
        <w:gridCol w:w="2260"/>
        <w:gridCol w:w="2260"/>
      </w:tblGrid>
      <w:tr w:rsidR="00EE6892" w:rsidRPr="00EE6892" w14:paraId="4B03D2FE" w14:textId="77777777" w:rsidTr="003B5BCC">
        <w:trPr>
          <w:trHeight w:val="283"/>
          <w:tblHeader/>
        </w:trPr>
        <w:tc>
          <w:tcPr>
            <w:tcW w:w="5000" w:type="pct"/>
            <w:gridSpan w:val="4"/>
            <w:shd w:val="clear" w:color="auto" w:fill="auto"/>
            <w:vAlign w:val="bottom"/>
          </w:tcPr>
          <w:p w14:paraId="5CE7FDE3" w14:textId="3236B7A1" w:rsidR="00EE6892" w:rsidRPr="00EE6892" w:rsidRDefault="00EE6892" w:rsidP="00EE6892">
            <w:pPr>
              <w:spacing w:before="0" w:line="240" w:lineRule="auto"/>
              <w:rPr>
                <w:rFonts w:asciiTheme="majorHAnsi" w:hAnsiTheme="majorHAnsi" w:cs="Times New Roman"/>
                <w:b/>
                <w:color w:val="FFFFFF" w:themeColor="background1"/>
                <w:sz w:val="20"/>
                <w:szCs w:val="20"/>
                <w:lang w:eastAsia="pt-BR"/>
              </w:rPr>
            </w:pPr>
            <w:bookmarkStart w:id="67" w:name="_Ref413333943"/>
            <w:bookmarkStart w:id="68" w:name="_Toc414520084"/>
            <w:bookmarkStart w:id="69" w:name="_Toc527990483"/>
            <w:r w:rsidRPr="00EE6892">
              <w:rPr>
                <w:rFonts w:asciiTheme="majorHAnsi" w:hAnsiTheme="majorHAnsi"/>
                <w:b/>
                <w:sz w:val="20"/>
                <w:szCs w:val="20"/>
              </w:rPr>
              <w:t xml:space="preserve">Tabela </w:t>
            </w:r>
            <w:r w:rsidRPr="00EE6892">
              <w:rPr>
                <w:rFonts w:asciiTheme="majorHAnsi" w:hAnsiTheme="majorHAnsi"/>
                <w:b/>
                <w:sz w:val="20"/>
                <w:szCs w:val="20"/>
              </w:rPr>
              <w:fldChar w:fldCharType="begin"/>
            </w:r>
            <w:r w:rsidRPr="00EE6892">
              <w:rPr>
                <w:rFonts w:asciiTheme="majorHAnsi" w:hAnsiTheme="majorHAnsi"/>
                <w:b/>
                <w:sz w:val="20"/>
                <w:szCs w:val="20"/>
              </w:rPr>
              <w:instrText xml:space="preserve"> SEQ Tabela \* ARABIC </w:instrText>
            </w:r>
            <w:r w:rsidRPr="00EE6892">
              <w:rPr>
                <w:rFonts w:asciiTheme="majorHAnsi" w:hAnsiTheme="majorHAnsi"/>
                <w:b/>
                <w:sz w:val="20"/>
                <w:szCs w:val="20"/>
              </w:rPr>
              <w:fldChar w:fldCharType="separate"/>
            </w:r>
            <w:r w:rsidR="00A50E67">
              <w:rPr>
                <w:rFonts w:asciiTheme="majorHAnsi" w:hAnsiTheme="majorHAnsi"/>
                <w:b/>
                <w:noProof/>
                <w:sz w:val="20"/>
                <w:szCs w:val="20"/>
              </w:rPr>
              <w:t>8</w:t>
            </w:r>
            <w:r w:rsidRPr="00EE6892">
              <w:rPr>
                <w:rFonts w:asciiTheme="majorHAnsi" w:hAnsiTheme="majorHAnsi"/>
                <w:b/>
                <w:sz w:val="20"/>
                <w:szCs w:val="20"/>
              </w:rPr>
              <w:fldChar w:fldCharType="end"/>
            </w:r>
            <w:bookmarkEnd w:id="67"/>
            <w:r w:rsidRPr="00EE6892">
              <w:rPr>
                <w:rFonts w:asciiTheme="majorHAnsi" w:hAnsiTheme="majorHAnsi"/>
                <w:b/>
                <w:sz w:val="20"/>
                <w:szCs w:val="20"/>
              </w:rPr>
              <w:t>: Critérios para a avaliação da vulnerabilidade ambiental.</w:t>
            </w:r>
            <w:bookmarkEnd w:id="68"/>
            <w:bookmarkEnd w:id="69"/>
          </w:p>
        </w:tc>
      </w:tr>
      <w:tr w:rsidR="00EE6892" w:rsidRPr="00EE6892" w14:paraId="30BFEFD5" w14:textId="77777777" w:rsidTr="003B5BCC">
        <w:trPr>
          <w:trHeight w:val="400"/>
          <w:tblHeader/>
        </w:trPr>
        <w:tc>
          <w:tcPr>
            <w:tcW w:w="1250" w:type="pct"/>
            <w:vMerge w:val="restart"/>
            <w:shd w:val="clear" w:color="auto" w:fill="1F497D"/>
            <w:vAlign w:val="center"/>
          </w:tcPr>
          <w:p w14:paraId="6CC238D5" w14:textId="77777777" w:rsidR="00EE6892" w:rsidRPr="00EE6892" w:rsidRDefault="00EE6892" w:rsidP="00EE6892">
            <w:pPr>
              <w:spacing w:before="0" w:line="240" w:lineRule="auto"/>
              <w:jc w:val="center"/>
              <w:rPr>
                <w:rFonts w:asciiTheme="majorHAnsi" w:hAnsiTheme="majorHAnsi" w:cs="Times New Roman"/>
                <w:b/>
                <w:color w:val="FFFFFF" w:themeColor="background1"/>
                <w:sz w:val="20"/>
                <w:szCs w:val="20"/>
                <w:lang w:eastAsia="pt-BR"/>
              </w:rPr>
            </w:pPr>
            <w:r w:rsidRPr="00EE6892">
              <w:rPr>
                <w:rFonts w:asciiTheme="majorHAnsi" w:hAnsiTheme="majorHAnsi" w:cs="Times New Roman"/>
                <w:b/>
                <w:color w:val="FFFFFF" w:themeColor="background1"/>
                <w:sz w:val="20"/>
                <w:szCs w:val="20"/>
                <w:lang w:eastAsia="pt-BR"/>
              </w:rPr>
              <w:t>Sensibilidade</w:t>
            </w:r>
          </w:p>
        </w:tc>
        <w:tc>
          <w:tcPr>
            <w:tcW w:w="3750" w:type="pct"/>
            <w:gridSpan w:val="3"/>
            <w:shd w:val="clear" w:color="auto" w:fill="1F497D"/>
            <w:vAlign w:val="center"/>
          </w:tcPr>
          <w:p w14:paraId="720B260F" w14:textId="77777777" w:rsidR="00EE6892" w:rsidRPr="00EE6892" w:rsidRDefault="00EE6892" w:rsidP="00EE6892">
            <w:pPr>
              <w:spacing w:before="0" w:line="240" w:lineRule="auto"/>
              <w:jc w:val="center"/>
              <w:rPr>
                <w:rFonts w:asciiTheme="majorHAnsi" w:hAnsiTheme="majorHAnsi" w:cs="Times New Roman"/>
                <w:b/>
                <w:color w:val="FFFFFF" w:themeColor="background1"/>
                <w:sz w:val="20"/>
                <w:szCs w:val="20"/>
                <w:lang w:eastAsia="pt-BR"/>
              </w:rPr>
            </w:pPr>
            <w:r w:rsidRPr="00EE6892">
              <w:rPr>
                <w:rFonts w:asciiTheme="majorHAnsi" w:hAnsiTheme="majorHAnsi" w:cs="Times New Roman"/>
                <w:b/>
                <w:color w:val="FFFFFF" w:themeColor="background1"/>
                <w:sz w:val="20"/>
                <w:szCs w:val="20"/>
                <w:lang w:eastAsia="pt-BR"/>
              </w:rPr>
              <w:t>Probabilidade</w:t>
            </w:r>
          </w:p>
        </w:tc>
      </w:tr>
      <w:tr w:rsidR="00EE6892" w:rsidRPr="00EE6892" w14:paraId="2F560F38" w14:textId="77777777" w:rsidTr="003B5BCC">
        <w:trPr>
          <w:trHeight w:val="400"/>
          <w:tblHeader/>
        </w:trPr>
        <w:tc>
          <w:tcPr>
            <w:tcW w:w="1250" w:type="pct"/>
            <w:vMerge/>
            <w:shd w:val="clear" w:color="auto" w:fill="1F497D"/>
            <w:vAlign w:val="center"/>
          </w:tcPr>
          <w:p w14:paraId="4E6084E3" w14:textId="77777777" w:rsidR="00EE6892" w:rsidRPr="00EE6892" w:rsidRDefault="00EE6892" w:rsidP="00EE6892">
            <w:pPr>
              <w:spacing w:before="0" w:line="240" w:lineRule="auto"/>
              <w:jc w:val="center"/>
              <w:rPr>
                <w:rFonts w:asciiTheme="majorHAnsi" w:hAnsiTheme="majorHAnsi" w:cs="Times New Roman"/>
                <w:b/>
                <w:color w:val="FFFFFF" w:themeColor="background1"/>
                <w:sz w:val="20"/>
                <w:szCs w:val="20"/>
                <w:lang w:eastAsia="pt-BR"/>
              </w:rPr>
            </w:pPr>
          </w:p>
        </w:tc>
        <w:tc>
          <w:tcPr>
            <w:tcW w:w="1250" w:type="pct"/>
            <w:shd w:val="clear" w:color="auto" w:fill="1F497D"/>
            <w:vAlign w:val="center"/>
          </w:tcPr>
          <w:p w14:paraId="67D6CF61" w14:textId="77777777" w:rsidR="00EE6892" w:rsidRPr="00EE6892" w:rsidRDefault="00EE6892" w:rsidP="00EE6892">
            <w:pPr>
              <w:spacing w:before="0" w:line="240" w:lineRule="auto"/>
              <w:jc w:val="center"/>
              <w:rPr>
                <w:rFonts w:asciiTheme="majorHAnsi" w:hAnsiTheme="majorHAnsi" w:cs="Times New Roman"/>
                <w:b/>
                <w:color w:val="FFFFFF" w:themeColor="background1"/>
                <w:sz w:val="20"/>
                <w:szCs w:val="20"/>
                <w:lang w:eastAsia="pt-BR"/>
              </w:rPr>
            </w:pPr>
            <w:r w:rsidRPr="00EE6892">
              <w:rPr>
                <w:rFonts w:asciiTheme="majorHAnsi" w:hAnsiTheme="majorHAnsi" w:cs="Times New Roman"/>
                <w:b/>
                <w:color w:val="FFFFFF" w:themeColor="background1"/>
                <w:sz w:val="20"/>
                <w:szCs w:val="20"/>
                <w:lang w:eastAsia="pt-BR"/>
              </w:rPr>
              <w:t>Baixa (&lt; 30%)</w:t>
            </w:r>
          </w:p>
        </w:tc>
        <w:tc>
          <w:tcPr>
            <w:tcW w:w="1250" w:type="pct"/>
            <w:shd w:val="clear" w:color="auto" w:fill="1F497D"/>
            <w:vAlign w:val="center"/>
          </w:tcPr>
          <w:p w14:paraId="36DEB10D" w14:textId="77777777" w:rsidR="00EE6892" w:rsidRPr="00EE6892" w:rsidRDefault="00EE6892" w:rsidP="00EE6892">
            <w:pPr>
              <w:spacing w:before="0" w:line="240" w:lineRule="auto"/>
              <w:jc w:val="center"/>
              <w:rPr>
                <w:rFonts w:asciiTheme="majorHAnsi" w:hAnsiTheme="majorHAnsi" w:cs="Times New Roman"/>
                <w:b/>
                <w:color w:val="FFFFFF" w:themeColor="background1"/>
                <w:sz w:val="20"/>
                <w:szCs w:val="20"/>
                <w:lang w:eastAsia="pt-BR"/>
              </w:rPr>
            </w:pPr>
            <w:r w:rsidRPr="00EE6892">
              <w:rPr>
                <w:rFonts w:asciiTheme="majorHAnsi" w:hAnsiTheme="majorHAnsi" w:cs="Times New Roman"/>
                <w:b/>
                <w:color w:val="FFFFFF" w:themeColor="background1"/>
                <w:sz w:val="20"/>
                <w:szCs w:val="20"/>
                <w:lang w:eastAsia="pt-BR"/>
              </w:rPr>
              <w:t>Média (30 – 70%)</w:t>
            </w:r>
          </w:p>
        </w:tc>
        <w:tc>
          <w:tcPr>
            <w:tcW w:w="1250" w:type="pct"/>
            <w:shd w:val="clear" w:color="auto" w:fill="1F497D"/>
            <w:vAlign w:val="center"/>
          </w:tcPr>
          <w:p w14:paraId="183B2062" w14:textId="77777777" w:rsidR="00EE6892" w:rsidRPr="00EE6892" w:rsidRDefault="00EE6892" w:rsidP="00EE6892">
            <w:pPr>
              <w:spacing w:before="0" w:line="240" w:lineRule="auto"/>
              <w:jc w:val="center"/>
              <w:rPr>
                <w:rFonts w:asciiTheme="majorHAnsi" w:hAnsiTheme="majorHAnsi" w:cs="Times New Roman"/>
                <w:b/>
                <w:color w:val="FFFFFF" w:themeColor="background1"/>
                <w:sz w:val="20"/>
                <w:szCs w:val="20"/>
                <w:lang w:eastAsia="pt-BR"/>
              </w:rPr>
            </w:pPr>
            <w:r w:rsidRPr="00EE6892">
              <w:rPr>
                <w:rFonts w:asciiTheme="majorHAnsi" w:hAnsiTheme="majorHAnsi" w:cs="Times New Roman"/>
                <w:b/>
                <w:color w:val="FFFFFF" w:themeColor="background1"/>
                <w:sz w:val="20"/>
                <w:szCs w:val="20"/>
                <w:lang w:eastAsia="pt-BR"/>
              </w:rPr>
              <w:t>Alta (&gt; 70%)</w:t>
            </w:r>
          </w:p>
        </w:tc>
      </w:tr>
      <w:tr w:rsidR="00EE6892" w:rsidRPr="00EE6892" w14:paraId="5693951B" w14:textId="77777777" w:rsidTr="003B5BCC">
        <w:trPr>
          <w:trHeight w:val="340"/>
        </w:trPr>
        <w:tc>
          <w:tcPr>
            <w:tcW w:w="1250" w:type="pct"/>
            <w:shd w:val="clear" w:color="auto" w:fill="D9D9D9" w:themeFill="background1" w:themeFillShade="D9"/>
            <w:vAlign w:val="center"/>
          </w:tcPr>
          <w:p w14:paraId="139292FD" w14:textId="77777777" w:rsidR="00EE6892" w:rsidRPr="00EE6892" w:rsidRDefault="00EE6892" w:rsidP="00EE6892">
            <w:pPr>
              <w:pStyle w:val="tier1Itext"/>
              <w:spacing w:before="0" w:after="0" w:line="240" w:lineRule="auto"/>
              <w:jc w:val="center"/>
              <w:rPr>
                <w:sz w:val="20"/>
                <w:szCs w:val="20"/>
              </w:rPr>
            </w:pPr>
            <w:r w:rsidRPr="00EE6892">
              <w:rPr>
                <w:sz w:val="20"/>
                <w:szCs w:val="20"/>
              </w:rPr>
              <w:t>Baixa</w:t>
            </w:r>
          </w:p>
        </w:tc>
        <w:tc>
          <w:tcPr>
            <w:tcW w:w="1250" w:type="pct"/>
            <w:shd w:val="clear" w:color="auto" w:fill="92D050"/>
            <w:vAlign w:val="center"/>
          </w:tcPr>
          <w:p w14:paraId="791DBDDC" w14:textId="77777777" w:rsidR="00EE6892" w:rsidRPr="00EE6892" w:rsidRDefault="00EE6892" w:rsidP="00EE6892">
            <w:pPr>
              <w:pStyle w:val="tier1Itext"/>
              <w:spacing w:before="0" w:after="0" w:line="240" w:lineRule="auto"/>
              <w:jc w:val="center"/>
              <w:rPr>
                <w:sz w:val="20"/>
                <w:szCs w:val="20"/>
              </w:rPr>
            </w:pPr>
            <w:r w:rsidRPr="00EE6892">
              <w:rPr>
                <w:sz w:val="20"/>
                <w:szCs w:val="20"/>
              </w:rPr>
              <w:t>BAIXA</w:t>
            </w:r>
          </w:p>
        </w:tc>
        <w:tc>
          <w:tcPr>
            <w:tcW w:w="1250" w:type="pct"/>
            <w:shd w:val="clear" w:color="auto" w:fill="FFFF00"/>
            <w:vAlign w:val="center"/>
          </w:tcPr>
          <w:p w14:paraId="0509ABD8" w14:textId="77777777" w:rsidR="00EE6892" w:rsidRPr="00EE6892" w:rsidRDefault="00EE6892" w:rsidP="00EE6892">
            <w:pPr>
              <w:pStyle w:val="tier1Itext"/>
              <w:spacing w:before="0" w:after="0" w:line="240" w:lineRule="auto"/>
              <w:jc w:val="center"/>
              <w:rPr>
                <w:sz w:val="20"/>
                <w:szCs w:val="20"/>
              </w:rPr>
            </w:pPr>
            <w:r w:rsidRPr="00EE6892">
              <w:rPr>
                <w:sz w:val="20"/>
                <w:szCs w:val="20"/>
              </w:rPr>
              <w:t>MÉDIA</w:t>
            </w:r>
          </w:p>
        </w:tc>
        <w:tc>
          <w:tcPr>
            <w:tcW w:w="1250" w:type="pct"/>
            <w:shd w:val="clear" w:color="auto" w:fill="FFFF00"/>
            <w:vAlign w:val="center"/>
          </w:tcPr>
          <w:p w14:paraId="5F1227F4" w14:textId="77777777" w:rsidR="00EE6892" w:rsidRPr="00EE6892" w:rsidRDefault="00EE6892" w:rsidP="00EE6892">
            <w:pPr>
              <w:pStyle w:val="tier1Itext"/>
              <w:spacing w:before="0" w:after="0" w:line="240" w:lineRule="auto"/>
              <w:jc w:val="center"/>
              <w:rPr>
                <w:sz w:val="20"/>
                <w:szCs w:val="20"/>
              </w:rPr>
            </w:pPr>
            <w:r w:rsidRPr="00EE6892">
              <w:rPr>
                <w:sz w:val="20"/>
                <w:szCs w:val="20"/>
              </w:rPr>
              <w:t>MÉDIA</w:t>
            </w:r>
          </w:p>
        </w:tc>
      </w:tr>
      <w:tr w:rsidR="00EE6892" w:rsidRPr="00EE6892" w14:paraId="505E5D58" w14:textId="77777777" w:rsidTr="003B5BCC">
        <w:trPr>
          <w:trHeight w:val="340"/>
        </w:trPr>
        <w:tc>
          <w:tcPr>
            <w:tcW w:w="1250" w:type="pct"/>
            <w:shd w:val="clear" w:color="auto" w:fill="D9D9D9" w:themeFill="background1" w:themeFillShade="D9"/>
            <w:vAlign w:val="center"/>
          </w:tcPr>
          <w:p w14:paraId="76CC0200" w14:textId="77777777" w:rsidR="00EE6892" w:rsidRPr="00EE6892" w:rsidRDefault="00EE6892" w:rsidP="00EE6892">
            <w:pPr>
              <w:pStyle w:val="tier1Itext"/>
              <w:spacing w:before="0" w:after="0" w:line="240" w:lineRule="auto"/>
              <w:jc w:val="center"/>
              <w:rPr>
                <w:sz w:val="20"/>
                <w:szCs w:val="20"/>
              </w:rPr>
            </w:pPr>
            <w:r w:rsidRPr="00EE6892">
              <w:rPr>
                <w:sz w:val="20"/>
                <w:szCs w:val="20"/>
              </w:rPr>
              <w:t>Média</w:t>
            </w:r>
          </w:p>
        </w:tc>
        <w:tc>
          <w:tcPr>
            <w:tcW w:w="1250" w:type="pct"/>
            <w:shd w:val="clear" w:color="auto" w:fill="FFFF00"/>
            <w:vAlign w:val="center"/>
          </w:tcPr>
          <w:p w14:paraId="0B75A800" w14:textId="77777777" w:rsidR="00EE6892" w:rsidRPr="00EE6892" w:rsidRDefault="00EE6892" w:rsidP="00EE6892">
            <w:pPr>
              <w:pStyle w:val="tier1Itext"/>
              <w:spacing w:before="0" w:after="0" w:line="240" w:lineRule="auto"/>
              <w:jc w:val="center"/>
              <w:rPr>
                <w:sz w:val="20"/>
                <w:szCs w:val="20"/>
              </w:rPr>
            </w:pPr>
            <w:r w:rsidRPr="00EE6892">
              <w:rPr>
                <w:sz w:val="20"/>
                <w:szCs w:val="20"/>
              </w:rPr>
              <w:t>MÉDIA</w:t>
            </w:r>
          </w:p>
        </w:tc>
        <w:tc>
          <w:tcPr>
            <w:tcW w:w="1250" w:type="pct"/>
            <w:shd w:val="clear" w:color="auto" w:fill="FFFF00"/>
            <w:vAlign w:val="center"/>
          </w:tcPr>
          <w:p w14:paraId="3BBAADFD" w14:textId="77777777" w:rsidR="00EE6892" w:rsidRPr="00EE6892" w:rsidRDefault="00EE6892" w:rsidP="00EE6892">
            <w:pPr>
              <w:pStyle w:val="tier1Itext"/>
              <w:spacing w:before="0" w:after="0" w:line="240" w:lineRule="auto"/>
              <w:jc w:val="center"/>
              <w:rPr>
                <w:sz w:val="20"/>
                <w:szCs w:val="20"/>
              </w:rPr>
            </w:pPr>
            <w:r w:rsidRPr="00EE6892">
              <w:rPr>
                <w:sz w:val="20"/>
                <w:szCs w:val="20"/>
              </w:rPr>
              <w:t>MÉDIA</w:t>
            </w:r>
          </w:p>
        </w:tc>
        <w:tc>
          <w:tcPr>
            <w:tcW w:w="1250" w:type="pct"/>
            <w:shd w:val="clear" w:color="auto" w:fill="FF0000"/>
            <w:vAlign w:val="center"/>
          </w:tcPr>
          <w:p w14:paraId="03B1A046" w14:textId="77777777" w:rsidR="00EE6892" w:rsidRPr="00EE6892" w:rsidRDefault="00EE6892" w:rsidP="00EE6892">
            <w:pPr>
              <w:pStyle w:val="tier1Itext"/>
              <w:spacing w:before="0" w:after="0" w:line="240" w:lineRule="auto"/>
              <w:jc w:val="center"/>
              <w:rPr>
                <w:sz w:val="20"/>
                <w:szCs w:val="20"/>
              </w:rPr>
            </w:pPr>
            <w:r w:rsidRPr="00EE6892">
              <w:rPr>
                <w:sz w:val="20"/>
                <w:szCs w:val="20"/>
              </w:rPr>
              <w:t>ALTA</w:t>
            </w:r>
          </w:p>
        </w:tc>
      </w:tr>
      <w:tr w:rsidR="00EE6892" w:rsidRPr="00EE6892" w14:paraId="601C5DFF" w14:textId="77777777" w:rsidTr="003B5BCC">
        <w:trPr>
          <w:trHeight w:val="340"/>
        </w:trPr>
        <w:tc>
          <w:tcPr>
            <w:tcW w:w="1250" w:type="pct"/>
            <w:shd w:val="clear" w:color="auto" w:fill="D9D9D9" w:themeFill="background1" w:themeFillShade="D9"/>
            <w:vAlign w:val="center"/>
          </w:tcPr>
          <w:p w14:paraId="4F2FD07C" w14:textId="77777777" w:rsidR="00EE6892" w:rsidRPr="00EE6892" w:rsidRDefault="00EE6892" w:rsidP="00EE6892">
            <w:pPr>
              <w:pStyle w:val="tier1Itext"/>
              <w:spacing w:before="0" w:after="0" w:line="240" w:lineRule="auto"/>
              <w:jc w:val="center"/>
              <w:rPr>
                <w:sz w:val="20"/>
                <w:szCs w:val="20"/>
              </w:rPr>
            </w:pPr>
            <w:r w:rsidRPr="00EE6892">
              <w:rPr>
                <w:sz w:val="20"/>
                <w:szCs w:val="20"/>
              </w:rPr>
              <w:t>Alta</w:t>
            </w:r>
          </w:p>
        </w:tc>
        <w:tc>
          <w:tcPr>
            <w:tcW w:w="1250" w:type="pct"/>
            <w:shd w:val="clear" w:color="auto" w:fill="FFFF00"/>
            <w:vAlign w:val="center"/>
          </w:tcPr>
          <w:p w14:paraId="785E04E1" w14:textId="77777777" w:rsidR="00EE6892" w:rsidRPr="00EE6892" w:rsidRDefault="00EE6892" w:rsidP="00EE6892">
            <w:pPr>
              <w:pStyle w:val="tier1Itext"/>
              <w:spacing w:before="0" w:after="0" w:line="240" w:lineRule="auto"/>
              <w:jc w:val="center"/>
              <w:rPr>
                <w:sz w:val="20"/>
                <w:szCs w:val="20"/>
              </w:rPr>
            </w:pPr>
            <w:r w:rsidRPr="00EE6892">
              <w:rPr>
                <w:sz w:val="20"/>
                <w:szCs w:val="20"/>
              </w:rPr>
              <w:t>MÉDIA</w:t>
            </w:r>
          </w:p>
        </w:tc>
        <w:tc>
          <w:tcPr>
            <w:tcW w:w="1250" w:type="pct"/>
            <w:shd w:val="clear" w:color="auto" w:fill="FF0000"/>
            <w:vAlign w:val="center"/>
          </w:tcPr>
          <w:p w14:paraId="49EE11CA" w14:textId="77777777" w:rsidR="00EE6892" w:rsidRPr="00EE6892" w:rsidRDefault="00EE6892" w:rsidP="00EE6892">
            <w:pPr>
              <w:pStyle w:val="tier1Itext"/>
              <w:spacing w:before="0" w:after="0" w:line="240" w:lineRule="auto"/>
              <w:jc w:val="center"/>
              <w:rPr>
                <w:sz w:val="20"/>
                <w:szCs w:val="20"/>
              </w:rPr>
            </w:pPr>
            <w:r w:rsidRPr="00EE6892">
              <w:rPr>
                <w:sz w:val="20"/>
                <w:szCs w:val="20"/>
              </w:rPr>
              <w:t>ALTA</w:t>
            </w:r>
          </w:p>
        </w:tc>
        <w:tc>
          <w:tcPr>
            <w:tcW w:w="1250" w:type="pct"/>
            <w:shd w:val="clear" w:color="auto" w:fill="FF0000"/>
            <w:vAlign w:val="center"/>
          </w:tcPr>
          <w:p w14:paraId="4D2D5B82" w14:textId="77777777" w:rsidR="00EE6892" w:rsidRPr="00EE6892" w:rsidRDefault="00EE6892" w:rsidP="00EE6892">
            <w:pPr>
              <w:pStyle w:val="tier1Itext"/>
              <w:spacing w:before="0" w:after="0" w:line="240" w:lineRule="auto"/>
              <w:jc w:val="center"/>
              <w:rPr>
                <w:sz w:val="20"/>
                <w:szCs w:val="20"/>
              </w:rPr>
            </w:pPr>
            <w:r w:rsidRPr="00EE6892">
              <w:rPr>
                <w:sz w:val="20"/>
                <w:szCs w:val="20"/>
              </w:rPr>
              <w:t>ALTA</w:t>
            </w:r>
          </w:p>
        </w:tc>
      </w:tr>
    </w:tbl>
    <w:p w14:paraId="3B4EDC53" w14:textId="2DE21E0A" w:rsidR="00EE6892" w:rsidRDefault="00EE6892" w:rsidP="00EE6892">
      <w:pPr>
        <w:pStyle w:val="tier1Itext"/>
        <w:spacing w:before="360"/>
      </w:pPr>
      <w:r>
        <w:t>Para a análise da vulnerabilidade das áreas passíveis de serem atingidas por um eventual incidente de poluição por óleo, decorrente das atividades da BP Energy no Bloco FZA-M-59, foram utilizados os dados do Diagnóstico Ambiental do EIA, e os resultados das modelagens de dispersão de óleo para os cenários acidentais descritos no item </w:t>
      </w:r>
      <w:r>
        <w:fldChar w:fldCharType="begin"/>
      </w:r>
      <w:r>
        <w:instrText xml:space="preserve"> REF _Ref414525557 \r \h </w:instrText>
      </w:r>
      <w:r>
        <w:fldChar w:fldCharType="separate"/>
      </w:r>
      <w:r w:rsidR="00A50E67">
        <w:t>3</w:t>
      </w:r>
      <w:r>
        <w:fldChar w:fldCharType="end"/>
      </w:r>
      <w:r>
        <w:t>.</w:t>
      </w:r>
    </w:p>
    <w:p w14:paraId="5B672A14" w14:textId="1E7525F5" w:rsidR="00EE6892" w:rsidRDefault="00EE6892" w:rsidP="00EE6892">
      <w:pPr>
        <w:pStyle w:val="tier1Itext"/>
      </w:pPr>
      <w:r>
        <w:t xml:space="preserve">Nestas simulações foram considerados os parâmetros hidrodinâmicos regionais, nas condições sazonais de verão e </w:t>
      </w:r>
      <w:r w:rsidRPr="00E9093F">
        <w:t xml:space="preserve">inverno, e as características do </w:t>
      </w:r>
      <w:r w:rsidR="00642786" w:rsidRPr="00E9093F">
        <w:t>derramamento</w:t>
      </w:r>
      <w:r w:rsidRPr="00E9093F">
        <w:t xml:space="preserve">, para os 03 (três) potenciais volumes de descarga: pequena, média e de pior caso. </w:t>
      </w:r>
      <w:r w:rsidR="00460D2A" w:rsidRPr="00E9093F">
        <w:t xml:space="preserve">A informação sobre o relatório </w:t>
      </w:r>
      <w:r w:rsidRPr="00E9093F">
        <w:t>da Modelagem de Dispersão de Óleo</w:t>
      </w:r>
      <w:r w:rsidR="00460D2A" w:rsidRPr="00E9093F">
        <w:t>, onde podem ser vistos os resultados que suportam a análise feita,</w:t>
      </w:r>
      <w:r w:rsidRPr="00E9093F">
        <w:t xml:space="preserve"> </w:t>
      </w:r>
      <w:r w:rsidR="00460D2A" w:rsidRPr="00E9093F">
        <w:t xml:space="preserve">é </w:t>
      </w:r>
      <w:r w:rsidRPr="00E9093F">
        <w:t>apresentad</w:t>
      </w:r>
      <w:r w:rsidR="008914EB" w:rsidRPr="00E9093F">
        <w:t>a</w:t>
      </w:r>
      <w:r w:rsidRPr="00E9093F">
        <w:t xml:space="preserve"> no</w:t>
      </w:r>
      <w:r w:rsidR="00AA3B10" w:rsidRPr="00E9093F">
        <w:t xml:space="preserve"> </w:t>
      </w:r>
      <w:r w:rsidR="00AA3B10" w:rsidRPr="00E9093F">
        <w:rPr>
          <w:b/>
        </w:rPr>
        <w:t xml:space="preserve">ANEXO </w:t>
      </w:r>
      <w:r w:rsidR="00FA49B6" w:rsidRPr="00E9093F">
        <w:rPr>
          <w:b/>
        </w:rPr>
        <w:t>B</w:t>
      </w:r>
      <w:r w:rsidRPr="00E9093F">
        <w:t>.</w:t>
      </w:r>
    </w:p>
    <w:p w14:paraId="1FC61783" w14:textId="77777777" w:rsidR="00EE6892" w:rsidRDefault="00EE6892" w:rsidP="00EE6892">
      <w:pPr>
        <w:pStyle w:val="tier1Itext"/>
      </w:pPr>
      <w:r>
        <w:t>No que diz respeito à avaliação da sensibilidade das áreas passíveis de serem atingidas por óleo, a Resolução CONAMA n° 398/2008 também determina a necessidade de avaliação da vulnerabilidade, quando aplicável, de:</w:t>
      </w:r>
    </w:p>
    <w:p w14:paraId="0D80B2B1" w14:textId="77777777" w:rsidR="00EE6892" w:rsidRDefault="00EE6892" w:rsidP="00EA2A77">
      <w:pPr>
        <w:pStyle w:val="tier1Itext"/>
        <w:keepLines w:val="0"/>
        <w:widowControl/>
        <w:numPr>
          <w:ilvl w:val="0"/>
          <w:numId w:val="28"/>
        </w:numPr>
        <w:tabs>
          <w:tab w:val="clear" w:pos="5529"/>
        </w:tabs>
        <w:spacing w:after="0"/>
        <w:ind w:left="714" w:hanging="357"/>
      </w:pPr>
      <w:r>
        <w:t>Pontos de captação de água;</w:t>
      </w:r>
    </w:p>
    <w:p w14:paraId="1D53E953" w14:textId="77777777" w:rsidR="00EE6892" w:rsidRPr="00E93BAC" w:rsidRDefault="00EE6892" w:rsidP="00EA2A77">
      <w:pPr>
        <w:pStyle w:val="tier1Itext"/>
        <w:keepLines w:val="0"/>
        <w:widowControl/>
        <w:numPr>
          <w:ilvl w:val="0"/>
          <w:numId w:val="28"/>
        </w:numPr>
        <w:tabs>
          <w:tab w:val="clear" w:pos="5529"/>
        </w:tabs>
        <w:spacing w:before="0" w:after="0"/>
        <w:ind w:left="714" w:hanging="357"/>
      </w:pPr>
      <w:r w:rsidRPr="00E93BAC">
        <w:t>Áreas residenciais, de recreação e outras concentrações humanas;</w:t>
      </w:r>
    </w:p>
    <w:p w14:paraId="372AD165" w14:textId="77777777" w:rsidR="00EE6892" w:rsidRPr="00E93BAC" w:rsidRDefault="00EE6892" w:rsidP="00EA2A77">
      <w:pPr>
        <w:pStyle w:val="tier1Itext"/>
        <w:keepLines w:val="0"/>
        <w:widowControl/>
        <w:numPr>
          <w:ilvl w:val="0"/>
          <w:numId w:val="28"/>
        </w:numPr>
        <w:tabs>
          <w:tab w:val="clear" w:pos="5529"/>
        </w:tabs>
        <w:spacing w:before="0" w:after="0"/>
        <w:ind w:left="714" w:hanging="357"/>
      </w:pPr>
      <w:r w:rsidRPr="00E93BAC">
        <w:lastRenderedPageBreak/>
        <w:t>Áreas ecologicamente sensíveis tais como manguezais, bancos de corais, áreas inundáveis, estuários, locais de desova, nidificação, reprodução, alimentação de espécies silvestres locais e migratórias</w:t>
      </w:r>
      <w:r>
        <w:t xml:space="preserve"> etc.;</w:t>
      </w:r>
    </w:p>
    <w:p w14:paraId="00AFEB08" w14:textId="77777777" w:rsidR="00EE6892" w:rsidRPr="00E93BAC" w:rsidRDefault="00EE6892" w:rsidP="00EA2A77">
      <w:pPr>
        <w:pStyle w:val="tier1Itext"/>
        <w:keepLines w:val="0"/>
        <w:widowControl/>
        <w:numPr>
          <w:ilvl w:val="0"/>
          <w:numId w:val="28"/>
        </w:numPr>
        <w:tabs>
          <w:tab w:val="clear" w:pos="5529"/>
        </w:tabs>
        <w:spacing w:before="0" w:after="0"/>
        <w:ind w:left="714" w:hanging="357"/>
      </w:pPr>
      <w:r>
        <w:t>Fauna e flora locais;</w:t>
      </w:r>
    </w:p>
    <w:p w14:paraId="77D8557D" w14:textId="77777777" w:rsidR="00EE6892" w:rsidRPr="00E93BAC" w:rsidRDefault="00EE6892" w:rsidP="00EA2A77">
      <w:pPr>
        <w:pStyle w:val="tier1Itext"/>
        <w:keepLines w:val="0"/>
        <w:widowControl/>
        <w:numPr>
          <w:ilvl w:val="0"/>
          <w:numId w:val="28"/>
        </w:numPr>
        <w:tabs>
          <w:tab w:val="clear" w:pos="5529"/>
        </w:tabs>
        <w:spacing w:before="0" w:after="0"/>
        <w:ind w:left="714" w:hanging="357"/>
      </w:pPr>
      <w:r w:rsidRPr="00E93BAC">
        <w:t>Áreas de im</w:t>
      </w:r>
      <w:r>
        <w:t>portância socioeconômica;</w:t>
      </w:r>
    </w:p>
    <w:p w14:paraId="41549678" w14:textId="77777777" w:rsidR="00EE6892" w:rsidRPr="00E93BAC" w:rsidRDefault="00EE6892" w:rsidP="00EA2A77">
      <w:pPr>
        <w:pStyle w:val="tier1Itext"/>
        <w:keepLines w:val="0"/>
        <w:widowControl/>
        <w:numPr>
          <w:ilvl w:val="0"/>
          <w:numId w:val="28"/>
        </w:numPr>
        <w:tabs>
          <w:tab w:val="clear" w:pos="5529"/>
        </w:tabs>
        <w:spacing w:before="0" w:after="0"/>
        <w:ind w:left="714" w:hanging="357"/>
      </w:pPr>
      <w:r w:rsidRPr="00E93BAC">
        <w:t>Rotas de transporte aquavi</w:t>
      </w:r>
      <w:r>
        <w:t>ário, rodoviário e ferroviário; e</w:t>
      </w:r>
    </w:p>
    <w:p w14:paraId="651D5AEC" w14:textId="77777777" w:rsidR="00EE6892" w:rsidRPr="00E93BAC" w:rsidRDefault="00EE6892" w:rsidP="00EA2A77">
      <w:pPr>
        <w:pStyle w:val="tier1Itext"/>
        <w:keepLines w:val="0"/>
        <w:widowControl/>
        <w:numPr>
          <w:ilvl w:val="0"/>
          <w:numId w:val="28"/>
        </w:numPr>
        <w:tabs>
          <w:tab w:val="clear" w:pos="5529"/>
        </w:tabs>
        <w:spacing w:before="0"/>
        <w:ind w:left="714" w:hanging="357"/>
      </w:pPr>
      <w:r w:rsidRPr="00E93BAC">
        <w:t>Unidades de conservação, terras indígenas, sítios arqueológicos, áreas tomba</w:t>
      </w:r>
      <w:r>
        <w:t>das e comunidades tradicionais.</w:t>
      </w:r>
    </w:p>
    <w:p w14:paraId="32360E11" w14:textId="77777777" w:rsidR="00EE6892" w:rsidRDefault="00EE6892" w:rsidP="00AA3B10">
      <w:pPr>
        <w:pStyle w:val="tier1Itext"/>
        <w:rPr>
          <w:bCs/>
          <w:iCs/>
          <w:noProof/>
        </w:rPr>
      </w:pPr>
      <w:r w:rsidRPr="00064814">
        <w:rPr>
          <w:bCs/>
          <w:iCs/>
          <w:noProof/>
        </w:rPr>
        <w:t xml:space="preserve">De acordo com a modelagem de dispersão de óleo, no entanto, as áreas passíveis de serem atingidas por uma descarga de pior caso incluem apenas áreas oceânicas da região Norte do Brasil, sem probabilidade de toque de óleo na costa. </w:t>
      </w:r>
      <w:r>
        <w:rPr>
          <w:bCs/>
          <w:iCs/>
          <w:noProof/>
        </w:rPr>
        <w:t>Ou seja</w:t>
      </w:r>
      <w:r w:rsidRPr="00064814">
        <w:rPr>
          <w:bCs/>
          <w:iCs/>
          <w:noProof/>
        </w:rPr>
        <w:t xml:space="preserve">, componentes costeiros, </w:t>
      </w:r>
      <w:r>
        <w:rPr>
          <w:bCs/>
          <w:iCs/>
          <w:noProof/>
        </w:rPr>
        <w:t xml:space="preserve">como unidades de conservação, áreas utilizadas para a pesca artesanal e ambientes costeiros ecologicamente sensíveis, </w:t>
      </w:r>
      <w:r w:rsidRPr="00064814">
        <w:rPr>
          <w:bCs/>
          <w:iCs/>
          <w:noProof/>
        </w:rPr>
        <w:t>não estariam vulneráveis a um eventual incidente com derramamento de óleo no mar.</w:t>
      </w:r>
    </w:p>
    <w:p w14:paraId="5EC65F17" w14:textId="77777777" w:rsidR="00EE6892" w:rsidRDefault="00EE6892" w:rsidP="00AA3B10">
      <w:pPr>
        <w:pStyle w:val="tier1Itext"/>
        <w:rPr>
          <w:bCs/>
          <w:iCs/>
          <w:noProof/>
        </w:rPr>
      </w:pPr>
      <w:r>
        <w:rPr>
          <w:bCs/>
          <w:iCs/>
          <w:noProof/>
          <w:szCs w:val="22"/>
        </w:rPr>
        <w:t xml:space="preserve">Além disso, de acordo com o Macrodiagnóstico da Zona Econômica Exclusiva (MMA, 2008), as principais rotas comerciais de navegação </w:t>
      </w:r>
      <w:r w:rsidRPr="005D7184">
        <w:rPr>
          <w:bCs/>
          <w:iCs/>
          <w:noProof/>
          <w:szCs w:val="22"/>
        </w:rPr>
        <w:t>com destino ou provenientes do Porto de Belém</w:t>
      </w:r>
      <w:r>
        <w:rPr>
          <w:bCs/>
          <w:iCs/>
          <w:noProof/>
          <w:szCs w:val="22"/>
        </w:rPr>
        <w:t xml:space="preserve"> são realizadas em profundidades e distâncias da costa inferiores às da área potencialmente atingida por um </w:t>
      </w:r>
      <w:r w:rsidR="00642786">
        <w:rPr>
          <w:bCs/>
          <w:iCs/>
          <w:noProof/>
          <w:szCs w:val="22"/>
        </w:rPr>
        <w:t>derramamento</w:t>
      </w:r>
      <w:r>
        <w:rPr>
          <w:bCs/>
          <w:iCs/>
          <w:noProof/>
          <w:szCs w:val="22"/>
        </w:rPr>
        <w:t xml:space="preserve"> de pior caso. Desta forma, as rotas de navegação também não estariam vulneráveis </w:t>
      </w:r>
      <w:r w:rsidRPr="00064814">
        <w:rPr>
          <w:bCs/>
          <w:iCs/>
          <w:noProof/>
        </w:rPr>
        <w:t>a um eventual incidente</w:t>
      </w:r>
      <w:r>
        <w:rPr>
          <w:bCs/>
          <w:iCs/>
          <w:noProof/>
        </w:rPr>
        <w:t xml:space="preserve"> desta natureza</w:t>
      </w:r>
      <w:r>
        <w:rPr>
          <w:bCs/>
          <w:iCs/>
          <w:noProof/>
          <w:szCs w:val="22"/>
        </w:rPr>
        <w:t>.</w:t>
      </w:r>
    </w:p>
    <w:p w14:paraId="7B3AE90B" w14:textId="5FD6847C" w:rsidR="00EE6892" w:rsidRPr="00AA3B10" w:rsidRDefault="00EE6892" w:rsidP="00AA3B10">
      <w:pPr>
        <w:pStyle w:val="tier1Itext"/>
        <w:rPr>
          <w:bCs/>
          <w:iCs/>
          <w:noProof/>
          <w:szCs w:val="22"/>
        </w:rPr>
      </w:pPr>
      <w:r w:rsidRPr="00AA3B10">
        <w:rPr>
          <w:szCs w:val="22"/>
        </w:rPr>
        <w:t>Partindo dessas premissas</w:t>
      </w:r>
      <w:r w:rsidRPr="00AA3B10">
        <w:rPr>
          <w:bCs/>
          <w:iCs/>
          <w:noProof/>
          <w:szCs w:val="22"/>
        </w:rPr>
        <w:t>, essa Análise de Vulnerabilidade considerou para aplicação d</w:t>
      </w:r>
      <w:r w:rsidRPr="00AA3B10">
        <w:rPr>
          <w:szCs w:val="22"/>
        </w:rPr>
        <w:t xml:space="preserve">a matriz apresentada na </w:t>
      </w:r>
      <w:r w:rsidRPr="00AA3B10">
        <w:rPr>
          <w:szCs w:val="22"/>
        </w:rPr>
        <w:fldChar w:fldCharType="begin"/>
      </w:r>
      <w:r w:rsidRPr="00AA3B10">
        <w:rPr>
          <w:szCs w:val="22"/>
        </w:rPr>
        <w:instrText xml:space="preserve"> REF _Ref413333943 \h </w:instrText>
      </w:r>
      <w:r w:rsidR="00AA3B10">
        <w:rPr>
          <w:szCs w:val="22"/>
        </w:rPr>
        <w:instrText xml:space="preserve"> \* MERGEFORMAT </w:instrText>
      </w:r>
      <w:r w:rsidRPr="00AA3B10">
        <w:rPr>
          <w:szCs w:val="22"/>
        </w:rPr>
      </w:r>
      <w:r w:rsidRPr="00AA3B10">
        <w:rPr>
          <w:szCs w:val="22"/>
        </w:rPr>
        <w:fldChar w:fldCharType="separate"/>
      </w:r>
      <w:r w:rsidR="00A50E67" w:rsidRPr="00A50E67">
        <w:rPr>
          <w:b/>
          <w:szCs w:val="22"/>
        </w:rPr>
        <w:t xml:space="preserve">Tabela </w:t>
      </w:r>
      <w:r w:rsidR="00A50E67" w:rsidRPr="00A50E67">
        <w:rPr>
          <w:b/>
          <w:noProof/>
          <w:szCs w:val="22"/>
        </w:rPr>
        <w:t>8</w:t>
      </w:r>
      <w:r w:rsidRPr="00AA3B10">
        <w:rPr>
          <w:szCs w:val="22"/>
        </w:rPr>
        <w:fldChar w:fldCharType="end"/>
      </w:r>
      <w:r w:rsidRPr="00AA3B10">
        <w:rPr>
          <w:szCs w:val="22"/>
        </w:rPr>
        <w:t xml:space="preserve">, </w:t>
      </w:r>
      <w:r w:rsidRPr="00AA3B10">
        <w:rPr>
          <w:bCs/>
          <w:iCs/>
          <w:noProof/>
          <w:szCs w:val="22"/>
        </w:rPr>
        <w:t>apenas os elementos da fauna marinha potencialmente impactados, visto que não foram identificados representantes dos demais componentes ambientais relevantes descritos pela Resolução CONAMA n° 398/2008 na região (como bancos submarinos, ilhas oceânicas</w:t>
      </w:r>
      <w:r w:rsidR="00153F3F">
        <w:rPr>
          <w:bCs/>
          <w:iCs/>
          <w:noProof/>
          <w:szCs w:val="22"/>
        </w:rPr>
        <w:t>, recifes biogênicos submersos</w:t>
      </w:r>
      <w:r w:rsidRPr="00AA3B10">
        <w:rPr>
          <w:bCs/>
          <w:iCs/>
          <w:noProof/>
          <w:szCs w:val="22"/>
        </w:rPr>
        <w:t xml:space="preserve"> ou unidades de conservação marinhas). Os resultados obtidos a partir da aplicação da matriz são </w:t>
      </w:r>
      <w:r w:rsidRPr="00AA3B10">
        <w:rPr>
          <w:szCs w:val="22"/>
        </w:rPr>
        <w:t xml:space="preserve">brevemente apresentados </w:t>
      </w:r>
      <w:r w:rsidRPr="00F73874">
        <w:rPr>
          <w:szCs w:val="22"/>
        </w:rPr>
        <w:t>na</w:t>
      </w:r>
      <w:r w:rsidR="00F73874" w:rsidRPr="00F73874">
        <w:rPr>
          <w:szCs w:val="22"/>
        </w:rPr>
        <w:t xml:space="preserve"> </w:t>
      </w:r>
      <w:r w:rsidR="00F73874" w:rsidRPr="00F73874">
        <w:rPr>
          <w:szCs w:val="22"/>
        </w:rPr>
        <w:fldChar w:fldCharType="begin"/>
      </w:r>
      <w:r w:rsidR="00F73874" w:rsidRPr="00F73874">
        <w:rPr>
          <w:szCs w:val="22"/>
        </w:rPr>
        <w:instrText xml:space="preserve"> REF _Ref415472288 \h </w:instrText>
      </w:r>
      <w:r w:rsidR="00F73874">
        <w:rPr>
          <w:szCs w:val="22"/>
        </w:rPr>
        <w:instrText xml:space="preserve"> \* MERGEFORMAT </w:instrText>
      </w:r>
      <w:r w:rsidR="00F73874" w:rsidRPr="00F73874">
        <w:rPr>
          <w:szCs w:val="22"/>
        </w:rPr>
      </w:r>
      <w:r w:rsidR="00F73874" w:rsidRPr="00F73874">
        <w:rPr>
          <w:szCs w:val="22"/>
        </w:rPr>
        <w:fldChar w:fldCharType="separate"/>
      </w:r>
      <w:r w:rsidR="00A50E67" w:rsidRPr="00A50E67">
        <w:rPr>
          <w:b/>
          <w:szCs w:val="22"/>
        </w:rPr>
        <w:t xml:space="preserve">Tabela </w:t>
      </w:r>
      <w:r w:rsidR="00A50E67" w:rsidRPr="00A50E67">
        <w:rPr>
          <w:b/>
          <w:noProof/>
          <w:szCs w:val="22"/>
        </w:rPr>
        <w:t>9</w:t>
      </w:r>
      <w:r w:rsidR="00F73874" w:rsidRPr="00F73874">
        <w:rPr>
          <w:szCs w:val="22"/>
        </w:rPr>
        <w:fldChar w:fldCharType="end"/>
      </w:r>
      <w:r w:rsidRPr="00F73874">
        <w:rPr>
          <w:szCs w:val="22"/>
        </w:rPr>
        <w:t>, a</w:t>
      </w:r>
      <w:r w:rsidRPr="00AA3B10">
        <w:rPr>
          <w:szCs w:val="22"/>
        </w:rPr>
        <w:t xml:space="preserve"> seguir.</w:t>
      </w:r>
    </w:p>
    <w:p w14:paraId="4F29D9E7" w14:textId="77777777" w:rsidR="00121F26" w:rsidRDefault="00121F26" w:rsidP="00121F26">
      <w:pPr>
        <w:pStyle w:val="tier1Itext"/>
      </w:pPr>
      <w:bookmarkStart w:id="70" w:name="_Ref413337126"/>
      <w:bookmarkStart w:id="71" w:name="_Toc414520085"/>
      <w:r>
        <w:rPr>
          <w:rFonts w:eastAsiaTheme="minorEastAsia"/>
        </w:rPr>
        <w:br w:type="page"/>
      </w:r>
    </w:p>
    <w:tbl>
      <w:tblPr>
        <w:tblStyle w:val="Tabelacomgrade"/>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Look w:val="04A0" w:firstRow="1" w:lastRow="0" w:firstColumn="1" w:lastColumn="0" w:noHBand="0" w:noVBand="1"/>
      </w:tblPr>
      <w:tblGrid>
        <w:gridCol w:w="3127"/>
        <w:gridCol w:w="1953"/>
        <w:gridCol w:w="1023"/>
        <w:gridCol w:w="971"/>
        <w:gridCol w:w="1967"/>
      </w:tblGrid>
      <w:tr w:rsidR="00EE6892" w:rsidRPr="00AA3B10" w14:paraId="2F2BD97D" w14:textId="77777777" w:rsidTr="003B5BCC">
        <w:trPr>
          <w:trHeight w:val="400"/>
          <w:tblHeader/>
        </w:trPr>
        <w:tc>
          <w:tcPr>
            <w:tcW w:w="5000" w:type="pct"/>
            <w:gridSpan w:val="5"/>
            <w:shd w:val="clear" w:color="auto" w:fill="auto"/>
            <w:vAlign w:val="bottom"/>
          </w:tcPr>
          <w:p w14:paraId="1E0B3639" w14:textId="5CBB44B9" w:rsidR="00EE6892" w:rsidRPr="00AA3B10" w:rsidRDefault="00EE6892" w:rsidP="00AA3B10">
            <w:pPr>
              <w:spacing w:before="0" w:line="240" w:lineRule="auto"/>
              <w:rPr>
                <w:rFonts w:asciiTheme="majorHAnsi" w:hAnsiTheme="majorHAnsi" w:cs="Times New Roman"/>
                <w:b/>
                <w:color w:val="FFFFFF" w:themeColor="background1"/>
                <w:sz w:val="20"/>
                <w:szCs w:val="20"/>
                <w:lang w:eastAsia="pt-BR"/>
              </w:rPr>
            </w:pPr>
            <w:bookmarkStart w:id="72" w:name="_Ref415472288"/>
            <w:bookmarkStart w:id="73" w:name="_Toc527990484"/>
            <w:r w:rsidRPr="00AA3B10">
              <w:rPr>
                <w:rFonts w:asciiTheme="majorHAnsi" w:hAnsiTheme="majorHAnsi"/>
                <w:b/>
                <w:sz w:val="20"/>
                <w:szCs w:val="20"/>
              </w:rPr>
              <w:lastRenderedPageBreak/>
              <w:t xml:space="preserve">Tabela </w:t>
            </w:r>
            <w:r w:rsidRPr="00AA3B10">
              <w:rPr>
                <w:rFonts w:asciiTheme="majorHAnsi" w:hAnsiTheme="majorHAnsi"/>
                <w:b/>
                <w:sz w:val="20"/>
                <w:szCs w:val="20"/>
              </w:rPr>
              <w:fldChar w:fldCharType="begin"/>
            </w:r>
            <w:r w:rsidRPr="00AA3B10">
              <w:rPr>
                <w:rFonts w:asciiTheme="majorHAnsi" w:hAnsiTheme="majorHAnsi"/>
                <w:b/>
                <w:sz w:val="20"/>
                <w:szCs w:val="20"/>
              </w:rPr>
              <w:instrText xml:space="preserve"> SEQ Tabela \* ARABIC </w:instrText>
            </w:r>
            <w:r w:rsidRPr="00AA3B10">
              <w:rPr>
                <w:rFonts w:asciiTheme="majorHAnsi" w:hAnsiTheme="majorHAnsi"/>
                <w:b/>
                <w:sz w:val="20"/>
                <w:szCs w:val="20"/>
              </w:rPr>
              <w:fldChar w:fldCharType="separate"/>
            </w:r>
            <w:r w:rsidR="00A50E67">
              <w:rPr>
                <w:rFonts w:asciiTheme="majorHAnsi" w:hAnsiTheme="majorHAnsi"/>
                <w:b/>
                <w:noProof/>
                <w:sz w:val="20"/>
                <w:szCs w:val="20"/>
              </w:rPr>
              <w:t>9</w:t>
            </w:r>
            <w:r w:rsidRPr="00AA3B10">
              <w:rPr>
                <w:rFonts w:asciiTheme="majorHAnsi" w:hAnsiTheme="majorHAnsi"/>
                <w:b/>
                <w:sz w:val="20"/>
                <w:szCs w:val="20"/>
              </w:rPr>
              <w:fldChar w:fldCharType="end"/>
            </w:r>
            <w:bookmarkEnd w:id="70"/>
            <w:bookmarkEnd w:id="72"/>
            <w:r w:rsidRPr="00AA3B10">
              <w:rPr>
                <w:rFonts w:asciiTheme="majorHAnsi" w:hAnsiTheme="majorHAnsi"/>
                <w:b/>
                <w:sz w:val="20"/>
                <w:szCs w:val="20"/>
              </w:rPr>
              <w:t xml:space="preserve">: Vulnerabilidade dos componentes ambientais potencialmente impactados no caso de um </w:t>
            </w:r>
            <w:r w:rsidR="00642786">
              <w:rPr>
                <w:rFonts w:asciiTheme="majorHAnsi" w:hAnsiTheme="majorHAnsi"/>
                <w:b/>
                <w:sz w:val="20"/>
                <w:szCs w:val="20"/>
              </w:rPr>
              <w:t>derramamento</w:t>
            </w:r>
            <w:r w:rsidRPr="00AA3B10">
              <w:rPr>
                <w:rFonts w:asciiTheme="majorHAnsi" w:hAnsiTheme="majorHAnsi"/>
                <w:b/>
                <w:sz w:val="20"/>
                <w:szCs w:val="20"/>
              </w:rPr>
              <w:t xml:space="preserve"> de óleo de pior caso em decorrência das atividades no Bloco FZA-M-59.</w:t>
            </w:r>
            <w:bookmarkEnd w:id="71"/>
            <w:bookmarkEnd w:id="73"/>
          </w:p>
        </w:tc>
      </w:tr>
      <w:tr w:rsidR="00EE6892" w:rsidRPr="00AA3B10" w14:paraId="2739E7E3" w14:textId="77777777" w:rsidTr="00121F26">
        <w:trPr>
          <w:trHeight w:val="400"/>
          <w:tblHeader/>
        </w:trPr>
        <w:tc>
          <w:tcPr>
            <w:tcW w:w="1729" w:type="pct"/>
            <w:shd w:val="clear" w:color="auto" w:fill="1F497D"/>
            <w:vAlign w:val="center"/>
          </w:tcPr>
          <w:p w14:paraId="40434D67" w14:textId="77777777" w:rsidR="00EE6892" w:rsidRPr="00AA3B10" w:rsidRDefault="00EE6892" w:rsidP="00AA3B10">
            <w:pPr>
              <w:spacing w:before="0" w:line="240" w:lineRule="auto"/>
              <w:jc w:val="center"/>
              <w:rPr>
                <w:rFonts w:asciiTheme="majorHAnsi" w:hAnsiTheme="majorHAnsi" w:cs="Times New Roman"/>
                <w:b/>
                <w:color w:val="FFFFFF" w:themeColor="background1"/>
                <w:sz w:val="20"/>
                <w:szCs w:val="20"/>
                <w:lang w:eastAsia="pt-BR"/>
              </w:rPr>
            </w:pPr>
            <w:r w:rsidRPr="00AA3B10">
              <w:rPr>
                <w:rFonts w:asciiTheme="majorHAnsi" w:hAnsiTheme="majorHAnsi" w:cs="Times New Roman"/>
                <w:b/>
                <w:color w:val="FFFFFF" w:themeColor="background1"/>
                <w:sz w:val="20"/>
                <w:szCs w:val="20"/>
                <w:lang w:eastAsia="pt-BR"/>
              </w:rPr>
              <w:t>Componente ambiental</w:t>
            </w:r>
          </w:p>
        </w:tc>
        <w:tc>
          <w:tcPr>
            <w:tcW w:w="1080" w:type="pct"/>
            <w:shd w:val="clear" w:color="auto" w:fill="1F497D"/>
            <w:vAlign w:val="center"/>
          </w:tcPr>
          <w:p w14:paraId="70FD3CB6" w14:textId="77777777" w:rsidR="00EE6892" w:rsidRPr="00AA3B10" w:rsidRDefault="00EE6892" w:rsidP="00AA3B10">
            <w:pPr>
              <w:spacing w:before="0" w:line="240" w:lineRule="auto"/>
              <w:jc w:val="center"/>
              <w:rPr>
                <w:rFonts w:asciiTheme="majorHAnsi" w:hAnsiTheme="majorHAnsi" w:cs="Times New Roman"/>
                <w:b/>
                <w:color w:val="FFFFFF" w:themeColor="background1"/>
                <w:sz w:val="20"/>
                <w:szCs w:val="20"/>
                <w:lang w:eastAsia="pt-BR"/>
              </w:rPr>
            </w:pPr>
            <w:r w:rsidRPr="00AA3B10">
              <w:rPr>
                <w:rFonts w:asciiTheme="majorHAnsi" w:hAnsiTheme="majorHAnsi" w:cs="Times New Roman"/>
                <w:b/>
                <w:color w:val="FFFFFF" w:themeColor="background1"/>
                <w:sz w:val="20"/>
                <w:szCs w:val="20"/>
                <w:lang w:eastAsia="pt-BR"/>
              </w:rPr>
              <w:t>Sensibilidade</w:t>
            </w:r>
          </w:p>
        </w:tc>
        <w:tc>
          <w:tcPr>
            <w:tcW w:w="1103" w:type="pct"/>
            <w:gridSpan w:val="2"/>
            <w:shd w:val="clear" w:color="auto" w:fill="1F497D"/>
            <w:vAlign w:val="center"/>
          </w:tcPr>
          <w:p w14:paraId="3E0EF938" w14:textId="77777777" w:rsidR="00EE6892" w:rsidRPr="00AA3B10" w:rsidRDefault="00EE6892" w:rsidP="00AA3B10">
            <w:pPr>
              <w:spacing w:before="0" w:line="240" w:lineRule="auto"/>
              <w:jc w:val="center"/>
              <w:rPr>
                <w:rFonts w:asciiTheme="majorHAnsi" w:hAnsiTheme="majorHAnsi" w:cs="Times New Roman"/>
                <w:b/>
                <w:color w:val="FFFFFF" w:themeColor="background1"/>
                <w:sz w:val="20"/>
                <w:szCs w:val="20"/>
                <w:lang w:eastAsia="pt-BR"/>
              </w:rPr>
            </w:pPr>
            <w:r w:rsidRPr="00AA3B10">
              <w:rPr>
                <w:rFonts w:asciiTheme="majorHAnsi" w:hAnsiTheme="majorHAnsi" w:cs="Times New Roman"/>
                <w:b/>
                <w:color w:val="FFFFFF" w:themeColor="background1"/>
                <w:sz w:val="20"/>
                <w:szCs w:val="20"/>
                <w:lang w:eastAsia="pt-BR"/>
              </w:rPr>
              <w:t>Probabilidade de alcance por óleo</w:t>
            </w:r>
          </w:p>
        </w:tc>
        <w:tc>
          <w:tcPr>
            <w:tcW w:w="1088" w:type="pct"/>
            <w:shd w:val="clear" w:color="auto" w:fill="1F497D"/>
            <w:vAlign w:val="center"/>
          </w:tcPr>
          <w:p w14:paraId="5F7BB0C9" w14:textId="77777777" w:rsidR="00EE6892" w:rsidRPr="00AA3B10" w:rsidRDefault="00EE6892" w:rsidP="00AA3B10">
            <w:pPr>
              <w:spacing w:before="0" w:line="240" w:lineRule="auto"/>
              <w:jc w:val="center"/>
              <w:rPr>
                <w:rFonts w:asciiTheme="majorHAnsi" w:hAnsiTheme="majorHAnsi" w:cs="Times New Roman"/>
                <w:b/>
                <w:color w:val="FFFFFF" w:themeColor="background1"/>
                <w:sz w:val="20"/>
                <w:szCs w:val="20"/>
                <w:lang w:eastAsia="pt-BR"/>
              </w:rPr>
            </w:pPr>
            <w:r w:rsidRPr="00AA3B10">
              <w:rPr>
                <w:rFonts w:asciiTheme="majorHAnsi" w:hAnsiTheme="majorHAnsi" w:cs="Times New Roman"/>
                <w:b/>
                <w:color w:val="FFFFFF" w:themeColor="background1"/>
                <w:sz w:val="20"/>
                <w:szCs w:val="20"/>
                <w:lang w:eastAsia="pt-BR"/>
              </w:rPr>
              <w:t>Vulnerabilidade</w:t>
            </w:r>
          </w:p>
        </w:tc>
      </w:tr>
      <w:tr w:rsidR="00EE6892" w:rsidRPr="00AA3B10" w14:paraId="17EBC3BA" w14:textId="77777777" w:rsidTr="00121F26">
        <w:trPr>
          <w:trHeight w:val="340"/>
        </w:trPr>
        <w:tc>
          <w:tcPr>
            <w:tcW w:w="1729" w:type="pct"/>
            <w:shd w:val="clear" w:color="auto" w:fill="D9D9D9" w:themeFill="background1" w:themeFillShade="D9"/>
            <w:vAlign w:val="center"/>
          </w:tcPr>
          <w:p w14:paraId="7381B346" w14:textId="77777777" w:rsidR="00EE6892" w:rsidRPr="00AA3B10" w:rsidRDefault="00EE6892" w:rsidP="00AA3B10">
            <w:pPr>
              <w:pStyle w:val="tier1Itext"/>
              <w:spacing w:before="0" w:after="0" w:line="240" w:lineRule="auto"/>
              <w:jc w:val="center"/>
              <w:rPr>
                <w:b/>
                <w:sz w:val="20"/>
                <w:szCs w:val="20"/>
              </w:rPr>
            </w:pPr>
            <w:r w:rsidRPr="00AA3B10">
              <w:rPr>
                <w:b/>
                <w:sz w:val="20"/>
                <w:szCs w:val="20"/>
              </w:rPr>
              <w:t>Plâncton</w:t>
            </w:r>
          </w:p>
          <w:p w14:paraId="51C76D07" w14:textId="77777777" w:rsidR="00EE6892" w:rsidRPr="00AA3B10" w:rsidRDefault="00EE6892" w:rsidP="00AA3B10">
            <w:pPr>
              <w:pStyle w:val="tier1Itext"/>
              <w:spacing w:before="0" w:after="0" w:line="240" w:lineRule="auto"/>
              <w:jc w:val="center"/>
              <w:rPr>
                <w:sz w:val="20"/>
                <w:szCs w:val="20"/>
              </w:rPr>
            </w:pPr>
            <w:r w:rsidRPr="00AA3B10">
              <w:rPr>
                <w:sz w:val="20"/>
                <w:szCs w:val="20"/>
              </w:rPr>
              <w:t xml:space="preserve">(na região adjacente à fonte do </w:t>
            </w:r>
            <w:r w:rsidR="00642786">
              <w:rPr>
                <w:sz w:val="20"/>
                <w:szCs w:val="20"/>
              </w:rPr>
              <w:t>derramamento</w:t>
            </w:r>
            <w:r w:rsidRPr="00AA3B10">
              <w:rPr>
                <w:sz w:val="20"/>
                <w:szCs w:val="20"/>
              </w:rPr>
              <w:t>)</w:t>
            </w:r>
          </w:p>
        </w:tc>
        <w:tc>
          <w:tcPr>
            <w:tcW w:w="1080" w:type="pct"/>
            <w:shd w:val="clear" w:color="auto" w:fill="92D050"/>
            <w:vAlign w:val="center"/>
          </w:tcPr>
          <w:p w14:paraId="6AAE9542" w14:textId="77777777" w:rsidR="00EE6892" w:rsidRPr="00AA3B10" w:rsidRDefault="00EE6892" w:rsidP="00AA3B10">
            <w:pPr>
              <w:pStyle w:val="tier1Itext"/>
              <w:spacing w:before="0" w:after="0" w:line="240" w:lineRule="auto"/>
              <w:jc w:val="center"/>
              <w:rPr>
                <w:sz w:val="20"/>
                <w:szCs w:val="20"/>
              </w:rPr>
            </w:pPr>
            <w:r w:rsidRPr="00AA3B10">
              <w:rPr>
                <w:sz w:val="20"/>
                <w:szCs w:val="20"/>
              </w:rPr>
              <w:t>BAIXA</w:t>
            </w:r>
          </w:p>
        </w:tc>
        <w:tc>
          <w:tcPr>
            <w:tcW w:w="1103" w:type="pct"/>
            <w:gridSpan w:val="2"/>
            <w:shd w:val="clear" w:color="auto" w:fill="FF0000"/>
            <w:vAlign w:val="center"/>
          </w:tcPr>
          <w:p w14:paraId="46A0FE83" w14:textId="77777777" w:rsidR="00EE6892" w:rsidRPr="00AA3B10" w:rsidRDefault="00EE6892" w:rsidP="00AA3B10">
            <w:pPr>
              <w:pStyle w:val="tier1Itext"/>
              <w:spacing w:before="0" w:after="0" w:line="240" w:lineRule="auto"/>
              <w:jc w:val="center"/>
              <w:rPr>
                <w:sz w:val="20"/>
                <w:szCs w:val="20"/>
              </w:rPr>
            </w:pPr>
            <w:r w:rsidRPr="00C74C44">
              <w:rPr>
                <w:color w:val="FFFFFF" w:themeColor="background1"/>
                <w:sz w:val="20"/>
                <w:szCs w:val="20"/>
              </w:rPr>
              <w:t>ALTA</w:t>
            </w:r>
          </w:p>
        </w:tc>
        <w:tc>
          <w:tcPr>
            <w:tcW w:w="1088" w:type="pct"/>
            <w:shd w:val="clear" w:color="auto" w:fill="FFFF00"/>
            <w:vAlign w:val="center"/>
          </w:tcPr>
          <w:p w14:paraId="2950B2E5" w14:textId="77777777" w:rsidR="00EE6892" w:rsidRPr="00AA3B10" w:rsidRDefault="00EE6892" w:rsidP="00AA3B10">
            <w:pPr>
              <w:pStyle w:val="tier1Itext"/>
              <w:spacing w:before="0" w:after="0" w:line="240" w:lineRule="auto"/>
              <w:jc w:val="center"/>
              <w:rPr>
                <w:sz w:val="20"/>
                <w:szCs w:val="20"/>
              </w:rPr>
            </w:pPr>
            <w:r w:rsidRPr="00AA3B10">
              <w:rPr>
                <w:sz w:val="20"/>
                <w:szCs w:val="20"/>
              </w:rPr>
              <w:t>MÉDIA</w:t>
            </w:r>
          </w:p>
        </w:tc>
      </w:tr>
      <w:tr w:rsidR="00EE6892" w:rsidRPr="00AA3B10" w14:paraId="1C5FF26D" w14:textId="77777777" w:rsidTr="00121F26">
        <w:trPr>
          <w:trHeight w:val="340"/>
        </w:trPr>
        <w:tc>
          <w:tcPr>
            <w:tcW w:w="1729" w:type="pct"/>
            <w:shd w:val="clear" w:color="auto" w:fill="D9D9D9" w:themeFill="background1" w:themeFillShade="D9"/>
            <w:vAlign w:val="center"/>
          </w:tcPr>
          <w:p w14:paraId="4AC06374" w14:textId="77777777" w:rsidR="00EE6892" w:rsidRPr="00AA3B10" w:rsidRDefault="00EE6892" w:rsidP="00AA3B10">
            <w:pPr>
              <w:pStyle w:val="tier1Itext"/>
              <w:spacing w:before="0" w:after="0" w:line="240" w:lineRule="auto"/>
              <w:jc w:val="center"/>
              <w:rPr>
                <w:b/>
                <w:sz w:val="20"/>
                <w:szCs w:val="20"/>
              </w:rPr>
            </w:pPr>
            <w:r w:rsidRPr="00AA3B10">
              <w:rPr>
                <w:b/>
                <w:sz w:val="20"/>
                <w:szCs w:val="20"/>
              </w:rPr>
              <w:t>Plâncton</w:t>
            </w:r>
          </w:p>
          <w:p w14:paraId="51B42B69" w14:textId="77777777" w:rsidR="00EE6892" w:rsidRPr="00AA3B10" w:rsidRDefault="00EE6892" w:rsidP="00AA3B10">
            <w:pPr>
              <w:pStyle w:val="tier1Itext"/>
              <w:spacing w:before="0" w:after="0" w:line="240" w:lineRule="auto"/>
              <w:jc w:val="center"/>
              <w:rPr>
                <w:sz w:val="20"/>
                <w:szCs w:val="20"/>
              </w:rPr>
            </w:pPr>
            <w:r w:rsidRPr="00AA3B10">
              <w:rPr>
                <w:sz w:val="20"/>
                <w:szCs w:val="20"/>
              </w:rPr>
              <w:t>(nas regiões distantes da fonte)</w:t>
            </w:r>
          </w:p>
        </w:tc>
        <w:tc>
          <w:tcPr>
            <w:tcW w:w="1080" w:type="pct"/>
            <w:shd w:val="clear" w:color="auto" w:fill="92D050"/>
            <w:vAlign w:val="center"/>
          </w:tcPr>
          <w:p w14:paraId="07F245EC" w14:textId="77777777" w:rsidR="00EE6892" w:rsidRPr="00AA3B10" w:rsidRDefault="00EE6892" w:rsidP="00AA3B10">
            <w:pPr>
              <w:pStyle w:val="tier1Itext"/>
              <w:spacing w:before="0" w:after="0" w:line="240" w:lineRule="auto"/>
              <w:jc w:val="center"/>
              <w:rPr>
                <w:sz w:val="20"/>
                <w:szCs w:val="20"/>
              </w:rPr>
            </w:pPr>
            <w:r w:rsidRPr="00AA3B10">
              <w:rPr>
                <w:sz w:val="20"/>
                <w:szCs w:val="20"/>
              </w:rPr>
              <w:t>BAIXA</w:t>
            </w:r>
          </w:p>
        </w:tc>
        <w:tc>
          <w:tcPr>
            <w:tcW w:w="1103" w:type="pct"/>
            <w:gridSpan w:val="2"/>
            <w:shd w:val="clear" w:color="auto" w:fill="92D050"/>
            <w:vAlign w:val="center"/>
          </w:tcPr>
          <w:p w14:paraId="74711BFD" w14:textId="77777777" w:rsidR="00EE6892" w:rsidRPr="00AA3B10" w:rsidRDefault="00EE6892" w:rsidP="00AA3B10">
            <w:pPr>
              <w:pStyle w:val="tier1Itext"/>
              <w:spacing w:before="0" w:after="0" w:line="240" w:lineRule="auto"/>
              <w:jc w:val="center"/>
              <w:rPr>
                <w:sz w:val="20"/>
                <w:szCs w:val="20"/>
              </w:rPr>
            </w:pPr>
            <w:r w:rsidRPr="00AA3B10">
              <w:rPr>
                <w:sz w:val="20"/>
                <w:szCs w:val="20"/>
              </w:rPr>
              <w:t>BAIXA</w:t>
            </w:r>
          </w:p>
        </w:tc>
        <w:tc>
          <w:tcPr>
            <w:tcW w:w="1088" w:type="pct"/>
            <w:shd w:val="clear" w:color="auto" w:fill="92D050"/>
            <w:vAlign w:val="center"/>
          </w:tcPr>
          <w:p w14:paraId="324BAE06" w14:textId="77777777" w:rsidR="00EE6892" w:rsidRPr="00AA3B10" w:rsidRDefault="00EE6892" w:rsidP="00AA3B10">
            <w:pPr>
              <w:pStyle w:val="tier1Itext"/>
              <w:spacing w:before="0" w:after="0" w:line="240" w:lineRule="auto"/>
              <w:jc w:val="center"/>
              <w:rPr>
                <w:sz w:val="20"/>
                <w:szCs w:val="20"/>
              </w:rPr>
            </w:pPr>
            <w:r w:rsidRPr="00AA3B10">
              <w:rPr>
                <w:sz w:val="20"/>
                <w:szCs w:val="20"/>
              </w:rPr>
              <w:t>BAIXA</w:t>
            </w:r>
          </w:p>
        </w:tc>
      </w:tr>
      <w:tr w:rsidR="00EE6892" w:rsidRPr="00AA3B10" w14:paraId="21CB1752" w14:textId="77777777" w:rsidTr="00121F26">
        <w:trPr>
          <w:trHeight w:val="340"/>
        </w:trPr>
        <w:tc>
          <w:tcPr>
            <w:tcW w:w="1729" w:type="pct"/>
            <w:shd w:val="clear" w:color="auto" w:fill="D9D9D9" w:themeFill="background1" w:themeFillShade="D9"/>
            <w:vAlign w:val="center"/>
          </w:tcPr>
          <w:p w14:paraId="27E3F5B3" w14:textId="77777777" w:rsidR="00EE6892" w:rsidRPr="00AA3B10" w:rsidRDefault="00EE6892" w:rsidP="00AA3B10">
            <w:pPr>
              <w:pStyle w:val="tier1Itext"/>
              <w:spacing w:before="0" w:after="0" w:line="240" w:lineRule="auto"/>
              <w:jc w:val="center"/>
              <w:rPr>
                <w:b/>
                <w:sz w:val="20"/>
                <w:szCs w:val="20"/>
              </w:rPr>
            </w:pPr>
            <w:r w:rsidRPr="00AA3B10">
              <w:rPr>
                <w:b/>
                <w:sz w:val="20"/>
                <w:szCs w:val="20"/>
              </w:rPr>
              <w:t>Bentos</w:t>
            </w:r>
          </w:p>
          <w:p w14:paraId="6F558D0C" w14:textId="77777777" w:rsidR="00EE6892" w:rsidRPr="00AA3B10" w:rsidRDefault="00EE6892" w:rsidP="00AA3B10">
            <w:pPr>
              <w:pStyle w:val="tier1Itext"/>
              <w:spacing w:before="0" w:after="0" w:line="240" w:lineRule="auto"/>
              <w:jc w:val="center"/>
              <w:rPr>
                <w:sz w:val="20"/>
                <w:szCs w:val="20"/>
              </w:rPr>
            </w:pPr>
            <w:r w:rsidRPr="00AA3B10">
              <w:rPr>
                <w:sz w:val="20"/>
                <w:szCs w:val="20"/>
              </w:rPr>
              <w:t xml:space="preserve">(na região adjacente à fonte do </w:t>
            </w:r>
            <w:r w:rsidR="00642786">
              <w:rPr>
                <w:sz w:val="20"/>
                <w:szCs w:val="20"/>
              </w:rPr>
              <w:t>derramamento</w:t>
            </w:r>
            <w:r w:rsidRPr="00AA3B10">
              <w:rPr>
                <w:sz w:val="20"/>
                <w:szCs w:val="20"/>
              </w:rPr>
              <w:t>)</w:t>
            </w:r>
          </w:p>
        </w:tc>
        <w:tc>
          <w:tcPr>
            <w:tcW w:w="1080" w:type="pct"/>
            <w:shd w:val="clear" w:color="auto" w:fill="FF0000"/>
            <w:vAlign w:val="center"/>
          </w:tcPr>
          <w:p w14:paraId="4010E7F7"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c>
          <w:tcPr>
            <w:tcW w:w="1103" w:type="pct"/>
            <w:gridSpan w:val="2"/>
            <w:shd w:val="clear" w:color="auto" w:fill="FF0000"/>
            <w:vAlign w:val="center"/>
          </w:tcPr>
          <w:p w14:paraId="639FCA11"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c>
          <w:tcPr>
            <w:tcW w:w="1088" w:type="pct"/>
            <w:shd w:val="clear" w:color="auto" w:fill="FF0000"/>
            <w:vAlign w:val="center"/>
          </w:tcPr>
          <w:p w14:paraId="0417D821"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r>
      <w:tr w:rsidR="00EE6892" w:rsidRPr="00AA3B10" w14:paraId="36C9EC13" w14:textId="77777777" w:rsidTr="00121F26">
        <w:trPr>
          <w:trHeight w:val="340"/>
        </w:trPr>
        <w:tc>
          <w:tcPr>
            <w:tcW w:w="1729" w:type="pct"/>
            <w:shd w:val="clear" w:color="auto" w:fill="D9D9D9" w:themeFill="background1" w:themeFillShade="D9"/>
            <w:vAlign w:val="center"/>
          </w:tcPr>
          <w:p w14:paraId="074A7A83" w14:textId="77777777" w:rsidR="00EE6892" w:rsidRPr="00AA3B10" w:rsidRDefault="00EE6892" w:rsidP="00AA3B10">
            <w:pPr>
              <w:pStyle w:val="tier1Itext"/>
              <w:spacing w:before="0" w:after="0" w:line="240" w:lineRule="auto"/>
              <w:jc w:val="center"/>
              <w:rPr>
                <w:b/>
                <w:sz w:val="20"/>
                <w:szCs w:val="20"/>
              </w:rPr>
            </w:pPr>
            <w:r w:rsidRPr="00AA3B10">
              <w:rPr>
                <w:b/>
                <w:sz w:val="20"/>
                <w:szCs w:val="20"/>
              </w:rPr>
              <w:t>Bentos</w:t>
            </w:r>
          </w:p>
          <w:p w14:paraId="4F4A9F46" w14:textId="77777777" w:rsidR="00EE6892" w:rsidRPr="00AA3B10" w:rsidRDefault="00EE6892" w:rsidP="00AA3B10">
            <w:pPr>
              <w:pStyle w:val="tier1Itext"/>
              <w:spacing w:before="0" w:after="0" w:line="240" w:lineRule="auto"/>
              <w:jc w:val="center"/>
              <w:rPr>
                <w:sz w:val="20"/>
                <w:szCs w:val="20"/>
              </w:rPr>
            </w:pPr>
            <w:r w:rsidRPr="00AA3B10">
              <w:rPr>
                <w:sz w:val="20"/>
                <w:szCs w:val="20"/>
              </w:rPr>
              <w:t>(nas regiões distantes da fonte)</w:t>
            </w:r>
          </w:p>
        </w:tc>
        <w:tc>
          <w:tcPr>
            <w:tcW w:w="1080" w:type="pct"/>
            <w:shd w:val="clear" w:color="auto" w:fill="FF0000"/>
            <w:vAlign w:val="center"/>
          </w:tcPr>
          <w:p w14:paraId="7CCD164B"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c>
          <w:tcPr>
            <w:tcW w:w="1103" w:type="pct"/>
            <w:gridSpan w:val="2"/>
            <w:shd w:val="clear" w:color="auto" w:fill="92D050"/>
            <w:vAlign w:val="center"/>
          </w:tcPr>
          <w:p w14:paraId="62DD4197" w14:textId="77777777" w:rsidR="00EE6892" w:rsidRPr="00AA3B10" w:rsidRDefault="00EE6892" w:rsidP="00AA3B10">
            <w:pPr>
              <w:pStyle w:val="tier1Itext"/>
              <w:spacing w:before="0" w:after="0" w:line="240" w:lineRule="auto"/>
              <w:jc w:val="center"/>
              <w:rPr>
                <w:sz w:val="20"/>
                <w:szCs w:val="20"/>
              </w:rPr>
            </w:pPr>
            <w:r w:rsidRPr="00AA3B10">
              <w:rPr>
                <w:sz w:val="20"/>
                <w:szCs w:val="20"/>
              </w:rPr>
              <w:t>BAIXA</w:t>
            </w:r>
          </w:p>
        </w:tc>
        <w:tc>
          <w:tcPr>
            <w:tcW w:w="1088" w:type="pct"/>
            <w:shd w:val="clear" w:color="auto" w:fill="FFFF00"/>
            <w:vAlign w:val="center"/>
          </w:tcPr>
          <w:p w14:paraId="5D2A31EB" w14:textId="77777777" w:rsidR="00EE6892" w:rsidRPr="00AA3B10" w:rsidRDefault="00EE6892" w:rsidP="00AA3B10">
            <w:pPr>
              <w:pStyle w:val="tier1Itext"/>
              <w:spacing w:before="0" w:after="0" w:line="240" w:lineRule="auto"/>
              <w:jc w:val="center"/>
              <w:rPr>
                <w:sz w:val="20"/>
                <w:szCs w:val="20"/>
              </w:rPr>
            </w:pPr>
            <w:r w:rsidRPr="00AA3B10">
              <w:rPr>
                <w:sz w:val="20"/>
                <w:szCs w:val="20"/>
              </w:rPr>
              <w:t>MÉDIA</w:t>
            </w:r>
          </w:p>
        </w:tc>
      </w:tr>
      <w:tr w:rsidR="00EE6892" w:rsidRPr="00AA3B10" w14:paraId="6B018263" w14:textId="77777777" w:rsidTr="00121F26">
        <w:trPr>
          <w:trHeight w:val="340"/>
        </w:trPr>
        <w:tc>
          <w:tcPr>
            <w:tcW w:w="1729" w:type="pct"/>
            <w:shd w:val="clear" w:color="auto" w:fill="D9D9D9" w:themeFill="background1" w:themeFillShade="D9"/>
            <w:vAlign w:val="center"/>
          </w:tcPr>
          <w:p w14:paraId="7B72575C" w14:textId="77777777" w:rsidR="00EE6892" w:rsidRPr="00AA3B10" w:rsidRDefault="00EE6892" w:rsidP="00AA3B10">
            <w:pPr>
              <w:pStyle w:val="tier1Itext"/>
              <w:spacing w:before="0" w:after="0" w:line="240" w:lineRule="auto"/>
              <w:jc w:val="center"/>
              <w:rPr>
                <w:b/>
                <w:sz w:val="20"/>
                <w:szCs w:val="20"/>
              </w:rPr>
            </w:pPr>
            <w:r w:rsidRPr="00AA3B10">
              <w:rPr>
                <w:b/>
                <w:sz w:val="20"/>
                <w:szCs w:val="20"/>
              </w:rPr>
              <w:t>Ictiofauna</w:t>
            </w:r>
          </w:p>
          <w:p w14:paraId="6C8E690B" w14:textId="77777777" w:rsidR="00EE6892" w:rsidRPr="00AA3B10" w:rsidRDefault="00EE6892" w:rsidP="00AA3B10">
            <w:pPr>
              <w:pStyle w:val="tier1Itext"/>
              <w:spacing w:before="0" w:after="0" w:line="240" w:lineRule="auto"/>
              <w:jc w:val="center"/>
              <w:rPr>
                <w:sz w:val="20"/>
                <w:szCs w:val="20"/>
              </w:rPr>
            </w:pPr>
            <w:r w:rsidRPr="00AA3B10">
              <w:rPr>
                <w:sz w:val="20"/>
                <w:szCs w:val="20"/>
              </w:rPr>
              <w:t xml:space="preserve">(na região adjacente à fonte do </w:t>
            </w:r>
            <w:r w:rsidR="00642786">
              <w:rPr>
                <w:sz w:val="20"/>
                <w:szCs w:val="20"/>
              </w:rPr>
              <w:t>derramamento</w:t>
            </w:r>
            <w:r w:rsidRPr="00AA3B10">
              <w:rPr>
                <w:sz w:val="20"/>
                <w:szCs w:val="20"/>
              </w:rPr>
              <w:t>)</w:t>
            </w:r>
          </w:p>
        </w:tc>
        <w:tc>
          <w:tcPr>
            <w:tcW w:w="1080" w:type="pct"/>
            <w:shd w:val="clear" w:color="auto" w:fill="FF0000"/>
            <w:vAlign w:val="center"/>
          </w:tcPr>
          <w:p w14:paraId="2E60B851"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c>
          <w:tcPr>
            <w:tcW w:w="1103" w:type="pct"/>
            <w:gridSpan w:val="2"/>
            <w:shd w:val="clear" w:color="auto" w:fill="FF0000"/>
            <w:vAlign w:val="center"/>
          </w:tcPr>
          <w:p w14:paraId="4F8BD5DD"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c>
          <w:tcPr>
            <w:tcW w:w="1088" w:type="pct"/>
            <w:shd w:val="clear" w:color="auto" w:fill="FF0000"/>
            <w:vAlign w:val="center"/>
          </w:tcPr>
          <w:p w14:paraId="42986257"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r>
      <w:tr w:rsidR="00EE6892" w:rsidRPr="00AA3B10" w14:paraId="14787293" w14:textId="77777777" w:rsidTr="00121F26">
        <w:trPr>
          <w:trHeight w:val="340"/>
        </w:trPr>
        <w:tc>
          <w:tcPr>
            <w:tcW w:w="1729" w:type="pct"/>
            <w:shd w:val="clear" w:color="auto" w:fill="D9D9D9" w:themeFill="background1" w:themeFillShade="D9"/>
            <w:vAlign w:val="center"/>
          </w:tcPr>
          <w:p w14:paraId="33F4078D" w14:textId="77777777" w:rsidR="00EE6892" w:rsidRPr="00AA3B10" w:rsidRDefault="00EE6892" w:rsidP="00AA3B10">
            <w:pPr>
              <w:pStyle w:val="tier1Itext"/>
              <w:spacing w:before="0" w:after="0" w:line="240" w:lineRule="auto"/>
              <w:jc w:val="center"/>
              <w:rPr>
                <w:b/>
                <w:sz w:val="20"/>
                <w:szCs w:val="20"/>
              </w:rPr>
            </w:pPr>
            <w:r w:rsidRPr="00AA3B10">
              <w:rPr>
                <w:b/>
                <w:sz w:val="20"/>
                <w:szCs w:val="20"/>
              </w:rPr>
              <w:t>Ictiofauna</w:t>
            </w:r>
          </w:p>
          <w:p w14:paraId="33D2822B" w14:textId="77777777" w:rsidR="00EE6892" w:rsidRPr="00AA3B10" w:rsidRDefault="00EE6892" w:rsidP="00AA3B10">
            <w:pPr>
              <w:pStyle w:val="tier1Itext"/>
              <w:spacing w:before="0" w:after="0" w:line="240" w:lineRule="auto"/>
              <w:jc w:val="center"/>
              <w:rPr>
                <w:sz w:val="20"/>
                <w:szCs w:val="20"/>
              </w:rPr>
            </w:pPr>
            <w:r w:rsidRPr="00AA3B10">
              <w:rPr>
                <w:sz w:val="20"/>
                <w:szCs w:val="20"/>
              </w:rPr>
              <w:t>(nas regiões distantes da fonte)</w:t>
            </w:r>
          </w:p>
        </w:tc>
        <w:tc>
          <w:tcPr>
            <w:tcW w:w="1080" w:type="pct"/>
            <w:shd w:val="clear" w:color="auto" w:fill="FF0000"/>
            <w:vAlign w:val="center"/>
          </w:tcPr>
          <w:p w14:paraId="2DD86C36"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c>
          <w:tcPr>
            <w:tcW w:w="1103" w:type="pct"/>
            <w:gridSpan w:val="2"/>
            <w:shd w:val="clear" w:color="auto" w:fill="92D050"/>
            <w:vAlign w:val="center"/>
          </w:tcPr>
          <w:p w14:paraId="62BC1D1F" w14:textId="77777777" w:rsidR="00EE6892" w:rsidRPr="00AA3B10" w:rsidRDefault="00EE6892" w:rsidP="00AA3B10">
            <w:pPr>
              <w:pStyle w:val="tier1Itext"/>
              <w:spacing w:before="0" w:after="0" w:line="240" w:lineRule="auto"/>
              <w:jc w:val="center"/>
              <w:rPr>
                <w:sz w:val="20"/>
                <w:szCs w:val="20"/>
              </w:rPr>
            </w:pPr>
            <w:r w:rsidRPr="00AA3B10">
              <w:rPr>
                <w:sz w:val="20"/>
                <w:szCs w:val="20"/>
              </w:rPr>
              <w:t>BAIXA</w:t>
            </w:r>
          </w:p>
        </w:tc>
        <w:tc>
          <w:tcPr>
            <w:tcW w:w="1088" w:type="pct"/>
            <w:shd w:val="clear" w:color="auto" w:fill="FFFF00"/>
            <w:vAlign w:val="center"/>
          </w:tcPr>
          <w:p w14:paraId="65B60F5E" w14:textId="77777777" w:rsidR="00EE6892" w:rsidRPr="00AA3B10" w:rsidRDefault="00EE6892" w:rsidP="00AA3B10">
            <w:pPr>
              <w:pStyle w:val="tier1Itext"/>
              <w:spacing w:before="0" w:after="0" w:line="240" w:lineRule="auto"/>
              <w:jc w:val="center"/>
              <w:rPr>
                <w:sz w:val="20"/>
                <w:szCs w:val="20"/>
              </w:rPr>
            </w:pPr>
            <w:r w:rsidRPr="00AA3B10">
              <w:rPr>
                <w:sz w:val="20"/>
                <w:szCs w:val="20"/>
              </w:rPr>
              <w:t>MÉDIA</w:t>
            </w:r>
          </w:p>
        </w:tc>
      </w:tr>
      <w:tr w:rsidR="00EE6892" w:rsidRPr="00AA3B10" w14:paraId="3539B6AF" w14:textId="77777777" w:rsidTr="00121F26">
        <w:trPr>
          <w:trHeight w:val="340"/>
        </w:trPr>
        <w:tc>
          <w:tcPr>
            <w:tcW w:w="1729" w:type="pct"/>
            <w:shd w:val="clear" w:color="auto" w:fill="D9D9D9" w:themeFill="background1" w:themeFillShade="D9"/>
            <w:vAlign w:val="center"/>
          </w:tcPr>
          <w:p w14:paraId="6BD03AAE" w14:textId="77777777" w:rsidR="00EE6892" w:rsidRPr="00AA3B10" w:rsidRDefault="00EE6892" w:rsidP="00AA3B10">
            <w:pPr>
              <w:pStyle w:val="tier1Itext"/>
              <w:spacing w:before="0" w:after="0" w:line="240" w:lineRule="auto"/>
              <w:jc w:val="center"/>
              <w:rPr>
                <w:b/>
                <w:sz w:val="20"/>
                <w:szCs w:val="20"/>
              </w:rPr>
            </w:pPr>
            <w:r w:rsidRPr="00AA3B10">
              <w:rPr>
                <w:b/>
                <w:sz w:val="20"/>
                <w:szCs w:val="20"/>
              </w:rPr>
              <w:t>Tartarugas Marinhas</w:t>
            </w:r>
          </w:p>
          <w:p w14:paraId="2E6817C7" w14:textId="77777777" w:rsidR="00EE6892" w:rsidRPr="00AA3B10" w:rsidRDefault="00EE6892" w:rsidP="00AA3B10">
            <w:pPr>
              <w:pStyle w:val="tier1Itext"/>
              <w:spacing w:before="0" w:after="0" w:line="240" w:lineRule="auto"/>
              <w:jc w:val="center"/>
              <w:rPr>
                <w:sz w:val="20"/>
                <w:szCs w:val="20"/>
              </w:rPr>
            </w:pPr>
            <w:r w:rsidRPr="00AA3B10">
              <w:rPr>
                <w:sz w:val="20"/>
                <w:szCs w:val="20"/>
              </w:rPr>
              <w:t xml:space="preserve">(na região adjacente à fonte do </w:t>
            </w:r>
            <w:r w:rsidR="00642786">
              <w:rPr>
                <w:sz w:val="20"/>
                <w:szCs w:val="20"/>
              </w:rPr>
              <w:t>derramamento</w:t>
            </w:r>
            <w:r w:rsidRPr="00AA3B10">
              <w:rPr>
                <w:sz w:val="20"/>
                <w:szCs w:val="20"/>
              </w:rPr>
              <w:t>)</w:t>
            </w:r>
          </w:p>
        </w:tc>
        <w:tc>
          <w:tcPr>
            <w:tcW w:w="1080" w:type="pct"/>
            <w:shd w:val="clear" w:color="auto" w:fill="FF0000"/>
            <w:vAlign w:val="center"/>
          </w:tcPr>
          <w:p w14:paraId="6A64FCCA"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c>
          <w:tcPr>
            <w:tcW w:w="566" w:type="pct"/>
            <w:shd w:val="clear" w:color="auto" w:fill="FFFF00"/>
            <w:vAlign w:val="center"/>
          </w:tcPr>
          <w:p w14:paraId="3F42C6DF" w14:textId="3B76DDD8" w:rsidR="00EE6892" w:rsidRPr="00AA3B10" w:rsidRDefault="00EE6892" w:rsidP="00153F3F">
            <w:pPr>
              <w:pStyle w:val="tier1Itext"/>
              <w:spacing w:before="0" w:after="0" w:line="240" w:lineRule="auto"/>
              <w:jc w:val="center"/>
              <w:rPr>
                <w:sz w:val="20"/>
                <w:szCs w:val="20"/>
              </w:rPr>
            </w:pPr>
            <w:r w:rsidRPr="00AA3B10">
              <w:rPr>
                <w:sz w:val="20"/>
                <w:szCs w:val="20"/>
              </w:rPr>
              <w:t>MÉDIA</w:t>
            </w:r>
            <w:r w:rsidR="00153F3F">
              <w:rPr>
                <w:sz w:val="20"/>
                <w:szCs w:val="20"/>
              </w:rPr>
              <w:t xml:space="preserve"> </w:t>
            </w:r>
            <w:r w:rsidR="00C74C44">
              <w:rPr>
                <w:sz w:val="20"/>
                <w:szCs w:val="20"/>
                <w:vertAlign w:val="superscript"/>
              </w:rPr>
              <w:t>1</w:t>
            </w:r>
          </w:p>
        </w:tc>
        <w:tc>
          <w:tcPr>
            <w:tcW w:w="537" w:type="pct"/>
            <w:shd w:val="clear" w:color="auto" w:fill="FF0000"/>
            <w:vAlign w:val="center"/>
          </w:tcPr>
          <w:p w14:paraId="7FD42BA7" w14:textId="01A0CFEC" w:rsidR="00EE6892" w:rsidRPr="00AA3B10" w:rsidRDefault="00153F3F" w:rsidP="00AA3B10">
            <w:pPr>
              <w:pStyle w:val="tier1Itext"/>
              <w:spacing w:before="0" w:after="0" w:line="240" w:lineRule="auto"/>
              <w:jc w:val="center"/>
              <w:rPr>
                <w:sz w:val="20"/>
                <w:szCs w:val="20"/>
              </w:rPr>
            </w:pPr>
            <w:r w:rsidRPr="00C74C44">
              <w:rPr>
                <w:color w:val="FFFFFF" w:themeColor="background1"/>
                <w:sz w:val="20"/>
                <w:szCs w:val="20"/>
              </w:rPr>
              <w:t>ALTA</w:t>
            </w:r>
            <w:r w:rsidR="00C74C44" w:rsidRPr="00C74C44">
              <w:rPr>
                <w:color w:val="FFFFFF" w:themeColor="background1"/>
                <w:sz w:val="20"/>
                <w:szCs w:val="20"/>
                <w:vertAlign w:val="superscript"/>
              </w:rPr>
              <w:t>2</w:t>
            </w:r>
          </w:p>
        </w:tc>
        <w:tc>
          <w:tcPr>
            <w:tcW w:w="1088" w:type="pct"/>
            <w:shd w:val="clear" w:color="auto" w:fill="FF0000"/>
            <w:vAlign w:val="center"/>
          </w:tcPr>
          <w:p w14:paraId="099BB349" w14:textId="77777777" w:rsidR="00EE6892" w:rsidRPr="00AA3B10" w:rsidRDefault="00EE6892" w:rsidP="00AA3B10">
            <w:pPr>
              <w:pStyle w:val="tier1Itext"/>
              <w:spacing w:before="0" w:after="0" w:line="240" w:lineRule="auto"/>
              <w:jc w:val="center"/>
              <w:rPr>
                <w:sz w:val="20"/>
                <w:szCs w:val="20"/>
              </w:rPr>
            </w:pPr>
            <w:r w:rsidRPr="00C74C44">
              <w:rPr>
                <w:color w:val="FFFFFF" w:themeColor="background1"/>
                <w:sz w:val="20"/>
                <w:szCs w:val="20"/>
              </w:rPr>
              <w:t>ALTA</w:t>
            </w:r>
          </w:p>
        </w:tc>
      </w:tr>
      <w:tr w:rsidR="00EE6892" w:rsidRPr="00AA3B10" w14:paraId="713B6991" w14:textId="77777777" w:rsidTr="00121F26">
        <w:trPr>
          <w:trHeight w:val="340"/>
        </w:trPr>
        <w:tc>
          <w:tcPr>
            <w:tcW w:w="1729" w:type="pct"/>
            <w:shd w:val="clear" w:color="auto" w:fill="D9D9D9" w:themeFill="background1" w:themeFillShade="D9"/>
            <w:vAlign w:val="center"/>
          </w:tcPr>
          <w:p w14:paraId="02223623" w14:textId="77777777" w:rsidR="00EE6892" w:rsidRPr="00AA3B10" w:rsidRDefault="00EE6892" w:rsidP="00AA3B10">
            <w:pPr>
              <w:pStyle w:val="tier1Itext"/>
              <w:spacing w:before="0" w:after="0" w:line="240" w:lineRule="auto"/>
              <w:jc w:val="center"/>
              <w:rPr>
                <w:b/>
                <w:sz w:val="20"/>
                <w:szCs w:val="20"/>
              </w:rPr>
            </w:pPr>
            <w:r w:rsidRPr="00AA3B10">
              <w:rPr>
                <w:b/>
                <w:sz w:val="20"/>
                <w:szCs w:val="20"/>
              </w:rPr>
              <w:t>Tartarugas Marinhas</w:t>
            </w:r>
          </w:p>
          <w:p w14:paraId="75839907" w14:textId="77777777" w:rsidR="00EE6892" w:rsidRPr="00AA3B10" w:rsidRDefault="00EE6892" w:rsidP="00AA3B10">
            <w:pPr>
              <w:pStyle w:val="tier1Itext"/>
              <w:spacing w:before="0" w:after="0" w:line="240" w:lineRule="auto"/>
              <w:jc w:val="center"/>
              <w:rPr>
                <w:sz w:val="20"/>
                <w:szCs w:val="20"/>
              </w:rPr>
            </w:pPr>
            <w:r w:rsidRPr="00AA3B10">
              <w:rPr>
                <w:sz w:val="20"/>
                <w:szCs w:val="20"/>
              </w:rPr>
              <w:t>(nas regiões distantes da fonte)</w:t>
            </w:r>
          </w:p>
        </w:tc>
        <w:tc>
          <w:tcPr>
            <w:tcW w:w="1080" w:type="pct"/>
            <w:shd w:val="clear" w:color="auto" w:fill="FF0000"/>
            <w:vAlign w:val="center"/>
          </w:tcPr>
          <w:p w14:paraId="5492AA37"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c>
          <w:tcPr>
            <w:tcW w:w="1103" w:type="pct"/>
            <w:gridSpan w:val="2"/>
            <w:shd w:val="clear" w:color="auto" w:fill="92D050"/>
            <w:vAlign w:val="center"/>
          </w:tcPr>
          <w:p w14:paraId="1998D686" w14:textId="77777777" w:rsidR="00EE6892" w:rsidRPr="00AA3B10" w:rsidRDefault="00EE6892" w:rsidP="00AA3B10">
            <w:pPr>
              <w:pStyle w:val="tier1Itext"/>
              <w:spacing w:before="0" w:after="0" w:line="240" w:lineRule="auto"/>
              <w:jc w:val="center"/>
              <w:rPr>
                <w:sz w:val="20"/>
                <w:szCs w:val="20"/>
              </w:rPr>
            </w:pPr>
            <w:r w:rsidRPr="00AA3B10">
              <w:rPr>
                <w:sz w:val="20"/>
                <w:szCs w:val="20"/>
              </w:rPr>
              <w:t>BAIXA</w:t>
            </w:r>
          </w:p>
        </w:tc>
        <w:tc>
          <w:tcPr>
            <w:tcW w:w="1088" w:type="pct"/>
            <w:shd w:val="clear" w:color="auto" w:fill="FFFF00"/>
            <w:vAlign w:val="center"/>
          </w:tcPr>
          <w:p w14:paraId="176AA4A7" w14:textId="77777777" w:rsidR="00EE6892" w:rsidRPr="00AA3B10" w:rsidRDefault="00EE6892" w:rsidP="00AA3B10">
            <w:pPr>
              <w:pStyle w:val="tier1Itext"/>
              <w:spacing w:before="0" w:after="0" w:line="240" w:lineRule="auto"/>
              <w:jc w:val="center"/>
              <w:rPr>
                <w:sz w:val="20"/>
                <w:szCs w:val="20"/>
              </w:rPr>
            </w:pPr>
            <w:r w:rsidRPr="00AA3B10">
              <w:rPr>
                <w:sz w:val="20"/>
                <w:szCs w:val="20"/>
              </w:rPr>
              <w:t>MÉDIA</w:t>
            </w:r>
          </w:p>
        </w:tc>
      </w:tr>
      <w:tr w:rsidR="00EE6892" w:rsidRPr="00AA3B10" w14:paraId="43002104" w14:textId="77777777" w:rsidTr="00121F26">
        <w:trPr>
          <w:trHeight w:val="340"/>
        </w:trPr>
        <w:tc>
          <w:tcPr>
            <w:tcW w:w="1729" w:type="pct"/>
            <w:shd w:val="clear" w:color="auto" w:fill="D9D9D9" w:themeFill="background1" w:themeFillShade="D9"/>
            <w:vAlign w:val="center"/>
          </w:tcPr>
          <w:p w14:paraId="0F4DC3C9" w14:textId="77777777" w:rsidR="00EE6892" w:rsidRPr="00AA3B10" w:rsidRDefault="00EE6892" w:rsidP="00AA3B10">
            <w:pPr>
              <w:pStyle w:val="tier1Itext"/>
              <w:spacing w:before="0" w:after="0" w:line="240" w:lineRule="auto"/>
              <w:jc w:val="center"/>
              <w:rPr>
                <w:b/>
                <w:sz w:val="20"/>
                <w:szCs w:val="20"/>
              </w:rPr>
            </w:pPr>
            <w:r w:rsidRPr="00AA3B10">
              <w:rPr>
                <w:b/>
                <w:sz w:val="20"/>
                <w:szCs w:val="20"/>
              </w:rPr>
              <w:t>Avifauna</w:t>
            </w:r>
          </w:p>
        </w:tc>
        <w:tc>
          <w:tcPr>
            <w:tcW w:w="1080" w:type="pct"/>
            <w:shd w:val="clear" w:color="auto" w:fill="FF0000"/>
            <w:vAlign w:val="center"/>
          </w:tcPr>
          <w:p w14:paraId="355C9CE9"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c>
          <w:tcPr>
            <w:tcW w:w="1103" w:type="pct"/>
            <w:gridSpan w:val="2"/>
            <w:shd w:val="clear" w:color="auto" w:fill="FF0000"/>
            <w:vAlign w:val="center"/>
          </w:tcPr>
          <w:p w14:paraId="3CFC5489"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c>
          <w:tcPr>
            <w:tcW w:w="1088" w:type="pct"/>
            <w:shd w:val="clear" w:color="auto" w:fill="FF0000"/>
            <w:vAlign w:val="center"/>
          </w:tcPr>
          <w:p w14:paraId="3743E6F5"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r>
      <w:tr w:rsidR="00EE6892" w:rsidRPr="00AA3B10" w14:paraId="5A118B0A" w14:textId="77777777" w:rsidTr="00121F26">
        <w:trPr>
          <w:trHeight w:val="340"/>
        </w:trPr>
        <w:tc>
          <w:tcPr>
            <w:tcW w:w="1729" w:type="pct"/>
            <w:shd w:val="clear" w:color="auto" w:fill="D9D9D9" w:themeFill="background1" w:themeFillShade="D9"/>
            <w:vAlign w:val="center"/>
          </w:tcPr>
          <w:p w14:paraId="76FF7263" w14:textId="77777777" w:rsidR="00EE6892" w:rsidRPr="00AA3B10" w:rsidRDefault="00EE6892" w:rsidP="00AA3B10">
            <w:pPr>
              <w:pStyle w:val="tier1Itext"/>
              <w:spacing w:before="0" w:after="0" w:line="240" w:lineRule="auto"/>
              <w:jc w:val="center"/>
              <w:rPr>
                <w:b/>
                <w:sz w:val="20"/>
                <w:szCs w:val="20"/>
              </w:rPr>
            </w:pPr>
            <w:r w:rsidRPr="00AA3B10">
              <w:rPr>
                <w:b/>
                <w:sz w:val="20"/>
                <w:szCs w:val="20"/>
              </w:rPr>
              <w:t>Cetáceos</w:t>
            </w:r>
          </w:p>
        </w:tc>
        <w:tc>
          <w:tcPr>
            <w:tcW w:w="1080" w:type="pct"/>
            <w:shd w:val="clear" w:color="auto" w:fill="FF0000"/>
            <w:vAlign w:val="center"/>
          </w:tcPr>
          <w:p w14:paraId="40D43B4C"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c>
          <w:tcPr>
            <w:tcW w:w="1103" w:type="pct"/>
            <w:gridSpan w:val="2"/>
            <w:shd w:val="clear" w:color="auto" w:fill="FF0000"/>
            <w:vAlign w:val="center"/>
          </w:tcPr>
          <w:p w14:paraId="28F3ABDA"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c>
          <w:tcPr>
            <w:tcW w:w="1088" w:type="pct"/>
            <w:shd w:val="clear" w:color="auto" w:fill="FF0000"/>
            <w:vAlign w:val="center"/>
          </w:tcPr>
          <w:p w14:paraId="27148A7C"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r>
    </w:tbl>
    <w:p w14:paraId="6E0FF039" w14:textId="19E2BEDB" w:rsidR="00EE6892" w:rsidRPr="00AA3B10" w:rsidRDefault="00EE6892" w:rsidP="00EE6892">
      <w:pPr>
        <w:pStyle w:val="tier1Itext"/>
        <w:spacing w:before="0" w:after="0" w:line="240" w:lineRule="auto"/>
        <w:rPr>
          <w:sz w:val="20"/>
          <w:szCs w:val="20"/>
        </w:rPr>
      </w:pPr>
      <w:r w:rsidRPr="00AA3B10">
        <w:rPr>
          <w:b/>
          <w:sz w:val="20"/>
          <w:szCs w:val="20"/>
        </w:rPr>
        <w:t>Legenda:</w:t>
      </w:r>
      <w:r w:rsidR="00153F3F">
        <w:rPr>
          <w:b/>
          <w:sz w:val="20"/>
          <w:szCs w:val="20"/>
        </w:rPr>
        <w:t xml:space="preserve"> </w:t>
      </w:r>
      <w:r w:rsidR="00C74C44" w:rsidRPr="00C74C44">
        <w:rPr>
          <w:sz w:val="20"/>
          <w:szCs w:val="20"/>
          <w:vertAlign w:val="superscript"/>
        </w:rPr>
        <w:t>1</w:t>
      </w:r>
      <w:r w:rsidRPr="00AA3B10">
        <w:rPr>
          <w:sz w:val="20"/>
          <w:szCs w:val="20"/>
        </w:rPr>
        <w:t xml:space="preserve"> Probabilidade de 30 a 70% de alcance por óleo, no caso de um incidente de poluição por óleo no mar, considerando a descarga de pior caso – regiões próximas à fonte do </w:t>
      </w:r>
      <w:r w:rsidR="00642786">
        <w:rPr>
          <w:sz w:val="20"/>
          <w:szCs w:val="20"/>
        </w:rPr>
        <w:t>derramamento</w:t>
      </w:r>
      <w:r w:rsidRPr="00AA3B10">
        <w:rPr>
          <w:sz w:val="20"/>
          <w:szCs w:val="20"/>
        </w:rPr>
        <w:t xml:space="preserve">. </w:t>
      </w:r>
      <w:r w:rsidR="00C74C44" w:rsidRPr="00C74C44">
        <w:rPr>
          <w:sz w:val="20"/>
          <w:szCs w:val="20"/>
          <w:vertAlign w:val="superscript"/>
        </w:rPr>
        <w:t>2</w:t>
      </w:r>
      <w:r w:rsidRPr="00AA3B10">
        <w:rPr>
          <w:sz w:val="20"/>
          <w:szCs w:val="20"/>
        </w:rPr>
        <w:t xml:space="preserve"> Probabilidade de &gt;70% de alcance por óleo – regiões adjacentes à fonte do </w:t>
      </w:r>
      <w:r w:rsidR="00642786">
        <w:rPr>
          <w:sz w:val="20"/>
          <w:szCs w:val="20"/>
        </w:rPr>
        <w:t>derramamento</w:t>
      </w:r>
      <w:r w:rsidRPr="00AA3B10">
        <w:rPr>
          <w:sz w:val="20"/>
          <w:szCs w:val="20"/>
        </w:rPr>
        <w:t>.</w:t>
      </w:r>
    </w:p>
    <w:p w14:paraId="747FA2A1" w14:textId="64F1EF2B" w:rsidR="00EE6892" w:rsidRPr="00AA3B10" w:rsidRDefault="00EE6892" w:rsidP="00AA3B10">
      <w:pPr>
        <w:pStyle w:val="tier1Itext"/>
        <w:keepLines w:val="0"/>
        <w:spacing w:before="360"/>
      </w:pPr>
      <w:r w:rsidRPr="00AA3B10">
        <w:t xml:space="preserve">Como pode ser </w:t>
      </w:r>
      <w:r w:rsidRPr="00F73874">
        <w:rPr>
          <w:szCs w:val="22"/>
        </w:rPr>
        <w:t>observado na</w:t>
      </w:r>
      <w:r w:rsidR="00F73874" w:rsidRPr="00F73874">
        <w:rPr>
          <w:szCs w:val="22"/>
        </w:rPr>
        <w:t xml:space="preserve"> </w:t>
      </w:r>
      <w:r w:rsidR="00F73874" w:rsidRPr="00F73874">
        <w:rPr>
          <w:szCs w:val="22"/>
        </w:rPr>
        <w:fldChar w:fldCharType="begin"/>
      </w:r>
      <w:r w:rsidR="00F73874" w:rsidRPr="00F73874">
        <w:rPr>
          <w:szCs w:val="22"/>
        </w:rPr>
        <w:instrText xml:space="preserve"> REF _Ref415472288 \h </w:instrText>
      </w:r>
      <w:r w:rsidR="00F73874">
        <w:rPr>
          <w:szCs w:val="22"/>
        </w:rPr>
        <w:instrText xml:space="preserve"> \* MERGEFORMAT </w:instrText>
      </w:r>
      <w:r w:rsidR="00F73874" w:rsidRPr="00F73874">
        <w:rPr>
          <w:szCs w:val="22"/>
        </w:rPr>
      </w:r>
      <w:r w:rsidR="00F73874" w:rsidRPr="00F73874">
        <w:rPr>
          <w:szCs w:val="22"/>
        </w:rPr>
        <w:fldChar w:fldCharType="separate"/>
      </w:r>
      <w:r w:rsidR="00A50E67" w:rsidRPr="00A50E67">
        <w:rPr>
          <w:b/>
          <w:szCs w:val="22"/>
        </w:rPr>
        <w:t xml:space="preserve">Tabela </w:t>
      </w:r>
      <w:r w:rsidR="00A50E67" w:rsidRPr="00A50E67">
        <w:rPr>
          <w:b/>
          <w:noProof/>
          <w:szCs w:val="22"/>
        </w:rPr>
        <w:t>9</w:t>
      </w:r>
      <w:r w:rsidR="00F73874" w:rsidRPr="00F73874">
        <w:rPr>
          <w:szCs w:val="22"/>
        </w:rPr>
        <w:fldChar w:fldCharType="end"/>
      </w:r>
      <w:r w:rsidRPr="00F73874">
        <w:rPr>
          <w:szCs w:val="22"/>
        </w:rPr>
        <w:t>, na ocorrência</w:t>
      </w:r>
      <w:r w:rsidRPr="00AA3B10">
        <w:t xml:space="preserve"> de um eventual derramamento de óleo de pior caso durante as atividades de perfuração marítima no Bloco FZA-M-59, o bentos, a icitiofauna e as tartarugas marinhas, na região adjacente à fonte do </w:t>
      </w:r>
      <w:r w:rsidR="00642786">
        <w:t>derramamento</w:t>
      </w:r>
      <w:r w:rsidRPr="00AA3B10">
        <w:t>, além da avifauna e dos cetáceos, de forma geral, apresentariam alta vulnerabilidade, devendo, portanto, ser considerados na definição e implementação das estratégias de resposta ao incidente. Esta Análise (incluindo os Mapas de Vulnerabilidade), que foi elaborada pela AECOM do Brasil, é apresentada na íntegra no</w:t>
      </w:r>
      <w:r w:rsidR="00AA3B10">
        <w:t xml:space="preserve"> </w:t>
      </w:r>
      <w:r w:rsidR="00AA3B10" w:rsidRPr="00AA3B10">
        <w:rPr>
          <w:b/>
        </w:rPr>
        <w:t xml:space="preserve">ANEXO </w:t>
      </w:r>
      <w:r w:rsidR="00FA49B6">
        <w:rPr>
          <w:b/>
        </w:rPr>
        <w:t>C</w:t>
      </w:r>
      <w:r w:rsidRPr="00AA3B10">
        <w:t>, e discutida com maior detalhamento no item II.12.4.2 do EIA/RIMA da atividade de perfuração no Bloco FZA-M-59, do qual este Plano de Emergência Individual também é parte.</w:t>
      </w:r>
    </w:p>
    <w:p w14:paraId="5F8EF84B" w14:textId="77777777" w:rsidR="000F3DA6" w:rsidRPr="00CE6488" w:rsidRDefault="000F3DA6" w:rsidP="009D01BE">
      <w:pPr>
        <w:pStyle w:val="Ttulo1"/>
        <w:rPr>
          <w:lang w:val="pt-BR"/>
        </w:rPr>
      </w:pPr>
      <w:bookmarkStart w:id="74" w:name="_Ref414612264"/>
      <w:bookmarkStart w:id="75" w:name="_Ref414612304"/>
      <w:bookmarkStart w:id="76" w:name="_Ref414612477"/>
      <w:bookmarkStart w:id="77" w:name="_Ref414612487"/>
      <w:bookmarkStart w:id="78" w:name="_Toc527990403"/>
      <w:r w:rsidRPr="00CE6488">
        <w:rPr>
          <w:lang w:val="pt-BR"/>
        </w:rPr>
        <w:lastRenderedPageBreak/>
        <w:t>ESTRUTURA ORGANIZACIONAL DE RESPOSTA (EOR)</w:t>
      </w:r>
      <w:bookmarkEnd w:id="74"/>
      <w:bookmarkEnd w:id="75"/>
      <w:bookmarkEnd w:id="76"/>
      <w:bookmarkEnd w:id="77"/>
      <w:bookmarkEnd w:id="78"/>
    </w:p>
    <w:p w14:paraId="0AD82E31" w14:textId="77777777" w:rsidR="00F3740A" w:rsidRPr="00F3740A" w:rsidRDefault="00F3740A" w:rsidP="00723A97">
      <w:pPr>
        <w:pStyle w:val="tier1Itext"/>
      </w:pPr>
      <w:r w:rsidRPr="00F3740A">
        <w:t>A Estrutura Organizacional de Resposta (EOR) a uma emergência da BP Energy é composta por um arcabouço fixo e funci</w:t>
      </w:r>
      <w:r w:rsidR="000D65DA">
        <w:t>onal organizado em três níveis:</w:t>
      </w:r>
      <w:r w:rsidRPr="00F3740A">
        <w:t xml:space="preserve"> uma Equipe de Gerenciamento de Incidentes (IMT, do termo em inglês “</w:t>
      </w:r>
      <w:r w:rsidRPr="00F3740A">
        <w:rPr>
          <w:i/>
        </w:rPr>
        <w:t>Incident Management Team</w:t>
      </w:r>
      <w:r w:rsidRPr="00F3740A">
        <w:t>”) - responsável pela execução das operações de resposta à emergência; uma Equipe de Suporte à Continuidade da Capacidade Operacional (BST, do termo em inglês “</w:t>
      </w:r>
      <w:r w:rsidRPr="00F3740A">
        <w:rPr>
          <w:i/>
        </w:rPr>
        <w:t>Business Support Team</w:t>
      </w:r>
      <w:r w:rsidRPr="00F3740A">
        <w:t>”) responsável pela condução da resposta à crise; e a Equipe de Suporte Executivo (EST, do termo em inglês “</w:t>
      </w:r>
      <w:r w:rsidRPr="00F3740A">
        <w:rPr>
          <w:i/>
        </w:rPr>
        <w:t>Executive Support Team</w:t>
      </w:r>
      <w:r w:rsidRPr="00F3740A">
        <w:t>”) responsável pela gestão da resposta à crise no nível do Grupo BP. Neste sistema também é considerada a chamada Equipe de Resposta Tática (TRT, do termo em inglês “</w:t>
      </w:r>
      <w:r w:rsidRPr="00F3740A">
        <w:rPr>
          <w:i/>
        </w:rPr>
        <w:t>Tactical Response Team</w:t>
      </w:r>
      <w:r w:rsidRPr="00F3740A">
        <w:t>”).</w:t>
      </w:r>
    </w:p>
    <w:p w14:paraId="2270B238" w14:textId="05879314" w:rsidR="00F3740A" w:rsidRPr="00F3740A" w:rsidRDefault="00F3740A" w:rsidP="00723A97">
      <w:pPr>
        <w:pStyle w:val="tier1Itext"/>
      </w:pPr>
      <w:r w:rsidRPr="00F3740A">
        <w:t>"Equipe de Resposta Tática” é um título genérico que a BP utiliza para classificar os indivíduos altamente treinados que estão presentes em um local de incidente ou que se deslocam para ele, a fim de iniciar e manter operações táticas de resposta “</w:t>
      </w:r>
      <w:r w:rsidRPr="00F3740A">
        <w:rPr>
          <w:i/>
        </w:rPr>
        <w:t>in situ</w:t>
      </w:r>
      <w:r w:rsidRPr="00F3740A">
        <w:t xml:space="preserve">”, dependendo da natureza e complexidade do incidente. A TRT geralmente é composta pelos primeiros indivíduos a responder um incidente e, uma vez que a maioria dos incidentes é de pequena magnitude e pode ser tratada por uma ou algumas pessoas em um curto espaço de tempo, costuma lidar com estas situações sem a necessidade de acionamento completo e formal da Equipe de Gerenciamento de Incidentes (IMT). Se a IMT for acionada, a TRT </w:t>
      </w:r>
      <w:r w:rsidR="00C74C44">
        <w:t>se</w:t>
      </w:r>
      <w:r w:rsidRPr="00F3740A">
        <w:t>rá integrada a ela e tornar</w:t>
      </w:r>
      <w:r w:rsidR="00493FDD">
        <w:t>-se-</w:t>
      </w:r>
      <w:r w:rsidRPr="00F3740A">
        <w:t>á parte da Seção de Operações da IMT.</w:t>
      </w:r>
      <w:r w:rsidR="00C74C44">
        <w:t xml:space="preserve"> As funções na TRT são normalmente desempenhadas por membros da tripulação da ENSCO DS-9</w:t>
      </w:r>
      <w:r w:rsidR="00BA49C7">
        <w:t xml:space="preserve">, </w:t>
      </w:r>
      <w:r w:rsidR="00BA49C7" w:rsidRPr="00654D99">
        <w:rPr>
          <w:highlight w:val="lightGray"/>
        </w:rPr>
        <w:t>de brigadas especializadas</w:t>
      </w:r>
      <w:r w:rsidR="00B861B2" w:rsidRPr="00654D99">
        <w:rPr>
          <w:highlight w:val="lightGray"/>
        </w:rPr>
        <w:t xml:space="preserve"> (incêndio, evacuação, busca e salvamento)</w:t>
      </w:r>
      <w:r w:rsidR="00C74C44">
        <w:t xml:space="preserve">, chefiados pelo </w:t>
      </w:r>
      <w:r w:rsidR="00611A02">
        <w:t>C</w:t>
      </w:r>
      <w:r w:rsidR="00C74C44">
        <w:t>apitão da unidade, comandante inicial do incidente.</w:t>
      </w:r>
    </w:p>
    <w:p w14:paraId="5871CC75" w14:textId="197E17FD" w:rsidR="00F3740A" w:rsidRPr="00F3740A" w:rsidRDefault="00F3740A" w:rsidP="00723A97">
      <w:pPr>
        <w:pStyle w:val="tier1Itext"/>
      </w:pPr>
      <w:r w:rsidRPr="00F3740A">
        <w:t>A EOR</w:t>
      </w:r>
      <w:r w:rsidR="00611A02">
        <w:t xml:space="preserve"> </w:t>
      </w:r>
      <w:r w:rsidRPr="00F3740A">
        <w:t xml:space="preserve">apresenta uma natureza flexível e dinâmica, capaz de ser mobilizada de forma escalonada, para atender a cada cenário acidental – às especificidades do incidente e das ações de resposta projetadas a partir </w:t>
      </w:r>
      <w:r w:rsidR="00493FDD">
        <w:t>da</w:t>
      </w:r>
      <w:r w:rsidRPr="00F3740A">
        <w:t xml:space="preserve"> avaliação</w:t>
      </w:r>
      <w:r w:rsidR="00493FDD">
        <w:t xml:space="preserve"> de seu</w:t>
      </w:r>
      <w:r w:rsidRPr="00F3740A">
        <w:t xml:space="preserve"> potencial. Por exemplo, incidentes de pequena magnitude e complexidade poderão ser gerenciados e concluídos no nível da TRT (parcial ou integral), demandando apenas o apoio da IMT para as notificações regulatórias. </w:t>
      </w:r>
      <w:r w:rsidRPr="00F3740A">
        <w:rPr>
          <w:rFonts w:cstheme="majorHAnsi"/>
        </w:rPr>
        <w:t>Desta forma, entende-se que a IMT sempre será comunicada</w:t>
      </w:r>
      <w:r w:rsidR="001E2663">
        <w:rPr>
          <w:rFonts w:cstheme="majorHAnsi"/>
        </w:rPr>
        <w:t>,</w:t>
      </w:r>
      <w:r w:rsidRPr="00F3740A">
        <w:rPr>
          <w:rFonts w:cstheme="majorHAnsi"/>
        </w:rPr>
        <w:t xml:space="preserve"> em todos os incidentes, podendo ser ativada mesmo naqueles considerados casos de descargas menores. </w:t>
      </w:r>
      <w:r w:rsidRPr="00F3740A">
        <w:t xml:space="preserve">Por outro lado, incidentes de maior complexidade e magnitude poderão exigir ações em várias frentes </w:t>
      </w:r>
      <w:r w:rsidR="00493FDD" w:rsidRPr="00F3740A">
        <w:t xml:space="preserve">simultâneas </w:t>
      </w:r>
      <w:r w:rsidRPr="00F3740A">
        <w:t>de resposta requerendo, portanto, o esforço conjunto da IMT (com a TRT integrada), da BST e até da EST (caso necessária).</w:t>
      </w:r>
    </w:p>
    <w:p w14:paraId="20BD9499" w14:textId="1C2EB701" w:rsidR="00F3740A" w:rsidRPr="00F3740A" w:rsidRDefault="00F3740A" w:rsidP="00723A97">
      <w:pPr>
        <w:pStyle w:val="tier1Itext"/>
      </w:pPr>
      <w:r w:rsidRPr="00F3740A">
        <w:lastRenderedPageBreak/>
        <w:t>A</w:t>
      </w:r>
      <w:r w:rsidRPr="00F3740A">
        <w:rPr>
          <w:b/>
        </w:rPr>
        <w:t xml:space="preserve"> </w:t>
      </w:r>
      <w:r w:rsidRPr="00F3740A">
        <w:rPr>
          <w:b/>
        </w:rPr>
        <w:fldChar w:fldCharType="begin"/>
      </w:r>
      <w:r w:rsidRPr="00F3740A">
        <w:rPr>
          <w:b/>
        </w:rPr>
        <w:instrText xml:space="preserve"> REF _Ref411616260 \h  \* MERGEFORMAT </w:instrText>
      </w:r>
      <w:r w:rsidRPr="00F3740A">
        <w:rPr>
          <w:b/>
        </w:rPr>
      </w:r>
      <w:r w:rsidRPr="00F3740A">
        <w:rPr>
          <w:b/>
        </w:rPr>
        <w:fldChar w:fldCharType="separate"/>
      </w:r>
      <w:r w:rsidR="00A50E67" w:rsidRPr="00A50E67">
        <w:rPr>
          <w:b/>
        </w:rPr>
        <w:t xml:space="preserve">Figura </w:t>
      </w:r>
      <w:r w:rsidR="00A50E67" w:rsidRPr="00A50E67">
        <w:rPr>
          <w:b/>
          <w:noProof/>
        </w:rPr>
        <w:t>3</w:t>
      </w:r>
      <w:r w:rsidRPr="00F3740A">
        <w:rPr>
          <w:b/>
        </w:rPr>
        <w:fldChar w:fldCharType="end"/>
      </w:r>
      <w:r w:rsidRPr="00F3740A">
        <w:t xml:space="preserve"> apresenta o organograma simplificado da </w:t>
      </w:r>
      <w:r w:rsidR="001E2663">
        <w:t>IMT</w:t>
      </w:r>
      <w:r w:rsidRPr="00F3740A">
        <w:t xml:space="preserve"> da BP Energy para resposta a incidentes de qualquer natureza, inclusive aqueles com derramamento de óleo no mar. Esta estrutura </w:t>
      </w:r>
      <w:r w:rsidR="001E2663">
        <w:t>é</w:t>
      </w:r>
      <w:r w:rsidR="001E2663" w:rsidRPr="00F3740A">
        <w:t xml:space="preserve"> organizada e atua de forma coerente com os princípios de organização e gestão do Sistema de Comando de Incidentes (ICS</w:t>
      </w:r>
      <w:r w:rsidR="001E2663">
        <w:t>, do termo em inglês “</w:t>
      </w:r>
      <w:r w:rsidR="001E2663" w:rsidRPr="0095786B">
        <w:rPr>
          <w:i/>
        </w:rPr>
        <w:t>Incident Command System</w:t>
      </w:r>
      <w:r w:rsidR="001E2663">
        <w:t>”</w:t>
      </w:r>
      <w:r w:rsidR="001E2663" w:rsidRPr="00F3740A">
        <w:t>)</w:t>
      </w:r>
      <w:r w:rsidR="001E2663">
        <w:t xml:space="preserve">, podendo </w:t>
      </w:r>
      <w:r w:rsidRPr="00F3740A">
        <w:t>ser simplificada ou expandida conforme a complexidade do incidente e o andamento das ações de resposta.</w:t>
      </w:r>
    </w:p>
    <w:p w14:paraId="23FA813C" w14:textId="77777777" w:rsidR="00F3740A" w:rsidRPr="001F002C" w:rsidRDefault="00F3740A" w:rsidP="001915DE">
      <w:pPr>
        <w:pStyle w:val="Legenda"/>
        <w:spacing w:before="0" w:after="0" w:line="240" w:lineRule="auto"/>
        <w:rPr>
          <w:noProof/>
        </w:rPr>
      </w:pPr>
      <w:r w:rsidRPr="00F3740A">
        <w:rPr>
          <w:noProof/>
        </w:rPr>
        <w:t xml:space="preserve"> </w:t>
      </w:r>
      <w:r w:rsidR="009B51A1">
        <w:rPr>
          <w:noProof/>
          <w:lang w:val="en-US"/>
        </w:rPr>
        <w:drawing>
          <wp:inline distT="0" distB="0" distL="0" distR="0" wp14:anchorId="18850E1B" wp14:editId="437AD5F5">
            <wp:extent cx="5208771" cy="6177691"/>
            <wp:effectExtent l="0" t="0" r="0" b="0"/>
            <wp:docPr id="1073742020" name="Imagem 107374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14649" cy="6184662"/>
                    </a:xfrm>
                    <a:prstGeom prst="rect">
                      <a:avLst/>
                    </a:prstGeom>
                    <a:noFill/>
                  </pic:spPr>
                </pic:pic>
              </a:graphicData>
            </a:graphic>
          </wp:inline>
        </w:drawing>
      </w:r>
    </w:p>
    <w:p w14:paraId="5C3C917E" w14:textId="548A83F1" w:rsidR="00F3740A" w:rsidRPr="00F3740A" w:rsidRDefault="00F3740A" w:rsidP="001915DE">
      <w:pPr>
        <w:pStyle w:val="Legenda"/>
        <w:spacing w:before="0" w:after="0" w:line="240" w:lineRule="auto"/>
      </w:pPr>
      <w:bookmarkStart w:id="79" w:name="_Ref411616260"/>
      <w:bookmarkStart w:id="80" w:name="_Toc411616261"/>
      <w:bookmarkStart w:id="81" w:name="_Toc527990450"/>
      <w:r w:rsidRPr="00F3740A">
        <w:t xml:space="preserve">Figura </w:t>
      </w:r>
      <w:fldSimple w:instr=" SEQ Figura \* ARABIC ">
        <w:r w:rsidR="00A50E67">
          <w:rPr>
            <w:noProof/>
          </w:rPr>
          <w:t>3</w:t>
        </w:r>
      </w:fldSimple>
      <w:bookmarkEnd w:id="79"/>
      <w:r w:rsidRPr="00F3740A">
        <w:t xml:space="preserve">: Organograma da </w:t>
      </w:r>
      <w:r w:rsidR="001E2663">
        <w:t>IMT</w:t>
      </w:r>
      <w:r w:rsidR="00611A02">
        <w:t>, com indicação também da TRT</w:t>
      </w:r>
      <w:r w:rsidR="00A829B1">
        <w:t xml:space="preserve"> </w:t>
      </w:r>
      <w:r w:rsidR="00A829B1" w:rsidRPr="00946134">
        <w:t>(</w:t>
      </w:r>
      <w:r w:rsidR="00B86422">
        <w:t>Fonte: Witt|O’Brien’s</w:t>
      </w:r>
      <w:r w:rsidR="00A829B1" w:rsidRPr="00946134">
        <w:t>)</w:t>
      </w:r>
      <w:r w:rsidRPr="00F3740A">
        <w:t>.</w:t>
      </w:r>
      <w:bookmarkEnd w:id="80"/>
      <w:bookmarkEnd w:id="81"/>
    </w:p>
    <w:p w14:paraId="3E73934C" w14:textId="77777777" w:rsidR="001E2663" w:rsidRDefault="001E2663" w:rsidP="00723A97">
      <w:pPr>
        <w:pStyle w:val="tier1Itext"/>
      </w:pPr>
    </w:p>
    <w:p w14:paraId="64EE02BC" w14:textId="77777777" w:rsidR="00F3740A" w:rsidRPr="00F3740A" w:rsidRDefault="00F3740A" w:rsidP="00723A97">
      <w:pPr>
        <w:pStyle w:val="tier1Itext"/>
      </w:pPr>
      <w:r w:rsidRPr="00F3740A">
        <w:lastRenderedPageBreak/>
        <w:t xml:space="preserve">Em um pequeno incidente, como, por exemplo, um pequeno </w:t>
      </w:r>
      <w:r w:rsidR="00642786">
        <w:t>derramamento</w:t>
      </w:r>
      <w:r w:rsidRPr="00F3740A">
        <w:t xml:space="preserve"> de óleo, uma única pessoa envolvida na resposta na cena do incidente pode cumprir as obrigações de todas as funções dos Chefes das Seções de Planejamento, Operações, Logística e Finanças. Por outro lado, um incidente de grande porte pode exigir mais pessoas nas funções dos times da IMT (Comando, Geral e de Suporte) para gerenciar a magnitude dos problemas diretamente relacionados com o incidente.</w:t>
      </w:r>
    </w:p>
    <w:p w14:paraId="19EBD81E" w14:textId="64850574" w:rsidR="00F3740A" w:rsidRPr="00F3740A" w:rsidRDefault="00F3740A" w:rsidP="00723A97">
      <w:pPr>
        <w:pStyle w:val="tier1Itext"/>
      </w:pPr>
      <w:r w:rsidRPr="00F3740A">
        <w:t xml:space="preserve">Em incidentes de grande porte (como a Descarga de Pior Caso), sobretudo naqueles em que estão envolvidas múltiplas estratégias de resposta e consideradas ações de defesa e limpeza de costa, a empresa pode se valer da mobilização de uma filial, que terá uma estrutura dimensionada para o controle local das atividades de resposta. A filial é uma reprodução </w:t>
      </w:r>
      <w:r w:rsidR="001E2663">
        <w:t xml:space="preserve">em escala adequada </w:t>
      </w:r>
      <w:r w:rsidRPr="00F3740A">
        <w:t xml:space="preserve">da IMT, com as funções especificadas como necessário, e </w:t>
      </w:r>
      <w:r w:rsidR="00B861B2">
        <w:t xml:space="preserve">que </w:t>
      </w:r>
      <w:r w:rsidRPr="00F3740A">
        <w:t>trabalha de forma integrada com os times locais (divisões e grupos de ação) e com a própria IMT, reforçando a representatividade desta localmente.</w:t>
      </w:r>
    </w:p>
    <w:p w14:paraId="07CEA702" w14:textId="15A43CED" w:rsidR="00F3740A" w:rsidRPr="00F3740A" w:rsidRDefault="00F3740A" w:rsidP="00723A97">
      <w:pPr>
        <w:pStyle w:val="tier1Itext"/>
      </w:pPr>
      <w:r w:rsidRPr="00F3740A">
        <w:t xml:space="preserve">Nesta classe de incidentes, o Sistema de Gerenciamento de Resposta à Emergência da BP também considera o apoio da Equipe de Resposta </w:t>
      </w:r>
      <w:r w:rsidRPr="005A2203">
        <w:t>Mútua (</w:t>
      </w:r>
      <w:r w:rsidRPr="00EE0E12">
        <w:t>MRT</w:t>
      </w:r>
      <w:r w:rsidRPr="005A2203">
        <w:t>), uma equipe</w:t>
      </w:r>
      <w:r w:rsidRPr="00F3740A">
        <w:t xml:space="preserve"> de pessoal treinado e experiente em resposta a incidentes, baseados em outros negócios da empresa no país e em projetos no mundo todo, que está disponível para ser ativada e responder em nome da BP Energy. A vantagem desta equipe é que</w:t>
      </w:r>
      <w:r w:rsidR="001E2663">
        <w:t>,</w:t>
      </w:r>
      <w:r w:rsidRPr="00F3740A">
        <w:t xml:space="preserve"> além do treinamento e experiência na utilização do ICS, ela também está alinhada com os procedimentos operacionais da empresa, o que garante recursos humanos capacitados adicionais, principalmente, mas não limitados aos times de Logística e Finanças.</w:t>
      </w:r>
    </w:p>
    <w:p w14:paraId="2620952C" w14:textId="77777777" w:rsidR="000F3DA6" w:rsidRPr="009E316F" w:rsidRDefault="006D5C78" w:rsidP="009D01BE">
      <w:pPr>
        <w:pStyle w:val="Ttulo2"/>
        <w:rPr>
          <w:lang w:val="pt-BR"/>
        </w:rPr>
      </w:pPr>
      <w:bookmarkStart w:id="82" w:name="_Toc527990404"/>
      <w:r w:rsidRPr="009E316F">
        <w:rPr>
          <w:lang w:val="pt-BR"/>
        </w:rPr>
        <w:t>Equipe de Gerenciamento de Incidentes (IMT)</w:t>
      </w:r>
      <w:bookmarkEnd w:id="82"/>
    </w:p>
    <w:p w14:paraId="4B07765A" w14:textId="77777777" w:rsidR="00F3740A" w:rsidRPr="00F3740A" w:rsidRDefault="00F3740A" w:rsidP="00723A97">
      <w:pPr>
        <w:pStyle w:val="tier1Itext"/>
      </w:pPr>
      <w:r w:rsidRPr="00F3740A">
        <w:t>A Equipe de Gerenciamento de Incidentes (IMT) é liderada pelo Comandante do Incidente (IC) e está dividida em três níveis hierárquicos: (i) a Equipe de Comando, (ii) a Equipe Geral, e (iii) a Equipe de Suporte. Suas principais funções são os seguintes:</w:t>
      </w:r>
    </w:p>
    <w:p w14:paraId="78542B77"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F3740A">
        <w:rPr>
          <w:rFonts w:asciiTheme="majorHAnsi" w:hAnsiTheme="majorHAnsi"/>
        </w:rPr>
        <w:t>Garantir e monitorar a segurança dos envolvidos nas ações de resposta;</w:t>
      </w:r>
    </w:p>
    <w:p w14:paraId="50146D17"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F3740A">
        <w:rPr>
          <w:rFonts w:asciiTheme="majorHAnsi" w:hAnsiTheme="majorHAnsi"/>
        </w:rPr>
        <w:t>Gerenciar os impactos do incidente;</w:t>
      </w:r>
    </w:p>
    <w:p w14:paraId="3AA9E4BF"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F3740A">
        <w:rPr>
          <w:rFonts w:asciiTheme="majorHAnsi" w:hAnsiTheme="majorHAnsi"/>
        </w:rPr>
        <w:t xml:space="preserve">Direcionar a resposta tática ao incidente; e </w:t>
      </w:r>
    </w:p>
    <w:p w14:paraId="22B9419D"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F3740A">
        <w:rPr>
          <w:rFonts w:asciiTheme="majorHAnsi" w:hAnsiTheme="majorHAnsi"/>
        </w:rPr>
        <w:t>Prover informações para a Equipe de Suporte à Continuidade da Capacidade Operacional (BST) sobre as atividades de resposta.</w:t>
      </w:r>
    </w:p>
    <w:p w14:paraId="3816EFCA" w14:textId="77777777" w:rsidR="00F3740A" w:rsidRPr="00F3740A" w:rsidRDefault="00F3740A" w:rsidP="00723A97">
      <w:pPr>
        <w:pStyle w:val="tier1Itext"/>
      </w:pPr>
      <w:r w:rsidRPr="00F3740A">
        <w:lastRenderedPageBreak/>
        <w:t>Todas as suas ações estarão em pleno alinhamento com o Plano de Gerenciamento de Incidente da BP Energy, que descreve como a IMT se estrutura e opera para gerir as questões que um incidente pode representar para as operações da BP no Brasil; e como ela apoia as operações táticas no campo e se coordenada com a BST. Este Plano de Emergência Individual faz parte deste documento, sobretudo relacionado com a gestão dos incidentes que envolvem derramamentos de óleo para o meio ambiente.</w:t>
      </w:r>
    </w:p>
    <w:p w14:paraId="0A40AA23" w14:textId="77777777" w:rsidR="00F3740A" w:rsidRPr="00F3740A" w:rsidRDefault="00F3740A" w:rsidP="00723A97">
      <w:pPr>
        <w:pStyle w:val="tier1Itext"/>
      </w:pPr>
      <w:r w:rsidRPr="00F3740A" w:rsidDel="00170F91">
        <w:t xml:space="preserve">É importante ter em mente que os Chefes das Seções de Planejamento, Logística e Finanças e as suas organizações das Equipes de Suporte existem para apoiar a Seção de Operações. </w:t>
      </w:r>
      <w:r w:rsidRPr="00F3740A">
        <w:t>As Seções de Planejamento, de Logística e de Finanças são construídas de cima para baixo, o que significa que os Chefes são trazidos para gerenciar todas as responsabilidades específicas de sua seção e acionarão as equipes adicionais da Equipe de Suporte, conforme necessário. Por outro lado, o Chefe da Seção de Operações desenvolve a organização das ações de resposta</w:t>
      </w:r>
      <w:r w:rsidR="002F5952">
        <w:t xml:space="preserve"> </w:t>
      </w:r>
      <w:r w:rsidR="002F5952" w:rsidRPr="00F3740A">
        <w:t>necessárias</w:t>
      </w:r>
      <w:r w:rsidRPr="00F3740A">
        <w:t xml:space="preserve"> de baixo para cima, sempre assegurando que as operações estão cobrindo de forma adequada as operações táticas e permanecendo </w:t>
      </w:r>
      <w:r w:rsidR="005A72E5">
        <w:t>nos limites do nível de gestão.</w:t>
      </w:r>
    </w:p>
    <w:p w14:paraId="6DCBA9FF" w14:textId="77777777" w:rsidR="00F3740A" w:rsidRPr="00F3740A" w:rsidRDefault="00F3740A" w:rsidP="00723A97">
      <w:pPr>
        <w:pStyle w:val="tier1Itext"/>
      </w:pPr>
      <w:r w:rsidRPr="00F3740A">
        <w:t xml:space="preserve">Se um incidente (qualquer que seja sua magnitude) for requerer habilidades ou conhecimentos específicos a serem trazidos para auxiliar nas respostas e/ou decisões da IMT, uma equipe </w:t>
      </w:r>
      <w:r w:rsidR="002F5952">
        <w:t>com</w:t>
      </w:r>
      <w:r w:rsidR="002F5952" w:rsidRPr="00F3740A">
        <w:t xml:space="preserve"> </w:t>
      </w:r>
      <w:r w:rsidRPr="00F3740A">
        <w:t xml:space="preserve">pessoal especializado pode ser mobilizada pelo Chefe da Seção de Planejamento (PSC) e será referida na estrutura do Sistema de Comando de Incidentes </w:t>
      </w:r>
      <w:r w:rsidRPr="00C04FFD">
        <w:t>(ICS) como</w:t>
      </w:r>
      <w:r w:rsidRPr="00F3740A">
        <w:t xml:space="preserve"> “Especialistas Técnicos”.</w:t>
      </w:r>
    </w:p>
    <w:p w14:paraId="39459F10" w14:textId="77777777" w:rsidR="00F3740A" w:rsidRPr="00F3740A" w:rsidRDefault="00F3740A" w:rsidP="00723A97">
      <w:pPr>
        <w:pStyle w:val="tier1Itext"/>
        <w:rPr>
          <w:lang w:eastAsia="pt-BR"/>
        </w:rPr>
      </w:pPr>
      <w:r w:rsidRPr="00F3740A">
        <w:t>Os Especialistas Técnicos fornecem conhecimentos que não podem ser encontrados na organização do ICS. Eles fornecem experiência e aconselhamento sobre os aspectos que envolvem um incidente, sendo profissionais em que a IMT confia, a fim de garantir que as operações sejam realizadas da forma mais segura e eficiente possível. Eles podem trabalhar em qualquer lugar que suas habilidades forem necessárias na IMT/TRT, mas todos se reportando à Seção de Planejamento.</w:t>
      </w:r>
    </w:p>
    <w:p w14:paraId="3EF3F35E" w14:textId="77777777" w:rsidR="00037F51" w:rsidRPr="009E316F" w:rsidRDefault="00A968B6" w:rsidP="009D01BE">
      <w:pPr>
        <w:pStyle w:val="Ttulo2"/>
        <w:rPr>
          <w:lang w:val="pt-BR"/>
        </w:rPr>
      </w:pPr>
      <w:bookmarkStart w:id="83" w:name="_Toc527990405"/>
      <w:r w:rsidRPr="009E316F">
        <w:rPr>
          <w:lang w:val="pt-BR"/>
        </w:rPr>
        <w:t>Equipe de Resposta Tática</w:t>
      </w:r>
      <w:r w:rsidR="00037F51" w:rsidRPr="009E316F">
        <w:rPr>
          <w:lang w:val="pt-BR"/>
        </w:rPr>
        <w:t xml:space="preserve"> (</w:t>
      </w:r>
      <w:r w:rsidRPr="009E316F">
        <w:rPr>
          <w:lang w:val="pt-BR"/>
        </w:rPr>
        <w:t>TRT</w:t>
      </w:r>
      <w:r w:rsidR="00037F51" w:rsidRPr="009E316F">
        <w:rPr>
          <w:lang w:val="pt-BR"/>
        </w:rPr>
        <w:t>)</w:t>
      </w:r>
      <w:bookmarkEnd w:id="83"/>
    </w:p>
    <w:p w14:paraId="2FCC2CB9" w14:textId="77777777" w:rsidR="00F3740A" w:rsidRPr="00F3740A" w:rsidRDefault="00F3740A" w:rsidP="00723A97">
      <w:pPr>
        <w:pStyle w:val="tier1Itext"/>
      </w:pPr>
      <w:r w:rsidRPr="00F3740A">
        <w:t>Conforme mencionado anteriormente, “Equipe de Resposta Tática” é um título genérico que a BP utiliza para classificar os indivíduos altamente treinados e organizados que estão presentes na cena de um incidente ou que se deslocam para ela, a fim de montar e manter as operações de resposta táticas práticas. A Equipe de Resposta Tática (TRT) geralmente é composta pelos primeiros indivíduos envolvidos na resposta e, uma vez que a maioria dos incidentes é de pequena magnitude e pode ser tratada por uma ou poucas pessoas em um curto espaço de tempo, costuma lidar com incidentes sem a assistência de acionamento completo e formal da IMT. Se esta for acionada, a TRT será integrada a ela e se tornará parte da Seção de Operações da IMT.</w:t>
      </w:r>
    </w:p>
    <w:p w14:paraId="46DC8B4D" w14:textId="77777777" w:rsidR="00F3740A" w:rsidRPr="00F3740A" w:rsidRDefault="00F3740A" w:rsidP="00723A97">
      <w:pPr>
        <w:pStyle w:val="tier1Itext"/>
      </w:pPr>
      <w:r w:rsidRPr="00F3740A">
        <w:lastRenderedPageBreak/>
        <w:t>Normalmente, a TRT tem sua composição ligeiramente modificada de acordo com a natureza do incidente (combate a incêndios, evacuação, resposta a derramamento de óleo, emergência médica) no que diz respeito aos grupos especializados e treinados mobilizados</w:t>
      </w:r>
      <w:r w:rsidR="005A72E5">
        <w:t xml:space="preserve"> para as unidades operacionais.</w:t>
      </w:r>
    </w:p>
    <w:p w14:paraId="15D8D780" w14:textId="684293D8" w:rsidR="00F3740A" w:rsidRPr="00F3740A" w:rsidRDefault="00F3740A" w:rsidP="00723A97">
      <w:pPr>
        <w:pStyle w:val="tier1Itext"/>
      </w:pPr>
      <w:r w:rsidRPr="00F3740A">
        <w:t>Esta equipe é liderada por um Comandante Local do Incidente (</w:t>
      </w:r>
      <w:r w:rsidRPr="00F3740A">
        <w:rPr>
          <w:i/>
        </w:rPr>
        <w:t>On Scene Commander</w:t>
      </w:r>
      <w:r w:rsidRPr="00F3740A">
        <w:t xml:space="preserve"> </w:t>
      </w:r>
      <w:r w:rsidR="00F41F95">
        <w:t>–</w:t>
      </w:r>
      <w:r w:rsidRPr="00F3740A">
        <w:t xml:space="preserve"> </w:t>
      </w:r>
      <w:r w:rsidR="00ED59A7">
        <w:t>IC Local</w:t>
      </w:r>
      <w:r w:rsidRPr="00F3740A">
        <w:t xml:space="preserve">), que serve como o Comandante </w:t>
      </w:r>
      <w:r w:rsidR="00F41F95">
        <w:t xml:space="preserve">inicial </w:t>
      </w:r>
      <w:r w:rsidRPr="00F3740A">
        <w:t xml:space="preserve">do Incidente. Na unidade de perfuração, o Capitão </w:t>
      </w:r>
      <w:r w:rsidR="001E2663">
        <w:t xml:space="preserve">da DS-9 </w:t>
      </w:r>
      <w:r w:rsidRPr="00F3740A">
        <w:t xml:space="preserve">desempenhará o papel de </w:t>
      </w:r>
      <w:r w:rsidR="00ED59A7">
        <w:t>IC Local</w:t>
      </w:r>
      <w:r w:rsidRPr="00F3740A">
        <w:t>; o representante da BP Energy a bordo (</w:t>
      </w:r>
      <w:r w:rsidRPr="00F3740A">
        <w:rPr>
          <w:i/>
        </w:rPr>
        <w:t xml:space="preserve">Well </w:t>
      </w:r>
      <w:r w:rsidR="00E14494">
        <w:rPr>
          <w:i/>
        </w:rPr>
        <w:t>Supervisor</w:t>
      </w:r>
      <w:r w:rsidRPr="00F3740A">
        <w:t xml:space="preserve">) </w:t>
      </w:r>
      <w:r w:rsidR="001E2663">
        <w:t xml:space="preserve">também </w:t>
      </w:r>
      <w:r w:rsidRPr="00ED59A7">
        <w:t xml:space="preserve">poderá ser o </w:t>
      </w:r>
      <w:r w:rsidR="00942345">
        <w:t>IC Local/</w:t>
      </w:r>
      <w:r w:rsidR="00ED59A7" w:rsidRPr="00ED59A7">
        <w:t xml:space="preserve">OSC </w:t>
      </w:r>
      <w:r w:rsidRPr="00ED59A7">
        <w:t>Delegado, sendo</w:t>
      </w:r>
      <w:r w:rsidRPr="00F3740A">
        <w:t xml:space="preserve"> o ponto focal de contato entre a instalação e o apoio em terra da IMT.</w:t>
      </w:r>
    </w:p>
    <w:p w14:paraId="3AD00AC3" w14:textId="77777777" w:rsidR="005B5638" w:rsidRDefault="00F3740A" w:rsidP="005A72E5">
      <w:pPr>
        <w:pStyle w:val="tier1Itext"/>
      </w:pPr>
      <w:r w:rsidRPr="00F3740A">
        <w:t xml:space="preserve">Suas responsabilidades incluem a organização e gestão das operações de respostas táticas na cena do incidente de uma forma segura e eficaz (acionamento e gestão de ações do SOPEP) e a comunicação ou o acionamento do PEI, nos casos em que o óleo atinge o mar, através do contato com o IC/IMT. Quando do acionamento da IMT, o </w:t>
      </w:r>
      <w:r w:rsidR="00ED59A7">
        <w:t>IC Local</w:t>
      </w:r>
      <w:r w:rsidRPr="00F3740A">
        <w:t xml:space="preserve"> fará a transferência do comando para o IC/IMT e continuará atuando nas ações de resposta, porém como Chefe Delegado da Seção de Operações</w:t>
      </w:r>
      <w:r w:rsidR="00ED59A7">
        <w:t xml:space="preserve"> (OSC Delegado)</w:t>
      </w:r>
      <w:r w:rsidRPr="00F3740A">
        <w:t>.</w:t>
      </w:r>
      <w:r w:rsidR="00F41F95">
        <w:t xml:space="preserve"> </w:t>
      </w:r>
      <w:r w:rsidRPr="00F3740A">
        <w:t>No escopo da Seção de Operações, a organização de resposta poderá mobilizar quantos delegados do Chefe de Seção forem necessários para gerenciar as operações simultâneas.</w:t>
      </w:r>
    </w:p>
    <w:p w14:paraId="5A39BCB2" w14:textId="77777777" w:rsidR="005B5638" w:rsidRDefault="00F3740A" w:rsidP="00121F26">
      <w:pPr>
        <w:pStyle w:val="tier1Itext"/>
      </w:pPr>
      <w:r w:rsidRPr="00F3740A">
        <w:t xml:space="preserve">O </w:t>
      </w:r>
      <w:r w:rsidR="00ED59A7">
        <w:t xml:space="preserve">IC Local/OSC </w:t>
      </w:r>
      <w:r w:rsidRPr="00F3740A">
        <w:t>Delegado deve fornecer ao Chefe da Seção de Operações (OSC) as informações para preenchimento do formulário ICS 201</w:t>
      </w:r>
      <w:r w:rsidRPr="00F3740A">
        <w:rPr>
          <w:vertAlign w:val="superscript"/>
        </w:rPr>
        <w:footnoteReference w:id="6"/>
      </w:r>
      <w:r w:rsidRPr="00F3740A">
        <w:t xml:space="preserve"> (formulário “Relatório Geral do Incidente”) no início do evento e o formulário preenchido, quando possível, com o resumo da evolução do incidente antes de ca</w:t>
      </w:r>
      <w:r w:rsidR="005A72E5">
        <w:t>da reunião de avaliação da IMT.</w:t>
      </w:r>
    </w:p>
    <w:p w14:paraId="7408DB0B" w14:textId="77777777" w:rsidR="00F3740A" w:rsidRPr="00F3740A" w:rsidRDefault="00F3740A" w:rsidP="005A72E5">
      <w:pPr>
        <w:pStyle w:val="tier1Itext"/>
      </w:pPr>
      <w:r w:rsidRPr="00F3740A">
        <w:t>Esses relatórios fornecem informações atualizadas sobre a natureza, a localização e o andamento do estado de controle da(s) fonte(s), características do(s) material(</w:t>
      </w:r>
      <w:r w:rsidR="0028568C">
        <w:t>a</w:t>
      </w:r>
      <w:r w:rsidRPr="00F3740A">
        <w:t>is) derramado(s)/emitido(s), organização da resposta tática discretizada ao nível das ações, natureza e andamento destas ações de resposta. Também lista os recursos disponíveis, atribuídos e os já solicitados (com seu tempo estimado de chegada [ETA]), discriminados por frente de combate e progresso das ações de resposta, assim como os recursos inoperantes/fora de serviço.</w:t>
      </w:r>
    </w:p>
    <w:p w14:paraId="12C821CC" w14:textId="77777777" w:rsidR="00F3740A" w:rsidRPr="00F3740A" w:rsidRDefault="00F3740A" w:rsidP="005A72E5">
      <w:pPr>
        <w:pStyle w:val="tier1Itext"/>
      </w:pPr>
      <w:r w:rsidRPr="00F3740A">
        <w:lastRenderedPageBreak/>
        <w:t xml:space="preserve">Em um incidente de derramamento de óleo no mar, o </w:t>
      </w:r>
      <w:r w:rsidR="00ED59A7">
        <w:t>IC Local</w:t>
      </w:r>
      <w:r w:rsidRPr="00F3740A">
        <w:t xml:space="preserve">/OSC Delegado também conta com outras funções em sua Equipe de Suporte como os Capitães das embarcações dedicadas e de apoio, o oficial de segurança da instalação, o operador de rádio, a equipe específica do SOPEP e, se necessário, o médico de bordo. Outra possível função a ser acionada é a de Ajudante (Escrevente), que auxiliará o </w:t>
      </w:r>
      <w:r w:rsidR="00ED59A7">
        <w:t>IC Local</w:t>
      </w:r>
      <w:r w:rsidRPr="00F3740A">
        <w:t>/OSC Delegado com a gestão e registro das informações.</w:t>
      </w:r>
    </w:p>
    <w:p w14:paraId="22C538B2" w14:textId="77777777" w:rsidR="00F3740A" w:rsidRPr="00F3740A" w:rsidRDefault="00F3740A" w:rsidP="005A72E5">
      <w:pPr>
        <w:pStyle w:val="tier1Itext"/>
        <w:rPr>
          <w:rFonts w:cstheme="majorHAnsi"/>
          <w:szCs w:val="22"/>
        </w:rPr>
      </w:pPr>
      <w:r w:rsidRPr="00F3740A">
        <w:rPr>
          <w:rFonts w:cstheme="majorHAnsi"/>
          <w:szCs w:val="22"/>
        </w:rPr>
        <w:t xml:space="preserve">Dentre as principais responsabilidades do </w:t>
      </w:r>
      <w:r w:rsidR="00ED59A7">
        <w:rPr>
          <w:rFonts w:cstheme="majorHAnsi"/>
          <w:szCs w:val="22"/>
        </w:rPr>
        <w:t>IC Local</w:t>
      </w:r>
      <w:r w:rsidRPr="00F3740A">
        <w:rPr>
          <w:rFonts w:cstheme="majorHAnsi"/>
          <w:szCs w:val="22"/>
        </w:rPr>
        <w:t>/OSC Delegado estão:</w:t>
      </w:r>
    </w:p>
    <w:p w14:paraId="031CD73D"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F3740A">
        <w:rPr>
          <w:rFonts w:asciiTheme="majorHAnsi" w:hAnsiTheme="majorHAnsi"/>
        </w:rPr>
        <w:t>A implementação das medidas de segurança necessárias para proteger a área;</w:t>
      </w:r>
    </w:p>
    <w:p w14:paraId="0479F915"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F3740A">
        <w:rPr>
          <w:rFonts w:asciiTheme="majorHAnsi" w:hAnsiTheme="majorHAnsi"/>
        </w:rPr>
        <w:t>A solicitação ao Comandante(s) da(s) embarcação(ões) dedicada e/ou de apoio para conduzir uma análise dos perigos antes de se adentrar ao local da mancha e iniciar as operações (verificação da inflamabilidade ou toxicidade da atmosfera local);</w:t>
      </w:r>
    </w:p>
    <w:p w14:paraId="56555DC4"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F3740A">
        <w:rPr>
          <w:rFonts w:asciiTheme="majorHAnsi" w:hAnsiTheme="majorHAnsi"/>
        </w:rPr>
        <w:t>A implementação das medidas necessárias para controlar/cessar a fonte de óleo – tarefa inicialmente analisada pela Equipe de Resposta do SOPEP quando no caso de vazamentos ocorridos no interior da instalação;</w:t>
      </w:r>
    </w:p>
    <w:p w14:paraId="23FB0F72"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F3740A">
        <w:rPr>
          <w:rFonts w:asciiTheme="majorHAnsi" w:hAnsiTheme="majorHAnsi"/>
        </w:rPr>
        <w:t>A obtenção de informações atualizadas de correntes, estado do mar e climatológicas para auxiliar na previsão do deslocamento inicial do derramamento;</w:t>
      </w:r>
    </w:p>
    <w:p w14:paraId="718C5E81"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F3740A">
        <w:rPr>
          <w:rFonts w:asciiTheme="majorHAnsi" w:hAnsiTheme="majorHAnsi"/>
        </w:rPr>
        <w:t>A confirmação do inventário de equipamentos de resposta disponíveis na instalação e nas embarcações próximas;</w:t>
      </w:r>
    </w:p>
    <w:p w14:paraId="31126FC1"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F3740A">
        <w:rPr>
          <w:rFonts w:asciiTheme="majorHAnsi" w:hAnsiTheme="majorHAnsi"/>
        </w:rPr>
        <w:t>A determinação se a embarcação de apoio é necessária no auxílio das operações de resposta;</w:t>
      </w:r>
    </w:p>
    <w:p w14:paraId="2B560061"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F3740A">
        <w:rPr>
          <w:rFonts w:asciiTheme="majorHAnsi" w:hAnsiTheme="majorHAnsi"/>
        </w:rPr>
        <w:t>A determinação se recursos adicionais serão necessários para a resposta local;</w:t>
      </w:r>
    </w:p>
    <w:p w14:paraId="1D5944BC"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F3740A">
        <w:rPr>
          <w:rFonts w:asciiTheme="majorHAnsi" w:hAnsiTheme="majorHAnsi"/>
        </w:rPr>
        <w:t>A elaboração e aprovação do Plano Inicial de Resposta ao Incidente que estabelecerá as medidas defensivas, propósitos e implementação de ações previstas, comunicando as ações de resposta à instalação e à tripulação e atribuindo tarefas para a equipe de resposta SOPEP nas instalações;</w:t>
      </w:r>
    </w:p>
    <w:p w14:paraId="04AE9C52"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F3740A">
        <w:rPr>
          <w:rFonts w:asciiTheme="majorHAnsi" w:hAnsiTheme="majorHAnsi"/>
        </w:rPr>
        <w:t>A coordenação da(s) equipe(s) de resposta nas instalações;</w:t>
      </w:r>
    </w:p>
    <w:p w14:paraId="39AF95DC"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F3740A">
        <w:rPr>
          <w:rFonts w:asciiTheme="majorHAnsi" w:hAnsiTheme="majorHAnsi"/>
        </w:rPr>
        <w:t>A comunicação com instalações próximas para informar sobre o incidente, a fim de que sejam adotadas as medidas preventivas adequadas; e</w:t>
      </w:r>
    </w:p>
    <w:p w14:paraId="2014E8DF"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F3740A">
        <w:rPr>
          <w:rFonts w:asciiTheme="majorHAnsi" w:hAnsiTheme="majorHAnsi"/>
        </w:rPr>
        <w:t>O registro de todas as ações e comunicações.</w:t>
      </w:r>
    </w:p>
    <w:p w14:paraId="5D368595" w14:textId="77777777" w:rsidR="00F6044C" w:rsidRPr="009E316F" w:rsidRDefault="00A968B6" w:rsidP="009D01BE">
      <w:pPr>
        <w:pStyle w:val="Ttulo2"/>
        <w:rPr>
          <w:lang w:val="pt-BR"/>
        </w:rPr>
      </w:pPr>
      <w:bookmarkStart w:id="84" w:name="_Toc527990406"/>
      <w:r w:rsidRPr="009E316F">
        <w:rPr>
          <w:lang w:val="pt-BR"/>
        </w:rPr>
        <w:lastRenderedPageBreak/>
        <w:t xml:space="preserve">Equipe de Suporte à </w:t>
      </w:r>
      <w:r w:rsidR="00EC39C3" w:rsidRPr="009E316F">
        <w:rPr>
          <w:lang w:val="pt-BR"/>
        </w:rPr>
        <w:t xml:space="preserve">Continuidade da Capacidade Operacional </w:t>
      </w:r>
      <w:r w:rsidRPr="009E316F">
        <w:rPr>
          <w:lang w:val="pt-BR"/>
        </w:rPr>
        <w:t>(BST)</w:t>
      </w:r>
      <w:bookmarkEnd w:id="84"/>
    </w:p>
    <w:p w14:paraId="0FAF856A" w14:textId="77777777" w:rsidR="00F3740A" w:rsidRPr="00F3740A" w:rsidRDefault="00F3740A" w:rsidP="00723A97">
      <w:pPr>
        <w:pStyle w:val="tier1Itext"/>
      </w:pPr>
      <w:r w:rsidRPr="00F3740A">
        <w:t>A Equipe de Suporte à Continuidade da Capacidade Operacional (BST), que realiza as operações de resposta a crises no nível da gestão da BP Energy, tem como principais responsabilidades a prestação de apoio à IMT, avaliando a necessidade de aporte de recursos adicionais às operações de resposta à emergência, e a gestão dos impactos do incidente sobre as operações da empresa, identificando, avaliando e tratando de forma pró-ativa as implicações de uma potencial crise e destas operações de resposta na manutenção da capacidade operacional da BP Energy.</w:t>
      </w:r>
    </w:p>
    <w:p w14:paraId="5B9DF6A4" w14:textId="77777777" w:rsidR="00F3740A" w:rsidRPr="00F3740A" w:rsidRDefault="00F3740A" w:rsidP="00723A97">
      <w:pPr>
        <w:pStyle w:val="tier1Itext"/>
      </w:pPr>
      <w:r w:rsidRPr="00F3740A">
        <w:t>Por causa da natureza do seu trabalho, o porte da BST é pequeno em comparação com a IMT típica. Apesar de ser de certa forma semelhante à estrutura desta última, a sua organização não se baseia no ICS.</w:t>
      </w:r>
    </w:p>
    <w:p w14:paraId="560BE830" w14:textId="77777777" w:rsidR="00F3740A" w:rsidRPr="00F3740A" w:rsidRDefault="00F3740A" w:rsidP="00723A97">
      <w:pPr>
        <w:pStyle w:val="tier1Itext"/>
      </w:pPr>
      <w:r w:rsidRPr="00F3740A">
        <w:t>É coordenada por um Gerente, apoiado por assessores cujas responsabilidades são semelhantes aos seus correspondentes temáticos no contexto da Equipe de Comando da IMT, mas com foco na manutenção da capacidade operacional da empresa e nas relações com as partes interessadas externas, em vez de participar diretamente na gestão do incidente.</w:t>
      </w:r>
    </w:p>
    <w:p w14:paraId="21D767E2" w14:textId="77777777" w:rsidR="00F3740A" w:rsidRPr="00F3740A" w:rsidRDefault="00F3740A" w:rsidP="00723A97">
      <w:pPr>
        <w:pStyle w:val="tier1Itext"/>
      </w:pPr>
      <w:r w:rsidRPr="00F3740A">
        <w:t>A BST realizará suas operações em pleno alinhamento com as diretrizes do Grupo de Gerenciamento de Crise &amp; Continuidade e Resposta a Emergência (CCM/ER) da BP e apoiada pelo Plano de Manutenção da Capacidade Operacional (BCP) para as operações da BP Energy.</w:t>
      </w:r>
    </w:p>
    <w:p w14:paraId="5FB918E6" w14:textId="0043CE12" w:rsidR="00F3740A" w:rsidRPr="00F3740A" w:rsidRDefault="00F3740A" w:rsidP="00723A97">
      <w:pPr>
        <w:pStyle w:val="tier1Itext"/>
      </w:pPr>
      <w:r w:rsidRPr="00F3740A">
        <w:t xml:space="preserve">Informações detalhadas a respeito </w:t>
      </w:r>
      <w:r w:rsidR="00611A02">
        <w:t xml:space="preserve">do processo de </w:t>
      </w:r>
      <w:r w:rsidRPr="00F3740A">
        <w:t xml:space="preserve">qualificação necessária para desempenho da sua função, obtida por meio de treinamentos e exercícios, estão descritas no </w:t>
      </w:r>
      <w:r w:rsidR="00D66D31" w:rsidRPr="00D66D31">
        <w:rPr>
          <w:b/>
        </w:rPr>
        <w:t>APÊNDICE</w:t>
      </w:r>
      <w:r w:rsidRPr="00D66D31">
        <w:rPr>
          <w:b/>
        </w:rPr>
        <w:t xml:space="preserve"> C</w:t>
      </w:r>
      <w:r w:rsidRPr="00F3740A">
        <w:t>.</w:t>
      </w:r>
    </w:p>
    <w:p w14:paraId="5AFD1A8D" w14:textId="77777777" w:rsidR="000F3DA6" w:rsidRPr="00CE6488" w:rsidRDefault="00F6044C" w:rsidP="009D01BE">
      <w:pPr>
        <w:pStyle w:val="Ttulo1"/>
        <w:rPr>
          <w:lang w:val="pt-BR"/>
        </w:rPr>
      </w:pPr>
      <w:bookmarkStart w:id="85" w:name="_Ref414455983"/>
      <w:bookmarkStart w:id="86" w:name="_Ref414455994"/>
      <w:bookmarkStart w:id="87" w:name="_Ref414534840"/>
      <w:bookmarkStart w:id="88" w:name="_Ref414537621"/>
      <w:bookmarkStart w:id="89" w:name="_Toc527990407"/>
      <w:r w:rsidRPr="00CE6488">
        <w:rPr>
          <w:lang w:val="pt-BR"/>
        </w:rPr>
        <w:t>C</w:t>
      </w:r>
      <w:r w:rsidR="00037F51" w:rsidRPr="00CE6488">
        <w:rPr>
          <w:lang w:val="pt-BR"/>
        </w:rPr>
        <w:t>OMUNICAÇÃO INICIAL E MOBILIZAÇÃO DA EOR</w:t>
      </w:r>
      <w:bookmarkEnd w:id="85"/>
      <w:bookmarkEnd w:id="86"/>
      <w:bookmarkEnd w:id="87"/>
      <w:bookmarkEnd w:id="88"/>
      <w:bookmarkEnd w:id="89"/>
    </w:p>
    <w:p w14:paraId="3AF07BC0" w14:textId="524E167B" w:rsidR="000C2F25" w:rsidRPr="000C2F25" w:rsidRDefault="004D4A24" w:rsidP="00723A97">
      <w:pPr>
        <w:pStyle w:val="tier1Itext"/>
      </w:pPr>
      <w:r>
        <w:t>A</w:t>
      </w:r>
      <w:r w:rsidR="000C2F25" w:rsidRPr="000C2F25">
        <w:t xml:space="preserve">ssim que uma comunicação inicial </w:t>
      </w:r>
      <w:r>
        <w:t xml:space="preserve">de </w:t>
      </w:r>
      <w:r w:rsidRPr="000C2F25">
        <w:t xml:space="preserve">um incidente </w:t>
      </w:r>
      <w:r>
        <w:t>com</w:t>
      </w:r>
      <w:r w:rsidRPr="000C2F25">
        <w:t xml:space="preserve"> vazamento de óleo </w:t>
      </w:r>
      <w:r w:rsidR="000C2F25" w:rsidRPr="000C2F25">
        <w:t>for feita para o Capitão</w:t>
      </w:r>
      <w:r>
        <w:t>, o</w:t>
      </w:r>
      <w:r w:rsidRPr="000C2F25">
        <w:t xml:space="preserve"> SOPEP da unidade será imediatamente acionado</w:t>
      </w:r>
      <w:r w:rsidR="000C2F25" w:rsidRPr="000C2F25">
        <w:t xml:space="preserve">. O Comandante do Incidente (IC) local avalia a necessidade do acionamento da Equipe de Resposta Tática (TRT) e, caso positivo, orienta a </w:t>
      </w:r>
      <w:r>
        <w:t>mesma a</w:t>
      </w:r>
      <w:r w:rsidR="000C2F25" w:rsidRPr="000C2F25">
        <w:t xml:space="preserve"> iniciar as ações de resposta que consideram:</w:t>
      </w:r>
    </w:p>
    <w:p w14:paraId="36C83723" w14:textId="77777777" w:rsidR="000C2F25" w:rsidRPr="000C2F25" w:rsidRDefault="000C2F25" w:rsidP="00EA2A77">
      <w:pPr>
        <w:pStyle w:val="itemx"/>
        <w:numPr>
          <w:ilvl w:val="0"/>
          <w:numId w:val="23"/>
        </w:numPr>
        <w:tabs>
          <w:tab w:val="left" w:pos="1122"/>
        </w:tabs>
        <w:spacing w:after="0" w:line="360" w:lineRule="auto"/>
        <w:ind w:left="714" w:hanging="357"/>
        <w:rPr>
          <w:rFonts w:asciiTheme="majorHAnsi" w:hAnsiTheme="majorHAnsi" w:cstheme="majorHAnsi"/>
          <w:sz w:val="22"/>
          <w:szCs w:val="22"/>
          <w:lang w:val="pt-BR"/>
        </w:rPr>
      </w:pPr>
      <w:r w:rsidRPr="000C2F25">
        <w:rPr>
          <w:rFonts w:asciiTheme="majorHAnsi" w:hAnsiTheme="majorHAnsi" w:cstheme="majorHAnsi"/>
          <w:sz w:val="22"/>
          <w:szCs w:val="22"/>
          <w:lang w:val="pt-BR"/>
        </w:rPr>
        <w:t xml:space="preserve">O estabelecimento de medidas de segurança para iniciar as operações de resposta </w:t>
      </w:r>
      <w:r w:rsidR="005A72E5">
        <w:rPr>
          <w:rFonts w:asciiTheme="majorHAnsi" w:hAnsiTheme="majorHAnsi" w:cstheme="majorHAnsi"/>
          <w:sz w:val="22"/>
          <w:szCs w:val="22"/>
          <w:lang w:val="pt-BR"/>
        </w:rPr>
        <w:t>–</w:t>
      </w:r>
      <w:r w:rsidRPr="000C2F25">
        <w:rPr>
          <w:rFonts w:asciiTheme="majorHAnsi" w:hAnsiTheme="majorHAnsi" w:cstheme="majorHAnsi"/>
          <w:sz w:val="22"/>
          <w:szCs w:val="22"/>
          <w:lang w:val="pt-BR"/>
        </w:rPr>
        <w:t xml:space="preserve"> objetivando a preservação da segurança das equipes de resposta e tripulações das unidades;</w:t>
      </w:r>
    </w:p>
    <w:p w14:paraId="39F81102" w14:textId="77777777" w:rsidR="000C2F25" w:rsidRPr="000C2F25" w:rsidRDefault="000C2F25" w:rsidP="00EA2A77">
      <w:pPr>
        <w:pStyle w:val="itemx"/>
        <w:numPr>
          <w:ilvl w:val="0"/>
          <w:numId w:val="23"/>
        </w:numPr>
        <w:tabs>
          <w:tab w:val="left" w:pos="1122"/>
        </w:tabs>
        <w:spacing w:before="0" w:after="0" w:line="360" w:lineRule="auto"/>
        <w:ind w:left="714" w:hanging="357"/>
        <w:rPr>
          <w:rFonts w:asciiTheme="majorHAnsi" w:hAnsiTheme="majorHAnsi" w:cstheme="majorHAnsi"/>
          <w:sz w:val="22"/>
          <w:szCs w:val="22"/>
          <w:lang w:val="pt-BR"/>
        </w:rPr>
      </w:pPr>
      <w:r w:rsidRPr="000C2F25">
        <w:rPr>
          <w:rFonts w:asciiTheme="majorHAnsi" w:hAnsiTheme="majorHAnsi" w:cstheme="majorHAnsi"/>
          <w:sz w:val="22"/>
          <w:szCs w:val="22"/>
          <w:lang w:val="pt-BR"/>
        </w:rPr>
        <w:t>O controle e eliminação da fonte do vazamento (quando esta está a bordo);</w:t>
      </w:r>
    </w:p>
    <w:p w14:paraId="7CB144A7" w14:textId="77777777" w:rsidR="000C2F25" w:rsidRPr="000C2F25" w:rsidRDefault="000C2F25" w:rsidP="00EA2A77">
      <w:pPr>
        <w:pStyle w:val="itemx"/>
        <w:numPr>
          <w:ilvl w:val="0"/>
          <w:numId w:val="23"/>
        </w:numPr>
        <w:tabs>
          <w:tab w:val="left" w:pos="1122"/>
        </w:tabs>
        <w:spacing w:before="0" w:after="0" w:line="360" w:lineRule="auto"/>
        <w:ind w:left="714" w:hanging="357"/>
        <w:rPr>
          <w:rFonts w:asciiTheme="majorHAnsi" w:hAnsiTheme="majorHAnsi" w:cstheme="majorHAnsi"/>
          <w:sz w:val="22"/>
          <w:szCs w:val="22"/>
          <w:lang w:val="pt-BR"/>
        </w:rPr>
      </w:pPr>
      <w:r w:rsidRPr="000C2F25">
        <w:rPr>
          <w:rFonts w:asciiTheme="majorHAnsi" w:hAnsiTheme="majorHAnsi" w:cstheme="majorHAnsi"/>
          <w:sz w:val="22"/>
          <w:szCs w:val="22"/>
          <w:lang w:val="pt-BR"/>
        </w:rPr>
        <w:t>A contingência do óleo derramado a bordo, evitando que ele atinja o mar (sempre que for possível e seguro fazê-lo); e</w:t>
      </w:r>
    </w:p>
    <w:p w14:paraId="37A3AD16" w14:textId="77777777" w:rsidR="000C2F25" w:rsidRPr="000C2F25" w:rsidRDefault="000C2F25" w:rsidP="00EA2A77">
      <w:pPr>
        <w:pStyle w:val="itemx"/>
        <w:numPr>
          <w:ilvl w:val="0"/>
          <w:numId w:val="23"/>
        </w:numPr>
        <w:tabs>
          <w:tab w:val="left" w:pos="1122"/>
        </w:tabs>
        <w:spacing w:before="0" w:after="240" w:line="360" w:lineRule="auto"/>
        <w:ind w:left="714" w:hanging="357"/>
        <w:rPr>
          <w:rFonts w:asciiTheme="majorHAnsi" w:hAnsiTheme="majorHAnsi" w:cstheme="majorHAnsi"/>
          <w:sz w:val="22"/>
          <w:szCs w:val="22"/>
          <w:lang w:val="pt-BR"/>
        </w:rPr>
      </w:pPr>
      <w:r w:rsidRPr="000C2F25">
        <w:rPr>
          <w:rFonts w:asciiTheme="majorHAnsi" w:hAnsiTheme="majorHAnsi" w:cstheme="majorHAnsi"/>
          <w:sz w:val="22"/>
          <w:szCs w:val="22"/>
          <w:lang w:val="pt-BR"/>
        </w:rPr>
        <w:lastRenderedPageBreak/>
        <w:t>A limpeza do derramamento a bordo.</w:t>
      </w:r>
    </w:p>
    <w:p w14:paraId="1D33E68F" w14:textId="10270341" w:rsidR="000C2F25" w:rsidRPr="000C2F25" w:rsidRDefault="000C2F25" w:rsidP="00723A97">
      <w:pPr>
        <w:pStyle w:val="tier1Itext"/>
      </w:pPr>
      <w:r w:rsidRPr="000C2F25">
        <w:t xml:space="preserve">Em todos os casos de derramamento, </w:t>
      </w:r>
      <w:r w:rsidR="004D4A24">
        <w:t>a</w:t>
      </w:r>
      <w:r w:rsidRPr="000C2F25">
        <w:t xml:space="preserve">o Comandante do Incidente da TRT será </w:t>
      </w:r>
      <w:r w:rsidR="004D4A24">
        <w:t xml:space="preserve">atribuído a função de </w:t>
      </w:r>
      <w:r w:rsidRPr="000C2F25">
        <w:t xml:space="preserve">IC inicial </w:t>
      </w:r>
      <w:r w:rsidR="00B861B2" w:rsidRPr="00654D99">
        <w:rPr>
          <w:highlight w:val="lightGray"/>
        </w:rPr>
        <w:t>do incidente</w:t>
      </w:r>
      <w:r w:rsidRPr="000C2F25">
        <w:t>. Ele será encarregado de reunir as informações disponíveis para a comunicação inicial</w:t>
      </w:r>
      <w:r w:rsidRPr="000C2F25">
        <w:rPr>
          <w:rStyle w:val="Refdenotaderodap"/>
          <w:rFonts w:cstheme="majorHAnsi"/>
          <w:szCs w:val="22"/>
        </w:rPr>
        <w:footnoteReference w:id="7"/>
      </w:r>
      <w:r w:rsidRPr="000C2F25">
        <w:t xml:space="preserve"> </w:t>
      </w:r>
      <w:r w:rsidR="004D4A24">
        <w:t xml:space="preserve">com o IC </w:t>
      </w:r>
      <w:r w:rsidRPr="000C2F25">
        <w:t>da IMT.</w:t>
      </w:r>
    </w:p>
    <w:p w14:paraId="6B20ACF3" w14:textId="7D1F6EB9" w:rsidR="000C2F25" w:rsidRPr="000C2F25" w:rsidRDefault="000C2F25" w:rsidP="00723A97">
      <w:pPr>
        <w:pStyle w:val="tier1Itext"/>
      </w:pPr>
      <w:r w:rsidRPr="00EE0E12">
        <w:t>Em todo evento em que o óleo derramado chegar ao mar, o PEI deve ser acionado.</w:t>
      </w:r>
      <w:r w:rsidRPr="000C2F25">
        <w:rPr>
          <w:b/>
        </w:rPr>
        <w:t xml:space="preserve"> </w:t>
      </w:r>
      <w:r w:rsidRPr="000C2F25">
        <w:t>Independente do acionamento</w:t>
      </w:r>
      <w:r w:rsidR="00B861B2">
        <w:t xml:space="preserve"> </w:t>
      </w:r>
      <w:r w:rsidR="00B861B2" w:rsidRPr="00654D99">
        <w:rPr>
          <w:highlight w:val="lightGray"/>
        </w:rPr>
        <w:t>completo</w:t>
      </w:r>
      <w:r w:rsidRPr="000C2F25">
        <w:t xml:space="preserve"> da TRT ou da </w:t>
      </w:r>
      <w:r w:rsidR="004D4A24">
        <w:t xml:space="preserve">própria </w:t>
      </w:r>
      <w:r w:rsidRPr="000C2F25">
        <w:t xml:space="preserve">IMT, alguns dos procedimentos descritos no </w:t>
      </w:r>
      <w:r w:rsidR="004D4A24">
        <w:t>plano</w:t>
      </w:r>
      <w:r w:rsidRPr="000C2F25">
        <w:t xml:space="preserve"> devem ser postos em prática, mesmo em derramamentos considerados menores ou residuais</w:t>
      </w:r>
      <w:r w:rsidR="004D4A24">
        <w:t>; ações</w:t>
      </w:r>
      <w:r w:rsidRPr="000C2F25">
        <w:t xml:space="preserve"> como</w:t>
      </w:r>
      <w:r w:rsidR="004D4A24">
        <w:t>:</w:t>
      </w:r>
      <w:r w:rsidRPr="000C2F25">
        <w:t xml:space="preserve"> (i) a vistoria a ser feita pela embarcação dedicada ao longo da área de dispersão da mancha de óleo derramado, (ii) a estimativa das dimensões e aspecto da mancha, e (iii) os procedimentos de rastreamento e</w:t>
      </w:r>
      <w:r w:rsidR="004D4A24">
        <w:t>/ou</w:t>
      </w:r>
      <w:r w:rsidRPr="000C2F25">
        <w:t xml:space="preserve"> monitoramento da </w:t>
      </w:r>
      <w:r w:rsidRPr="005A2203">
        <w:t>mancha</w:t>
      </w:r>
      <w:r w:rsidR="004D4A24">
        <w:t>, quando necessários</w:t>
      </w:r>
      <w:r w:rsidRPr="005A2203">
        <w:t xml:space="preserve">. O </w:t>
      </w:r>
      <w:r w:rsidRPr="00EE0E12">
        <w:t xml:space="preserve">IC </w:t>
      </w:r>
      <w:r w:rsidR="00B861B2" w:rsidRPr="00696D94">
        <w:rPr>
          <w:highlight w:val="lightGray"/>
        </w:rPr>
        <w:t>inicial</w:t>
      </w:r>
      <w:r w:rsidR="001F002C" w:rsidRPr="000C2F25">
        <w:t xml:space="preserve"> </w:t>
      </w:r>
      <w:r w:rsidRPr="000C2F25">
        <w:t>ficará diretamente responsável pelo gerenciamento do PEI nos casos de vazamentos em que a IMT não é acionada, recebendo o apoio do IC/IMT e de alguns membros específicos da IMT para executar ações como a verificação de viabili</w:t>
      </w:r>
      <w:r w:rsidR="00F55666">
        <w:t>dade de estratégias de resposta;</w:t>
      </w:r>
      <w:r w:rsidRPr="000C2F25">
        <w:t xml:space="preserve"> o apoio para o cálculo da estimativa da quantidade de óleo derramado a partir das dimensões e aspecto da mancha</w:t>
      </w:r>
      <w:r w:rsidR="00F55666">
        <w:t>;</w:t>
      </w:r>
      <w:r w:rsidRPr="000C2F25">
        <w:t xml:space="preserve"> a orientação sobre a coleta de amostras de óleo (caso necessária);</w:t>
      </w:r>
      <w:r w:rsidR="00A85316">
        <w:t xml:space="preserve"> </w:t>
      </w:r>
      <w:r w:rsidRPr="000C2F25">
        <w:t>e para a notificação formal às agências governamentais.</w:t>
      </w:r>
    </w:p>
    <w:p w14:paraId="5F97DE89" w14:textId="77777777" w:rsidR="000C2F25" w:rsidRPr="000C2F25" w:rsidRDefault="000C2F25" w:rsidP="00723A97">
      <w:pPr>
        <w:pStyle w:val="tier1Itext"/>
      </w:pPr>
      <w:r w:rsidRPr="000C2F25">
        <w:t>Quanto mais o evento crescer em magnitude e complexidade, mais importante e vital é a mobilização da IMT e, até mesmo, da BST, para apoiar e complementar a resposta da equipe local. Para este escopo, o acionamento da IMT pode promover ainda a gerência da disponibilização de Especialistas Técnicos a serem transferidos para as instalações, a fim de reforçar as habilidades a bordo para lidar com uma situação de emergência específica. A gestão da resposta ao deslocamento da mancha de óleo derramado deve ser feita pela IMT, sendo apoiada pela TRT em ações como a orientação e comunicação com as embarcações de resposta (dedicada e de apoio) no campo.</w:t>
      </w:r>
    </w:p>
    <w:p w14:paraId="60411C23" w14:textId="77777777" w:rsidR="000C2F25" w:rsidRPr="000C2F25" w:rsidRDefault="000C2F25" w:rsidP="005A72E5">
      <w:pPr>
        <w:pStyle w:val="tier1Itext"/>
        <w:keepLines w:val="0"/>
      </w:pPr>
      <w:r w:rsidRPr="000C2F25">
        <w:t xml:space="preserve">Há um caso específico, não relacionado a um incidente no campo, no qual o PEI também é acionado: é o cenário chamado de “mancha órfã” e caracteriza-se sempre que uma mancha de óleo é observada na área do campo e não possui relação com nenhuma fonte de operação no mesmo, garantida por procedimentos de verificação geral em todos os elementos operacionais da </w:t>
      </w:r>
      <w:r w:rsidRPr="000C2F25">
        <w:lastRenderedPageBreak/>
        <w:t xml:space="preserve">atividade. Independente da não relação causal de origem da mancha, é uma exigência legal que o evento seja comunicado e que sejam fornecidas </w:t>
      </w:r>
      <w:r w:rsidR="005A72E5">
        <w:t>as ações de resposta adequadas.</w:t>
      </w:r>
    </w:p>
    <w:p w14:paraId="3CE159E9" w14:textId="181244B2" w:rsidR="000C2F25" w:rsidRPr="000C2F25" w:rsidRDefault="000C2F25" w:rsidP="00723A97">
      <w:pPr>
        <w:pStyle w:val="tier1Itext"/>
      </w:pPr>
      <w:r w:rsidRPr="000C2F25">
        <w:t>Em geral, manchas órfãs apresentam filmes de óleo extremamente finos, bastante intemperizados (com aspecto pouco visível indo para o prateado), grandes o suficiente para serem vistos das instalações, mas normalmente combatidas através de dispersão mecânica ou dispersas naturalmente. Ainda assim, a avaliação da mancha deve ser feita pelo IC</w:t>
      </w:r>
      <w:r w:rsidR="00A85316">
        <w:t xml:space="preserve"> </w:t>
      </w:r>
      <w:r w:rsidR="00375010" w:rsidRPr="00654D99">
        <w:rPr>
          <w:highlight w:val="lightGray"/>
        </w:rPr>
        <w:t>inicial</w:t>
      </w:r>
      <w:r w:rsidR="00F55666">
        <w:t>,</w:t>
      </w:r>
      <w:r w:rsidR="00A85316">
        <w:t xml:space="preserve"> </w:t>
      </w:r>
      <w:r w:rsidR="00F55666">
        <w:t xml:space="preserve">podendo contar com o suporte do </w:t>
      </w:r>
      <w:r w:rsidRPr="000C2F25">
        <w:t>IC/IMT, a fim de avaliar a necessidade de acionamento da IMT, em alinhamento com o procedimento rotineiro.</w:t>
      </w:r>
    </w:p>
    <w:p w14:paraId="2C430867" w14:textId="77B4E917" w:rsidR="000C2F25" w:rsidRDefault="000C2F25" w:rsidP="00723A97">
      <w:pPr>
        <w:pStyle w:val="tier1Itext"/>
      </w:pPr>
      <w:r w:rsidRPr="000C2F25">
        <w:t xml:space="preserve">Dentro das operações da BP Energy, com o objetivo de garantir uma resposta de emergência em tempo hábil, o </w:t>
      </w:r>
      <w:r w:rsidR="00CC4ED0">
        <w:t>IC</w:t>
      </w:r>
      <w:r w:rsidRPr="000C2F25">
        <w:t xml:space="preserve"> ou um dos membros da Equipe Geral da IMT fica de prontidão 24x7</w:t>
      </w:r>
      <w:r w:rsidRPr="000C2F25">
        <w:rPr>
          <w:rStyle w:val="Refdenotaderodap"/>
          <w:rFonts w:cstheme="majorHAnsi"/>
          <w:szCs w:val="22"/>
        </w:rPr>
        <w:footnoteReference w:id="8"/>
      </w:r>
      <w:r w:rsidRPr="000C2F25">
        <w:t xml:space="preserve">, sendo o “Responsável de Plantão” (DUTY ROTA). Este representante é um dos membros mais qualificados e treinados da IMT, trocado semanalmente, sendo responsável pelas primeiras ações de resposta (no caso do IC) ou pela </w:t>
      </w:r>
      <w:r w:rsidR="00375010" w:rsidRPr="00654D99">
        <w:rPr>
          <w:highlight w:val="lightGray"/>
        </w:rPr>
        <w:t>notificação</w:t>
      </w:r>
      <w:r w:rsidRPr="000C2F25">
        <w:t xml:space="preserve"> do IC (no caso dos Chefes de Seção). Possui um número próprio de telefone móvel específico de plantão, utilizado sempre para as comunicações iniciais em caso de um derramamento ou outro tipo de incidente. Alternativamente o Coordenador de </w:t>
      </w:r>
      <w:r w:rsidR="00F55666" w:rsidRPr="000C2F25">
        <w:t xml:space="preserve">Resposta à Emergência e Gestão de Crise e Continuidade </w:t>
      </w:r>
      <w:r w:rsidRPr="000C2F25">
        <w:t xml:space="preserve"> também pode receber a comunicação inicial, ficando então responsável pela </w:t>
      </w:r>
      <w:r w:rsidR="00375010" w:rsidRPr="00654D99">
        <w:rPr>
          <w:highlight w:val="lightGray"/>
        </w:rPr>
        <w:t>notificação</w:t>
      </w:r>
      <w:r w:rsidR="00375010">
        <w:t xml:space="preserve"> </w:t>
      </w:r>
      <w:r w:rsidRPr="000C2F25">
        <w:t>do IC.</w:t>
      </w:r>
    </w:p>
    <w:p w14:paraId="22A61935" w14:textId="72B7E38E" w:rsidR="000C2F25" w:rsidRPr="00D830D4" w:rsidRDefault="000C2F25" w:rsidP="00723A97">
      <w:pPr>
        <w:pStyle w:val="tier1Itext"/>
      </w:pPr>
      <w:r w:rsidRPr="00D830D4">
        <w:t xml:space="preserve">Todos os membros da BST e da IMT estão elencados em uma lista que é continuamente gerenciada pela Equipe de Resposta à Emergência e Gestão de Crise e Continuidade (CCM/ER), cuja versão atualizada é mensalmente divulgada para todos os membros das equipes de resposta à emergência e disponibilizada na intranet da BP Energy. Também é disponibilizada uma cópia desta versão atualizada no Posto de Comando </w:t>
      </w:r>
      <w:r w:rsidR="005A72E5" w:rsidRPr="00D830D4">
        <w:t>de Incidentes (ICP) da empresa.</w:t>
      </w:r>
    </w:p>
    <w:p w14:paraId="3BC5A3B9" w14:textId="291BDA41" w:rsidR="009C4BD6" w:rsidRPr="00D830D4" w:rsidRDefault="009C4BD6" w:rsidP="00D830D4">
      <w:pPr>
        <w:pStyle w:val="tier1Itext"/>
      </w:pPr>
      <w:r w:rsidRPr="00654D99">
        <w:rPr>
          <w:highlight w:val="lightGray"/>
        </w:rPr>
        <w:t>A BP considera a restrição da divulgação da sua lista de contatos da estrutura de resposta em função dos seguintes motivos:</w:t>
      </w:r>
      <w:r w:rsidRPr="00D830D4">
        <w:t xml:space="preserve"> </w:t>
      </w:r>
    </w:p>
    <w:p w14:paraId="2826CE2B" w14:textId="773FA597" w:rsidR="009C4BD6" w:rsidRPr="00654D99" w:rsidRDefault="009C4BD6" w:rsidP="00D830D4">
      <w:pPr>
        <w:pStyle w:val="tier1Itext"/>
        <w:numPr>
          <w:ilvl w:val="0"/>
          <w:numId w:val="40"/>
        </w:numPr>
        <w:rPr>
          <w:highlight w:val="lightGray"/>
        </w:rPr>
      </w:pPr>
      <w:r w:rsidRPr="00654D99">
        <w:rPr>
          <w:highlight w:val="lightGray"/>
        </w:rPr>
        <w:lastRenderedPageBreak/>
        <w:t>O número de acesso dos integrantes são utilizados para contatos entre os membros da estrutura de resposta, de forma a agilizar a fluência de informações e realizações das tarefas determinadas. O acesso indiscriminado a pessoas externas à estrutura traria confusão e possível congestionamento nas comunicações das equipes, aumentando a incidência de perguntas endereçadas às pessoas erradas e fora do seu devido tempo;</w:t>
      </w:r>
    </w:p>
    <w:p w14:paraId="73C018EA" w14:textId="44DED66D" w:rsidR="009C4BD6" w:rsidRPr="00654D99" w:rsidRDefault="009C4BD6" w:rsidP="00D830D4">
      <w:pPr>
        <w:pStyle w:val="tier1Itext"/>
        <w:numPr>
          <w:ilvl w:val="0"/>
          <w:numId w:val="40"/>
        </w:numPr>
        <w:rPr>
          <w:highlight w:val="lightGray"/>
        </w:rPr>
      </w:pPr>
      <w:r w:rsidRPr="00654D99">
        <w:rPr>
          <w:highlight w:val="lightGray"/>
        </w:rPr>
        <w:t>Nem todas as pessoas que trabalham na estrutura de resposta têm entendimento do estágio e da resposta como um todo, não estando aptas a fornecer as informações adequadas e completas a certas demandas feitas;</w:t>
      </w:r>
    </w:p>
    <w:p w14:paraId="2B88CC49" w14:textId="6597F482" w:rsidR="009C4BD6" w:rsidRPr="00654D99" w:rsidRDefault="009C4BD6" w:rsidP="00D830D4">
      <w:pPr>
        <w:pStyle w:val="tier1Itext"/>
        <w:numPr>
          <w:ilvl w:val="0"/>
          <w:numId w:val="40"/>
        </w:numPr>
        <w:rPr>
          <w:highlight w:val="lightGray"/>
        </w:rPr>
      </w:pPr>
      <w:r w:rsidRPr="00654D99">
        <w:rPr>
          <w:highlight w:val="lightGray"/>
        </w:rPr>
        <w:t xml:space="preserve">Como definido no ICS, apenas informações verificadas e aprovadas para divulgação pelo Comandante do Incidente podem ser veiculadas fora da estrutura de resposta, e elas o são, pelas pessoas responsáveis com esta atribuição na estrutura (Oficiais de Relação e de Informação). Isto evita a divulgação de informações incompletas ou que ainda não tenham sido corroboradas; </w:t>
      </w:r>
    </w:p>
    <w:p w14:paraId="3A11C8FD" w14:textId="1485A610" w:rsidR="009C4BD6" w:rsidRPr="00654D99" w:rsidRDefault="009C4BD6" w:rsidP="00D830D4">
      <w:pPr>
        <w:pStyle w:val="tier1Itext"/>
        <w:numPr>
          <w:ilvl w:val="0"/>
          <w:numId w:val="40"/>
        </w:numPr>
        <w:rPr>
          <w:highlight w:val="lightGray"/>
        </w:rPr>
      </w:pPr>
      <w:r w:rsidRPr="00654D99">
        <w:rPr>
          <w:highlight w:val="lightGray"/>
        </w:rPr>
        <w:t>Como no momento da ativação da estrutura de resposta, os membros se deslocam para o Posto de Comando de Incidentes (ICP), números de telefones regulares de mesa não são a principal informação nos seus contatos (apenas para ativação dos membros no escritório durante o período de trabalho). Desta forma, na lista constam ainda telefones móveis e residenciais. Telefones de contato residenciais e alguns móveis são considerados dados pessoais confidenciais do funcionário, o que caracteriza a necessidade de autorização específica do mesmo para sua utilização na estrutura de resposta, sendo a ampla divulgação destes dados não autrorizada pela Política Interna da BP;</w:t>
      </w:r>
    </w:p>
    <w:p w14:paraId="6640717A" w14:textId="10276B4D" w:rsidR="009C4BD6" w:rsidRPr="00654D99" w:rsidRDefault="009C4BD6" w:rsidP="00D830D4">
      <w:pPr>
        <w:pStyle w:val="tier1Itext"/>
        <w:numPr>
          <w:ilvl w:val="0"/>
          <w:numId w:val="40"/>
        </w:numPr>
        <w:rPr>
          <w:highlight w:val="lightGray"/>
        </w:rPr>
      </w:pPr>
      <w:r w:rsidRPr="00654D99">
        <w:rPr>
          <w:highlight w:val="lightGray"/>
        </w:rPr>
        <w:t xml:space="preserve">Esta lista possui carácter dinâmico, tendo entrada e saída de nomes listados a qualquer momento, mesmo durante as operações, sendo um arquivo em constante monitoramento. Desta forma, os contatos listados podem variar e isto, associado a uma possível ligação externa não completada, poderia gerar muita insatisfação e confusão; </w:t>
      </w:r>
    </w:p>
    <w:p w14:paraId="3C1F1A66" w14:textId="60467327" w:rsidR="00D830D4" w:rsidRPr="00654D99" w:rsidRDefault="009C4BD6" w:rsidP="00D830D4">
      <w:pPr>
        <w:pStyle w:val="tier1Itext"/>
        <w:rPr>
          <w:highlight w:val="lightGray"/>
        </w:rPr>
      </w:pPr>
      <w:r w:rsidRPr="00654D99">
        <w:rPr>
          <w:highlight w:val="lightGray"/>
        </w:rPr>
        <w:t xml:space="preserve">No entanto, considera a sua divulgação por demanda específica, bastando para tal contato </w:t>
      </w:r>
      <w:r w:rsidR="00D830D4" w:rsidRPr="00654D99">
        <w:rPr>
          <w:highlight w:val="lightGray"/>
        </w:rPr>
        <w:t>através das formas já presentes no próprio Plano, nas Seções:</w:t>
      </w:r>
    </w:p>
    <w:p w14:paraId="10448769" w14:textId="22BB0EA8" w:rsidR="00D830D4" w:rsidRPr="00654D99" w:rsidRDefault="00D830D4" w:rsidP="00D830D4">
      <w:pPr>
        <w:pStyle w:val="tier1Itext"/>
        <w:numPr>
          <w:ilvl w:val="0"/>
          <w:numId w:val="41"/>
        </w:numPr>
        <w:rPr>
          <w:highlight w:val="lightGray"/>
        </w:rPr>
      </w:pPr>
      <w:r w:rsidRPr="00654D99">
        <w:rPr>
          <w:highlight w:val="lightGray"/>
        </w:rPr>
        <w:t xml:space="preserve">2 - Tabelas 1 e 2: telefones da empresa e dos responsáveis legal e técnico do Plano, respectivamente; e </w:t>
      </w:r>
    </w:p>
    <w:p w14:paraId="13A1A863" w14:textId="190AEF3A" w:rsidR="009C4BD6" w:rsidRPr="00654D99" w:rsidRDefault="00D830D4" w:rsidP="00D830D4">
      <w:pPr>
        <w:pStyle w:val="tier1Itext"/>
        <w:numPr>
          <w:ilvl w:val="0"/>
          <w:numId w:val="41"/>
        </w:numPr>
        <w:rPr>
          <w:highlight w:val="lightGray"/>
        </w:rPr>
      </w:pPr>
      <w:r w:rsidRPr="00654D99">
        <w:rPr>
          <w:highlight w:val="lightGray"/>
        </w:rPr>
        <w:lastRenderedPageBreak/>
        <w:t>7.2.2 – Comunições Externas – Notificações recebidas: linha direta sem custo de ligação [0-800-702 2827] e e-mail de contato [falecom@bp.com]), que durante um incidente serão gerenciados de forma a destinar corretamente as demandas de informações feitas aos membros indicados da estrutura de resposta, capazes de respondê-las.</w:t>
      </w:r>
    </w:p>
    <w:p w14:paraId="5921CC29" w14:textId="77777777" w:rsidR="000C2F25" w:rsidRPr="000C2F25" w:rsidRDefault="000C2F25" w:rsidP="005A72E5">
      <w:pPr>
        <w:pStyle w:val="tier1Itext"/>
        <w:keepLines w:val="0"/>
      </w:pPr>
      <w:r w:rsidRPr="00D830D4">
        <w:t xml:space="preserve">A estrutura da lista foi concebida para apresentar as informações necessárias como os telefones </w:t>
      </w:r>
      <w:r w:rsidRPr="000C2F25">
        <w:t xml:space="preserve">do ICP e os contatos dos membros da BST e da IMT (números dos telefones do escritório, celular e residencial, bem como os </w:t>
      </w:r>
      <w:r w:rsidRPr="000C2F25">
        <w:rPr>
          <w:i/>
        </w:rPr>
        <w:t>e-mails</w:t>
      </w:r>
      <w:r w:rsidRPr="000C2F25">
        <w:t xml:space="preserve">), indicando quem são os membros envolvidos na DUTY ROTA. A lista também apresenta endereços de </w:t>
      </w:r>
      <w:r w:rsidRPr="000C2F25">
        <w:rPr>
          <w:i/>
        </w:rPr>
        <w:t>e-mail</w:t>
      </w:r>
      <w:r w:rsidRPr="000C2F25">
        <w:t xml:space="preserve"> de alguns grupos (ICs, equipes e funções da Equipe Geral), o que permite que as informações importantes possam ser enviadas para todos os membros desses grupos simultaneamente. Também é destacado o número de plantão da DUTY ROTA e dos plantões de segurança patrimonial e do suporte de informática.</w:t>
      </w:r>
      <w:r w:rsidR="00A85316">
        <w:t xml:space="preserve"> </w:t>
      </w:r>
      <w:r w:rsidRPr="000C2F25">
        <w:t>O ICP é uma instalação de resposta em que são realizadas as funções e atividades de apoio estratégico. A BP Energy possui um ICP na sede da empresa, na Barra da Tijuca, Rio de Janeiro. Dentro desta instalação a empresa mantém toda a infraestrutura de TI e comunicação, os formulários e material padrão BP de seu ICS, cópias do seu Plano de Gerenciamento de Resposta à Emergência, do Plano de Emergência Individual (PEI) para a operação no Bloco FZA-M-59, mapas, desenhos e outros materiais de escritório.</w:t>
      </w:r>
    </w:p>
    <w:p w14:paraId="00A22CCC" w14:textId="77777777" w:rsidR="000C2F25" w:rsidRPr="000C2F25" w:rsidRDefault="000C2F25" w:rsidP="00723A97">
      <w:pPr>
        <w:pStyle w:val="tier1Itext"/>
      </w:pPr>
      <w:r w:rsidRPr="000C2F25">
        <w:rPr>
          <w:szCs w:val="22"/>
        </w:rPr>
        <w:t>As reuniões semanais de passagem de</w:t>
      </w:r>
      <w:r w:rsidRPr="000C2F25">
        <w:t xml:space="preserve"> trabalho do responsável da DUTY ROTA são realizadas com uma agenda pré-definida, que permite a promoção de discussões sobre os eventos ocorridos na semana em curso e </w:t>
      </w:r>
      <w:r w:rsidR="00CC4ED0">
        <w:t xml:space="preserve">sobre </w:t>
      </w:r>
      <w:r w:rsidRPr="000C2F25">
        <w:t xml:space="preserve">os riscos relacionados com as atividades previstas para a semana seguinte; a avaliação do desempenho da IMT no caso de um acionamento; acompanhamento das realizações dos planos de ação; a verificação das condições operacionais do próprio ICP e outras questões relacionadas com o sistema de resposta (como exercícios mensais de emergência do tipo </w:t>
      </w:r>
      <w:r w:rsidRPr="000C2F25">
        <w:rPr>
          <w:i/>
        </w:rPr>
        <w:t>tabletop</w:t>
      </w:r>
      <w:r w:rsidRPr="000C2F25">
        <w:t xml:space="preserve"> ou de comunicações). Para estas reuniões são convidados os membros disponíveis da Equipe Geral e, no caso de discussões específicas e/ou exercícios, membros selecionados das equipes de Comando e de Suporte.</w:t>
      </w:r>
    </w:p>
    <w:p w14:paraId="689D30CD" w14:textId="2763AC04" w:rsidR="000C2F25" w:rsidRPr="000C2F25" w:rsidRDefault="000C2F25" w:rsidP="00723A97">
      <w:pPr>
        <w:pStyle w:val="tier1Itext"/>
      </w:pPr>
      <w:r w:rsidRPr="000C2F25">
        <w:t>No caso de ocorrência de um incidente com derramamento de óleo nas operações no Bloco FZA-M-59, a TRT local é ativada, a fim de avaliar a causa e iniciar as ações de resposta para o controle da fonte. Imediatamente após a coleta das informações iniciais sobre o incidente, é feita a notificação para o DUTY ROTA da IMT, através, mas não exclusivamente, do número de telefone do plantão de emergência, seguindo as instruções do Procedimento</w:t>
      </w:r>
      <w:r w:rsidR="00A16591">
        <w:t xml:space="preserve"> </w:t>
      </w:r>
      <w:r w:rsidRPr="000C2F25">
        <w:t>de Acionamento/Notificação da IMT/BST. Se o derramamento atingir o mar, o PEI deverá ser ativado.</w:t>
      </w:r>
    </w:p>
    <w:p w14:paraId="71660622" w14:textId="34C0571A" w:rsidR="000C2F25" w:rsidRPr="000C2F25" w:rsidRDefault="000C2F25" w:rsidP="00723A97">
      <w:pPr>
        <w:pStyle w:val="tier1Itext"/>
      </w:pPr>
      <w:r w:rsidRPr="000C2F25">
        <w:lastRenderedPageBreak/>
        <w:t>Com base nas informações fornecidas no Formulário Geral do Incidente (</w:t>
      </w:r>
      <w:r w:rsidR="00CC4ED0">
        <w:t xml:space="preserve">primeira </w:t>
      </w:r>
      <w:r w:rsidRPr="000C2F25">
        <w:t>notificação) pelo IC inicial, o IC/IMT realizará uma avaliação da situação, considerando a necessidade de escalonar o gerenciamento existente e se o potencial cenário de pior caso do incidente indica a capacidade de afetar a manutenção de sua capacidade operacional</w:t>
      </w:r>
      <w:r w:rsidR="00375010">
        <w:t xml:space="preserve"> </w:t>
      </w:r>
      <w:r w:rsidR="00375010" w:rsidRPr="00696D94">
        <w:rPr>
          <w:highlight w:val="lightGray"/>
        </w:rPr>
        <w:t>ou a reputação da BP Energy</w:t>
      </w:r>
      <w:r w:rsidRPr="000C2F25">
        <w:t xml:space="preserve">, segundo suas prioridades de resposta (pessoas, meio ambiente, propriedades e manutenção da capacidade operacional). As decisões de ativar a IMT </w:t>
      </w:r>
      <w:r w:rsidRPr="00696D94">
        <w:rPr>
          <w:highlight w:val="lightGray"/>
        </w:rPr>
        <w:t>e a</w:t>
      </w:r>
      <w:r w:rsidR="00375010" w:rsidRPr="00696D94">
        <w:rPr>
          <w:highlight w:val="lightGray"/>
        </w:rPr>
        <w:t xml:space="preserve"> necessidade de notificar</w:t>
      </w:r>
      <w:r w:rsidR="00375010">
        <w:t xml:space="preserve"> a</w:t>
      </w:r>
      <w:r w:rsidRPr="000C2F25">
        <w:t xml:space="preserve"> BST se basearão no julgamento destes pontos analisados e na opinião de outros membros da Equipe Geral consultados, considerando a predisposição inicial de reagir ao potencial pior caso do incidente. No caso desta decisão de acionamento da IMT </w:t>
      </w:r>
      <w:r w:rsidR="00375010">
        <w:t>(</w:t>
      </w:r>
      <w:r w:rsidRPr="000C2F25">
        <w:t xml:space="preserve">e </w:t>
      </w:r>
      <w:r w:rsidR="00375010" w:rsidRPr="00696D94">
        <w:rPr>
          <w:highlight w:val="lightGray"/>
        </w:rPr>
        <w:t xml:space="preserve">notificação </w:t>
      </w:r>
      <w:r w:rsidRPr="00696D94">
        <w:rPr>
          <w:highlight w:val="lightGray"/>
        </w:rPr>
        <w:t>da</w:t>
      </w:r>
      <w:r w:rsidRPr="000C2F25">
        <w:t xml:space="preserve"> BST</w:t>
      </w:r>
      <w:r w:rsidR="00375010" w:rsidRPr="00696D94">
        <w:rPr>
          <w:highlight w:val="lightGray"/>
        </w:rPr>
        <w:t>)</w:t>
      </w:r>
      <w:r w:rsidRPr="00696D94">
        <w:rPr>
          <w:highlight w:val="lightGray"/>
        </w:rPr>
        <w:t>,</w:t>
      </w:r>
      <w:r w:rsidRPr="000C2F25">
        <w:t xml:space="preserve"> o IC procederá como descrito abaixo</w:t>
      </w:r>
      <w:r w:rsidR="00375010">
        <w:t>.</w:t>
      </w:r>
    </w:p>
    <w:p w14:paraId="72062D9A" w14:textId="5A616286" w:rsidR="000C2F25" w:rsidRPr="000C2F25" w:rsidRDefault="000C2F25" w:rsidP="00723A97">
      <w:pPr>
        <w:pStyle w:val="tier1Itext"/>
      </w:pPr>
      <w:r w:rsidRPr="000C2F25">
        <w:t>Assim, no caso de um derramamento significativo ou de um cenário avaliado como potencialmente significativo em que se requer o apoio d</w:t>
      </w:r>
      <w:r w:rsidR="00281036">
        <w:t>e outras funções d</w:t>
      </w:r>
      <w:r w:rsidRPr="000C2F25">
        <w:t>a IMT para a resposta, o IC pode decidir sobre este acionamento, identificando aqueles membros da Equipe de Suporte apropriados para as características do incidente, juntamente com os Chefes de Seções, convocando-os ao ICP da Barra</w:t>
      </w:r>
      <w:r w:rsidR="00A85316">
        <w:t xml:space="preserve"> da Tijuca</w:t>
      </w:r>
      <w:r w:rsidRPr="000C2F25">
        <w:t>.</w:t>
      </w:r>
    </w:p>
    <w:p w14:paraId="72105278" w14:textId="57227C0C" w:rsidR="000C2F25" w:rsidRPr="000C2F25" w:rsidRDefault="000C2F25" w:rsidP="00723A97">
      <w:pPr>
        <w:pStyle w:val="tier1Itext"/>
      </w:pPr>
      <w:r w:rsidRPr="000C2F25">
        <w:t>Formar-se-á então uma célula inicial da IMT composta pelo IC e os Chefes de Seções mobilizados, que serão convocados imediatamente para responder a uma emergência</w:t>
      </w:r>
      <w:r w:rsidR="00375010">
        <w:t xml:space="preserve">. </w:t>
      </w:r>
      <w:r w:rsidR="00375010" w:rsidRPr="00696D94">
        <w:rPr>
          <w:highlight w:val="lightGray"/>
        </w:rPr>
        <w:t>No caso de ativação</w:t>
      </w:r>
      <w:r w:rsidRPr="000C2F25">
        <w:t xml:space="preserve"> durante o turno de trabalho</w:t>
      </w:r>
      <w:r w:rsidR="00375010">
        <w:t xml:space="preserve">, </w:t>
      </w:r>
      <w:r w:rsidR="00375010" w:rsidRPr="00696D94">
        <w:rPr>
          <w:highlight w:val="lightGray"/>
        </w:rPr>
        <w:t>na hipotese de</w:t>
      </w:r>
      <w:r w:rsidRPr="000C2F25">
        <w:t xml:space="preserve"> algum membro </w:t>
      </w:r>
      <w:r w:rsidRPr="00696D94">
        <w:rPr>
          <w:highlight w:val="lightGray"/>
        </w:rPr>
        <w:t>est</w:t>
      </w:r>
      <w:r w:rsidR="00375010" w:rsidRPr="00696D94">
        <w:rPr>
          <w:highlight w:val="lightGray"/>
        </w:rPr>
        <w:t>ar</w:t>
      </w:r>
      <w:r w:rsidRPr="000C2F25">
        <w:t xml:space="preserve"> temporariamente ausente, </w:t>
      </w:r>
      <w:r w:rsidR="00375010" w:rsidRPr="00696D94">
        <w:rPr>
          <w:highlight w:val="lightGray"/>
        </w:rPr>
        <w:t>este</w:t>
      </w:r>
      <w:r w:rsidR="00375010">
        <w:t xml:space="preserve"> </w:t>
      </w:r>
      <w:r w:rsidRPr="000C2F25">
        <w:t xml:space="preserve">será substituído por outro membro da IMT que desempenhe a função demandada, até a chegada do membro convocado. Em caso de emergência fora do turno de trabalho, o tempo esperado de mobilização desta célula inicial é de </w:t>
      </w:r>
      <w:r w:rsidR="00281036">
        <w:t xml:space="preserve">até </w:t>
      </w:r>
      <w:r w:rsidRPr="000C2F25">
        <w:t>02 (duas) horas.</w:t>
      </w:r>
      <w:r w:rsidR="00375010">
        <w:t xml:space="preserve"> </w:t>
      </w:r>
      <w:r w:rsidR="00375010" w:rsidRPr="00696D94">
        <w:rPr>
          <w:highlight w:val="lightGray"/>
        </w:rPr>
        <w:t>Com a ativação do IMT, o IC/IMT procederá a notificação do BST através de mensagem ao Lider da BST</w:t>
      </w:r>
      <w:r w:rsidR="00375010">
        <w:t>.</w:t>
      </w:r>
    </w:p>
    <w:p w14:paraId="7738CA97" w14:textId="1A45081D" w:rsidR="000C2F25" w:rsidRPr="000C2F25" w:rsidRDefault="000C2F25" w:rsidP="00723A97">
      <w:pPr>
        <w:pStyle w:val="tier1Itext"/>
      </w:pPr>
      <w:r w:rsidRPr="000C2F25">
        <w:t xml:space="preserve">O acionamento dos membros das Equipes de Suporte e de Comando da IMT pode ser feito através de chamadas telefônicas para seus contatos individuais na lista ou utilizando o sistema </w:t>
      </w:r>
      <w:r w:rsidRPr="000C2F25">
        <w:rPr>
          <w:i/>
        </w:rPr>
        <w:t>Send</w:t>
      </w:r>
      <w:r w:rsidR="0069473B">
        <w:rPr>
          <w:i/>
        </w:rPr>
        <w:t xml:space="preserve"> </w:t>
      </w:r>
      <w:r w:rsidRPr="000C2F25">
        <w:rPr>
          <w:i/>
        </w:rPr>
        <w:t>Word</w:t>
      </w:r>
      <w:r w:rsidR="0069473B">
        <w:rPr>
          <w:i/>
        </w:rPr>
        <w:t xml:space="preserve"> </w:t>
      </w:r>
      <w:r w:rsidRPr="000C2F25">
        <w:rPr>
          <w:i/>
        </w:rPr>
        <w:t>Now</w:t>
      </w:r>
      <w:r w:rsidRPr="000C2F25">
        <w:t xml:space="preserve">, um sistema automatizado de alerta de notificação e de acionamento, em que um grande número de pessoas pode ser alertado e acionado em um curto período de tempo. Este sistema também tem recursos que permitem que as pessoas respondam de volta a informação </w:t>
      </w:r>
      <w:r w:rsidR="00281036">
        <w:t>indicando</w:t>
      </w:r>
      <w:r w:rsidRPr="000C2F25">
        <w:t xml:space="preserve"> a sua disponibilidade</w:t>
      </w:r>
      <w:r w:rsidR="00281036">
        <w:t xml:space="preserve"> em atendê-la</w:t>
      </w:r>
      <w:r w:rsidRPr="000C2F25">
        <w:t>.</w:t>
      </w:r>
    </w:p>
    <w:p w14:paraId="58C0EC94" w14:textId="77777777" w:rsidR="000C2F25" w:rsidRPr="000C2F25" w:rsidRDefault="000C2F25" w:rsidP="00723A97">
      <w:pPr>
        <w:pStyle w:val="tier1Itext"/>
      </w:pPr>
      <w:r w:rsidRPr="000C2F25">
        <w:t xml:space="preserve">A liderança dentro de cada função </w:t>
      </w:r>
      <w:r w:rsidR="00CC4ED0" w:rsidRPr="000C2F25">
        <w:t>d</w:t>
      </w:r>
      <w:r w:rsidR="00CC4ED0">
        <w:t>a</w:t>
      </w:r>
      <w:r w:rsidR="00CC4ED0" w:rsidRPr="000C2F25">
        <w:t xml:space="preserve"> </w:t>
      </w:r>
      <w:r w:rsidRPr="000C2F25">
        <w:t xml:space="preserve">IMT deverá assegurar o acionamento, a logística de mobilização necessária e atribuições dos seus subordinados, sejam eles próprios (da BP) ou de terceiros (consultores e especialistas externos). Estima-se que a mobilização de todos os integrantes </w:t>
      </w:r>
      <w:r w:rsidR="00CC4ED0" w:rsidRPr="000C2F25">
        <w:t>d</w:t>
      </w:r>
      <w:r w:rsidR="00CC4ED0">
        <w:t>a</w:t>
      </w:r>
      <w:r w:rsidR="00CC4ED0" w:rsidRPr="000C2F25">
        <w:t xml:space="preserve"> </w:t>
      </w:r>
      <w:r w:rsidRPr="000C2F25">
        <w:t>IMT ocorrerá em até 06 (seis) horas, a depender do horário e circunstâncias do incidente.</w:t>
      </w:r>
    </w:p>
    <w:p w14:paraId="7C40CEFE" w14:textId="77777777" w:rsidR="000C2F25" w:rsidRPr="000C2F25" w:rsidRDefault="000C2F25" w:rsidP="00723A97">
      <w:pPr>
        <w:pStyle w:val="tier1Itext"/>
      </w:pPr>
      <w:r w:rsidRPr="000C2F25">
        <w:lastRenderedPageBreak/>
        <w:t>Ressalta-se que os especialistas técnicos e contratados são previamente identificados pelas equipes/unidades de resposta, que comumente usam este tipo de apoio, sendo normalmente ativados quando da sua necessidade (modelo denominado de “</w:t>
      </w:r>
      <w:r w:rsidRPr="000C2F25">
        <w:rPr>
          <w:i/>
        </w:rPr>
        <w:t>Call Out</w:t>
      </w:r>
      <w:r w:rsidRPr="000C2F25">
        <w:t>”). No entanto, as organizações de resposta de derramamento de óleo (OSROs) consideradas neste Plano ficam sempre em estado de prontidão, para o caso de qualquer ativação. Se a magnitude e complexidade do incidente assim requerem, OSROs internacionais também poderão ser acionadas e fornecerão os recursos iniciais demandados em um prazo de 12 a 48 horas após o tempo de acionamento, de acordo com a sua natureza operacional.</w:t>
      </w:r>
    </w:p>
    <w:p w14:paraId="5D51CF52" w14:textId="77777777" w:rsidR="000C2F25" w:rsidRPr="000C2F25" w:rsidRDefault="000C2F25" w:rsidP="00723A97">
      <w:pPr>
        <w:pStyle w:val="tier1Itext"/>
      </w:pPr>
      <w:r w:rsidRPr="000C2F25">
        <w:t xml:space="preserve">Logo após a decisão de acionar </w:t>
      </w:r>
      <w:r w:rsidR="0006347F">
        <w:t>a</w:t>
      </w:r>
      <w:r w:rsidR="0006347F" w:rsidRPr="000C2F25">
        <w:t xml:space="preserve"> </w:t>
      </w:r>
      <w:r w:rsidRPr="000C2F25">
        <w:t>IMT, os protocolos do ICS já estarão implementados com o uso dos formulários próprios para registro e troca de informações, bem como a definição da periodicidade dos contatos atualizados entre a TRT e a IMT.</w:t>
      </w:r>
    </w:p>
    <w:p w14:paraId="268B701B" w14:textId="4A1E89D7" w:rsidR="000C2F25" w:rsidRPr="000C2F25" w:rsidRDefault="000C2F25" w:rsidP="00723A97">
      <w:pPr>
        <w:pStyle w:val="tier1Itext"/>
      </w:pPr>
      <w:r w:rsidRPr="000C2F25">
        <w:t xml:space="preserve">A </w:t>
      </w:r>
      <w:r w:rsidRPr="000C2F25">
        <w:rPr>
          <w:b/>
          <w:highlight w:val="yellow"/>
        </w:rPr>
        <w:fldChar w:fldCharType="begin"/>
      </w:r>
      <w:r w:rsidRPr="000C2F25">
        <w:rPr>
          <w:b/>
        </w:rPr>
        <w:instrText xml:space="preserve"> REF _Ref412814779 \h </w:instrText>
      </w:r>
      <w:r w:rsidRPr="000C2F25">
        <w:rPr>
          <w:b/>
          <w:highlight w:val="yellow"/>
        </w:rPr>
        <w:instrText xml:space="preserve"> \* MERGEFORMAT </w:instrText>
      </w:r>
      <w:r w:rsidRPr="000C2F25">
        <w:rPr>
          <w:b/>
          <w:highlight w:val="yellow"/>
        </w:rPr>
      </w:r>
      <w:r w:rsidRPr="000C2F25">
        <w:rPr>
          <w:b/>
          <w:highlight w:val="yellow"/>
        </w:rPr>
        <w:fldChar w:fldCharType="separate"/>
      </w:r>
      <w:r w:rsidR="00A50E67" w:rsidRPr="00A50E67">
        <w:rPr>
          <w:b/>
        </w:rPr>
        <w:t>Figura 4</w:t>
      </w:r>
      <w:r w:rsidRPr="000C2F25">
        <w:rPr>
          <w:b/>
          <w:highlight w:val="yellow"/>
        </w:rPr>
        <w:fldChar w:fldCharType="end"/>
      </w:r>
      <w:r w:rsidRPr="000C2F25">
        <w:t xml:space="preserve"> apresenta o fluxo de ativação adotado pela empresa no caso de derramamento de óleo no mar.</w:t>
      </w:r>
    </w:p>
    <w:p w14:paraId="4E588430" w14:textId="77777777" w:rsidR="000C2F25" w:rsidRDefault="00F50571" w:rsidP="004B4E3F">
      <w:pPr>
        <w:pStyle w:val="tier1Itext"/>
        <w:keepLines w:val="0"/>
        <w:spacing w:before="0" w:after="0" w:line="240" w:lineRule="auto"/>
        <w:jc w:val="center"/>
      </w:pPr>
      <w:r>
        <w:rPr>
          <w:noProof/>
          <w:lang w:val="en-US"/>
        </w:rPr>
        <w:lastRenderedPageBreak/>
        <w:drawing>
          <wp:inline distT="0" distB="0" distL="0" distR="0" wp14:anchorId="5A6F0207" wp14:editId="6FADA134">
            <wp:extent cx="4966417" cy="6934200"/>
            <wp:effectExtent l="0" t="0" r="5715" b="0"/>
            <wp:docPr id="1073742019" name="Imagem 107374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89751" cy="6966780"/>
                    </a:xfrm>
                    <a:prstGeom prst="rect">
                      <a:avLst/>
                    </a:prstGeom>
                    <a:noFill/>
                  </pic:spPr>
                </pic:pic>
              </a:graphicData>
            </a:graphic>
          </wp:inline>
        </w:drawing>
      </w:r>
    </w:p>
    <w:p w14:paraId="34D4111C" w14:textId="3842F42C" w:rsidR="00150CAE" w:rsidRDefault="000C2F25" w:rsidP="004B4E3F">
      <w:pPr>
        <w:pStyle w:val="Legenda"/>
        <w:keepNext w:val="0"/>
        <w:spacing w:before="0" w:after="0" w:line="240" w:lineRule="auto"/>
      </w:pPr>
      <w:bookmarkStart w:id="90" w:name="_Ref412814779"/>
      <w:bookmarkStart w:id="91" w:name="_Toc527990451"/>
      <w:r w:rsidRPr="000C2F25">
        <w:t xml:space="preserve">Figura </w:t>
      </w:r>
      <w:fldSimple w:instr=" SEQ Figura \* ARABIC ">
        <w:r w:rsidR="00A50E67">
          <w:rPr>
            <w:noProof/>
          </w:rPr>
          <w:t>4</w:t>
        </w:r>
      </w:fldSimple>
      <w:bookmarkEnd w:id="90"/>
      <w:r w:rsidRPr="000C2F25">
        <w:t>: Comunicação inicial e mobilização da EOR</w:t>
      </w:r>
      <w:r w:rsidR="00A829B1">
        <w:t xml:space="preserve"> </w:t>
      </w:r>
      <w:r w:rsidR="00A829B1" w:rsidRPr="00946134">
        <w:t>(</w:t>
      </w:r>
      <w:r w:rsidR="00B86422">
        <w:t>Fonte: Witt|O’Brien’s</w:t>
      </w:r>
      <w:r w:rsidR="00A829B1" w:rsidRPr="00946134">
        <w:t>)</w:t>
      </w:r>
      <w:r w:rsidRPr="000C2F25">
        <w:t>.</w:t>
      </w:r>
      <w:bookmarkEnd w:id="91"/>
      <w:r w:rsidR="00150CAE">
        <w:br w:type="page"/>
      </w:r>
    </w:p>
    <w:p w14:paraId="46A139AF" w14:textId="77777777" w:rsidR="00037F51" w:rsidRPr="006C2D5E" w:rsidRDefault="00037F51" w:rsidP="009D01BE">
      <w:pPr>
        <w:pStyle w:val="Ttulo1"/>
      </w:pPr>
      <w:bookmarkStart w:id="92" w:name="_Ref414612271"/>
      <w:bookmarkStart w:id="93" w:name="_Ref414612322"/>
      <w:bookmarkStart w:id="94" w:name="_Toc527990408"/>
      <w:r w:rsidRPr="006C2D5E">
        <w:lastRenderedPageBreak/>
        <w:t>PROCEDIMENTOS DE GERENCIAMENTO DE INCIDENTES</w:t>
      </w:r>
      <w:bookmarkEnd w:id="92"/>
      <w:bookmarkEnd w:id="93"/>
      <w:bookmarkEnd w:id="94"/>
    </w:p>
    <w:p w14:paraId="322ED899" w14:textId="77777777" w:rsidR="0009455F" w:rsidRPr="0009455F" w:rsidRDefault="0009455F" w:rsidP="009F0EA7">
      <w:pPr>
        <w:pStyle w:val="tier1Itext"/>
      </w:pPr>
      <w:r w:rsidRPr="00723A97">
        <w:t>Na ocorrência de um incidente de poluição por óleo, a BP</w:t>
      </w:r>
      <w:r w:rsidR="0006347F">
        <w:t xml:space="preserve"> Energy</w:t>
      </w:r>
      <w:r w:rsidRPr="00723A97">
        <w:t xml:space="preserve"> acionará seu Plano de Gerenciamento de Incidentes (IMP, do termo em inglês </w:t>
      </w:r>
      <w:r w:rsidRPr="00DB1301">
        <w:rPr>
          <w:i/>
        </w:rPr>
        <w:t>Incident Management Plan</w:t>
      </w:r>
      <w:r w:rsidRPr="00723A97">
        <w:t xml:space="preserve">) baseado no Sistema de Comando de Incidentes (em inglês, </w:t>
      </w:r>
      <w:r w:rsidRPr="00DB1301">
        <w:rPr>
          <w:i/>
        </w:rPr>
        <w:t>Incident Command System</w:t>
      </w:r>
      <w:r w:rsidRPr="00723A97">
        <w:t xml:space="preserve"> – ICS) como ferramenta de gestão das ações de resposta à emergência</w:t>
      </w:r>
      <w:r w:rsidRPr="0009455F">
        <w:t>.</w:t>
      </w:r>
    </w:p>
    <w:p w14:paraId="6B05827B" w14:textId="77777777" w:rsidR="0009455F" w:rsidRPr="00723A97" w:rsidRDefault="0009455F" w:rsidP="009F0EA7">
      <w:pPr>
        <w:pStyle w:val="tier1Itext"/>
      </w:pPr>
      <w:r w:rsidRPr="00723A97">
        <w:t xml:space="preserve">O Sistema de Comando de Incidentes foi desenvolvido para atender a diferentes tipos e níveis de complexidade </w:t>
      </w:r>
      <w:r w:rsidR="00DB1301">
        <w:t>de incidentes</w:t>
      </w:r>
      <w:r w:rsidRPr="00723A97">
        <w:t>, apresentando como principal característica sua flexibilidade na ativação e estruturação das equipes de resposta (organização modular expansível e retrátil, conforme a necessidade). Por outro lado, o ICS estabelece princípios e fundamentos de comando e controle das ações de gerenciamento, incluindo: a sistemática de avaliação da complexidade do incidente; o prévio estabelecimento dos deveres e responsabilidades das equipes envolvidas; os protocolos de comunicação entre as funções; o processo de planejamento e documentação das ações de resposta; e a gestão dos recursos.</w:t>
      </w:r>
    </w:p>
    <w:p w14:paraId="4D6BA178" w14:textId="77777777" w:rsidR="0009455F" w:rsidRPr="00723A97" w:rsidRDefault="0009455F" w:rsidP="009F0EA7">
      <w:pPr>
        <w:pStyle w:val="tier1Itext"/>
      </w:pPr>
      <w:r w:rsidRPr="00723A97">
        <w:t>O sistema de gestão baseado no ICS divide-se em 02 (duas) fases: Fase Reativa e Fase Proativa. A Fase Reativa da gestão do incidente abrange as ações iniciais de resposta, incluindo as notificações iniciais obrigatórias (internas e externas), a mobilização dos recursos dedicados</w:t>
      </w:r>
      <w:r w:rsidR="008D3632">
        <w:t xml:space="preserve"> e</w:t>
      </w:r>
      <w:r w:rsidRPr="00723A97">
        <w:t xml:space="preserve"> a avaliação inicial do potencial do incidente. Em incidentes de grande potencial, magnitude e complexidade, a gestão do incidente passa a demandar não só recursos adicionais, mas também um processo de gestão mais robusto. Nessas circunstâncias, a fase de resposta reativa migra paulatinamente para a Fase Proativa, iniciando um processo cíclico de planejamento, operacionalização e avaliação de planos de resposta, ou planos de ação de incidentes (em inglês, </w:t>
      </w:r>
      <w:r w:rsidRPr="008D3632">
        <w:rPr>
          <w:i/>
        </w:rPr>
        <w:t>Incident Action Plan</w:t>
      </w:r>
      <w:r w:rsidRPr="00723A97">
        <w:t xml:space="preserve"> – IAP), denominado Processo de Planejamento do Próximo Período Operacional.</w:t>
      </w:r>
    </w:p>
    <w:p w14:paraId="351E4AF1" w14:textId="302C16C6" w:rsidR="0009455F" w:rsidRDefault="0009455F" w:rsidP="009F0EA7">
      <w:pPr>
        <w:pStyle w:val="tier1Itext"/>
      </w:pPr>
      <w:r>
        <w:t xml:space="preserve">A </w:t>
      </w:r>
      <w:r w:rsidRPr="008D3632">
        <w:rPr>
          <w:b/>
        </w:rPr>
        <w:fldChar w:fldCharType="begin"/>
      </w:r>
      <w:r w:rsidRPr="008D3632">
        <w:rPr>
          <w:b/>
        </w:rPr>
        <w:instrText xml:space="preserve"> REF _Ref410985326 \h  \* MERGEFORMAT </w:instrText>
      </w:r>
      <w:r w:rsidRPr="008D3632">
        <w:rPr>
          <w:b/>
        </w:rPr>
      </w:r>
      <w:r w:rsidRPr="008D3632">
        <w:rPr>
          <w:b/>
        </w:rPr>
        <w:fldChar w:fldCharType="separate"/>
      </w:r>
      <w:r w:rsidR="00A50E67" w:rsidRPr="00A50E67">
        <w:rPr>
          <w:b/>
          <w:bCs/>
        </w:rPr>
        <w:t>Figura 5</w:t>
      </w:r>
      <w:r w:rsidRPr="008D3632">
        <w:rPr>
          <w:b/>
        </w:rPr>
        <w:fldChar w:fldCharType="end"/>
      </w:r>
      <w:r>
        <w:t xml:space="preserve"> apresenta o processo de planejamento “P” do ICS, marcando as Fases Reativa e Proativa da gestão de incidentes.</w:t>
      </w:r>
    </w:p>
    <w:p w14:paraId="662DCAED" w14:textId="77777777" w:rsidR="008D3632" w:rsidRDefault="008D3632" w:rsidP="009F0EA7">
      <w:pPr>
        <w:pStyle w:val="tier1Itext"/>
        <w:spacing w:before="0" w:after="0" w:line="240" w:lineRule="auto"/>
        <w:jc w:val="center"/>
      </w:pPr>
      <w:r>
        <w:rPr>
          <w:noProof/>
          <w:lang w:val="en-US"/>
        </w:rPr>
        <w:lastRenderedPageBreak/>
        <w:drawing>
          <wp:inline distT="0" distB="0" distL="0" distR="0" wp14:anchorId="730E3FD9" wp14:editId="04B460B2">
            <wp:extent cx="3923859" cy="4716000"/>
            <wp:effectExtent l="0" t="0" r="635" b="889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0367" t="10520" r="32583" b="10279"/>
                    <a:stretch/>
                  </pic:blipFill>
                  <pic:spPr bwMode="auto">
                    <a:xfrm>
                      <a:off x="0" y="0"/>
                      <a:ext cx="3923859" cy="4716000"/>
                    </a:xfrm>
                    <a:prstGeom prst="rect">
                      <a:avLst/>
                    </a:prstGeom>
                    <a:ln>
                      <a:noFill/>
                    </a:ln>
                    <a:extLst>
                      <a:ext uri="{53640926-AAD7-44D8-BBD7-CCE9431645EC}">
                        <a14:shadowObscured xmlns:a14="http://schemas.microsoft.com/office/drawing/2010/main"/>
                      </a:ext>
                    </a:extLst>
                  </pic:spPr>
                </pic:pic>
              </a:graphicData>
            </a:graphic>
          </wp:inline>
        </w:drawing>
      </w:r>
    </w:p>
    <w:p w14:paraId="05CEDBF7" w14:textId="75358C0E" w:rsidR="008D3632" w:rsidRDefault="008D3632" w:rsidP="009F0EA7">
      <w:pPr>
        <w:pStyle w:val="Legenda"/>
        <w:spacing w:before="0" w:after="0" w:line="240" w:lineRule="auto"/>
      </w:pPr>
      <w:bookmarkStart w:id="95" w:name="_Ref410985326"/>
      <w:bookmarkStart w:id="96" w:name="_Toc413848072"/>
      <w:bookmarkStart w:id="97" w:name="_Toc527990452"/>
      <w:r>
        <w:t xml:space="preserve">Figura </w:t>
      </w:r>
      <w:fldSimple w:instr=" SEQ Figura \* ARABIC ">
        <w:r w:rsidR="00A50E67">
          <w:rPr>
            <w:noProof/>
          </w:rPr>
          <w:t>5</w:t>
        </w:r>
      </w:fldSimple>
      <w:bookmarkEnd w:id="95"/>
      <w:r>
        <w:t>: Processo de Planejamento “P” do ICS</w:t>
      </w:r>
      <w:bookmarkEnd w:id="96"/>
      <w:r w:rsidR="008D6541">
        <w:t xml:space="preserve"> (Fonte: Adaptada de USCG, 2006)</w:t>
      </w:r>
      <w:r w:rsidR="009F0EA7">
        <w:t>.</w:t>
      </w:r>
      <w:bookmarkEnd w:id="97"/>
    </w:p>
    <w:p w14:paraId="6BD93B7D" w14:textId="77777777" w:rsidR="008D3632" w:rsidRPr="00CA6528" w:rsidRDefault="008D3632" w:rsidP="00EA2A77">
      <w:pPr>
        <w:pStyle w:val="tier1Itext"/>
        <w:widowControl/>
        <w:numPr>
          <w:ilvl w:val="0"/>
          <w:numId w:val="25"/>
        </w:numPr>
        <w:tabs>
          <w:tab w:val="clear" w:pos="5529"/>
        </w:tabs>
        <w:spacing w:before="360" w:after="120"/>
        <w:ind w:left="714" w:hanging="357"/>
      </w:pPr>
      <w:r w:rsidRPr="003B62BE">
        <w:t xml:space="preserve">A </w:t>
      </w:r>
      <w:r>
        <w:t xml:space="preserve">Gestão de Incidentes e o Alinhamento com Planos de Área e com o </w:t>
      </w:r>
      <w:r w:rsidRPr="00CA6528">
        <w:t>Plano Nacional de Contingência</w:t>
      </w:r>
    </w:p>
    <w:p w14:paraId="07CC236C" w14:textId="77777777" w:rsidR="008D3632" w:rsidRPr="008D3632" w:rsidRDefault="008D3632" w:rsidP="009F0EA7">
      <w:pPr>
        <w:pStyle w:val="tier1Itext"/>
      </w:pPr>
      <w:r>
        <w:t xml:space="preserve">A região da Foz do Amazonas não </w:t>
      </w:r>
      <w:r w:rsidRPr="008D3632">
        <w:t>possui um Plano de Área para as atividades locais e, portanto, não demanda ações de alinhamento por parte deste PEI.</w:t>
      </w:r>
    </w:p>
    <w:p w14:paraId="3D77A733" w14:textId="65F50E60" w:rsidR="008D3632" w:rsidRPr="004265F9" w:rsidRDefault="008D3632" w:rsidP="009F0EA7">
      <w:pPr>
        <w:pStyle w:val="tier1Itext"/>
      </w:pPr>
      <w:r w:rsidRPr="008D3632">
        <w:t>Entretanto, no Brasil, o Decreto n° 8.127 de outubro de 2013 instituiu o Plano Nacional de Contingência para Incidentes de Poluição por</w:t>
      </w:r>
      <w:r>
        <w:t xml:space="preserve"> Óleo em Águas sob Jurisdição Nacional</w:t>
      </w:r>
      <w:r w:rsidRPr="004265F9">
        <w:t xml:space="preserve"> (PNC)</w:t>
      </w:r>
      <w:r>
        <w:t>, que tem em seu arcabouço a definição d</w:t>
      </w:r>
      <w:r w:rsidRPr="004265F9">
        <w:t xml:space="preserve">as responsabilidades de entes públicos e privados em caso de incidentes de poluição por óleo em águas </w:t>
      </w:r>
      <w:r>
        <w:t xml:space="preserve">nacionais, </w:t>
      </w:r>
      <w:r w:rsidR="00763937" w:rsidRPr="00696D94">
        <w:rPr>
          <w:highlight w:val="lightGray"/>
        </w:rPr>
        <w:t xml:space="preserve">com o </w:t>
      </w:r>
      <w:r w:rsidR="005B50FA" w:rsidRPr="00696D94">
        <w:rPr>
          <w:highlight w:val="lightGray"/>
        </w:rPr>
        <w:t>detalha</w:t>
      </w:r>
      <w:r w:rsidR="00763937" w:rsidRPr="00696D94">
        <w:rPr>
          <w:highlight w:val="lightGray"/>
        </w:rPr>
        <w:t>mento</w:t>
      </w:r>
      <w:r w:rsidR="005B50FA" w:rsidRPr="00696D94">
        <w:rPr>
          <w:highlight w:val="lightGray"/>
        </w:rPr>
        <w:t xml:space="preserve"> </w:t>
      </w:r>
      <w:r w:rsidR="00763937" w:rsidRPr="00696D94">
        <w:rPr>
          <w:highlight w:val="lightGray"/>
        </w:rPr>
        <w:t>d</w:t>
      </w:r>
      <w:r w:rsidR="005B50FA" w:rsidRPr="00696D94">
        <w:rPr>
          <w:highlight w:val="lightGray"/>
        </w:rPr>
        <w:t>os procedimentos ope</w:t>
      </w:r>
      <w:r w:rsidR="00763937" w:rsidRPr="00696D94">
        <w:rPr>
          <w:highlight w:val="lightGray"/>
        </w:rPr>
        <w:t xml:space="preserve">racionais, recursos humanos e materiais necessários à execução das ações de resposta em seu </w:t>
      </w:r>
      <w:r w:rsidR="00AD57A2" w:rsidRPr="00696D94">
        <w:rPr>
          <w:highlight w:val="lightGray"/>
        </w:rPr>
        <w:t>Manual</w:t>
      </w:r>
      <w:r w:rsidRPr="004265F9">
        <w:t>.</w:t>
      </w:r>
    </w:p>
    <w:p w14:paraId="32561583" w14:textId="77777777" w:rsidR="008D3632" w:rsidRDefault="008D3632" w:rsidP="009F0EA7">
      <w:pPr>
        <w:pStyle w:val="tier1Itext"/>
      </w:pPr>
      <w:r>
        <w:lastRenderedPageBreak/>
        <w:t xml:space="preserve">Conforme previsto pelo PNC, um Grupo de Acompanhamento e Avaliação (GAA), composto por representantes da Marinha, IBAMA e ANP, será mobilizado e deverá acompanhar todo e qualquer acidente, independente do porte, cabendo a ele avaliar a sua significância. Se constatado que o mesmo tem significância nacional, o GAA designará um Coordenador </w:t>
      </w:r>
      <w:r w:rsidRPr="009277B1">
        <w:t>Operacional</w:t>
      </w:r>
      <w:r w:rsidRPr="009277B1">
        <w:rPr>
          <w:rStyle w:val="Refdenotaderodap"/>
        </w:rPr>
        <w:footnoteReference w:id="9"/>
      </w:r>
      <w:r w:rsidRPr="009277B1">
        <w:t xml:space="preserve"> e acionará</w:t>
      </w:r>
      <w:r>
        <w:t xml:space="preserve"> o PNC.</w:t>
      </w:r>
    </w:p>
    <w:p w14:paraId="2B840F18" w14:textId="051597FA" w:rsidR="008D3632" w:rsidRDefault="008D3632" w:rsidP="009F0EA7">
      <w:pPr>
        <w:pStyle w:val="tier1Itext"/>
      </w:pPr>
      <w:r>
        <w:t xml:space="preserve">Durante a resposta a um incidente, o Decreto Federal nº 8.127 descreve que caso existam evidências de que os procedimentos adotados possam ser aprimorados e magnificados, as instâncias de gestão do PNC poderão ser mobilizadas de imediato pelo GAA, conforme solicitação do Coordenador Operacional, para facilitar e ampliar a capacidade das ações de resposta adotadas sob coordenação e </w:t>
      </w:r>
      <w:r w:rsidRPr="00AE3B8F">
        <w:t>responsabilidade da BP</w:t>
      </w:r>
      <w:r>
        <w:t xml:space="preserve"> Energy</w:t>
      </w:r>
      <w:r w:rsidRPr="00AE3B8F">
        <w:t>.</w:t>
      </w:r>
    </w:p>
    <w:p w14:paraId="2873F32A" w14:textId="6CFC27F5" w:rsidR="00AD11AE" w:rsidRDefault="001714B3" w:rsidP="009F0EA7">
      <w:pPr>
        <w:pStyle w:val="tier1Itext"/>
      </w:pPr>
      <w:r w:rsidRPr="00696D94">
        <w:rPr>
          <w:highlight w:val="lightGray"/>
        </w:rPr>
        <w:t>Em função de alguns resultados das modelagens realizadas para os cenários de vazamentos simulados na perfuração exploratória no Bloco FZA-M-59 demonstrarem probabilidade de atingirem águas jurisdicionais de outros países, entende-se que, nestes casos, o GAA definirá o incidente como de significância nacional em aderência ao critério definido no Art 17º inciso VII do decreto do PNC. Assim sendo, considera-se também a ativação do Ministério das Relações Exteriores no Comitê de Suporte, para coordenação das articulações bilaterais com os países potencialmente atingidos, conforme previsto no Artigo 13º inciso IV letra (c).</w:t>
      </w:r>
      <w:r>
        <w:t xml:space="preserve"> </w:t>
      </w:r>
    </w:p>
    <w:p w14:paraId="4C1BE2C7" w14:textId="77777777" w:rsidR="00281036" w:rsidRDefault="00281036" w:rsidP="009F0EA7">
      <w:pPr>
        <w:pStyle w:val="tier1Itext"/>
      </w:pPr>
    </w:p>
    <w:p w14:paraId="0443D0A8" w14:textId="77777777" w:rsidR="00037F51" w:rsidRPr="00281036" w:rsidRDefault="00037F51" w:rsidP="009D01BE">
      <w:pPr>
        <w:pStyle w:val="Ttulo2"/>
        <w:rPr>
          <w:lang w:val="pt-BR"/>
        </w:rPr>
      </w:pPr>
      <w:bookmarkStart w:id="98" w:name="_Ref414612675"/>
      <w:bookmarkStart w:id="99" w:name="_Ref414612684"/>
      <w:bookmarkStart w:id="100" w:name="_Ref414612959"/>
      <w:bookmarkStart w:id="101" w:name="_Ref414612964"/>
      <w:bookmarkStart w:id="102" w:name="_Toc527990409"/>
      <w:r w:rsidRPr="00281036">
        <w:rPr>
          <w:lang w:val="pt-BR"/>
        </w:rPr>
        <w:t>Procedimentos para Gestão da Informação</w:t>
      </w:r>
      <w:bookmarkEnd w:id="98"/>
      <w:bookmarkEnd w:id="99"/>
      <w:bookmarkEnd w:id="100"/>
      <w:bookmarkEnd w:id="101"/>
      <w:bookmarkEnd w:id="102"/>
    </w:p>
    <w:p w14:paraId="38A874B4" w14:textId="77777777" w:rsidR="008D3632" w:rsidRPr="0067292C" w:rsidRDefault="008D3632" w:rsidP="009F0EA7">
      <w:pPr>
        <w:pStyle w:val="tier1Itext"/>
      </w:pPr>
      <w:r w:rsidRPr="0067292C">
        <w:t>A gestão das ações de resposta</w:t>
      </w:r>
      <w:r>
        <w:t>, na ocorrência de um incidente com derramamento de óleo no mar, pressupõe o</w:t>
      </w:r>
      <w:r w:rsidRPr="0067292C">
        <w:t xml:space="preserve"> compartilhamento, registro e arquiv</w:t>
      </w:r>
      <w:r>
        <w:t>amento</w:t>
      </w:r>
      <w:r w:rsidRPr="0067292C">
        <w:t xml:space="preserve"> das informações críticas do incidente</w:t>
      </w:r>
      <w:r>
        <w:t>, que pode se dar através de</w:t>
      </w:r>
      <w:r w:rsidRPr="0067292C">
        <w:t xml:space="preserve"> comunicaç</w:t>
      </w:r>
      <w:r>
        <w:t>ões</w:t>
      </w:r>
      <w:r w:rsidRPr="0067292C">
        <w:t xml:space="preserve"> forma</w:t>
      </w:r>
      <w:r>
        <w:t>is</w:t>
      </w:r>
      <w:r w:rsidRPr="0067292C">
        <w:t xml:space="preserve"> e informa</w:t>
      </w:r>
      <w:r>
        <w:t>is</w:t>
      </w:r>
      <w:r w:rsidRPr="0067292C">
        <w:t>.</w:t>
      </w:r>
    </w:p>
    <w:p w14:paraId="3191F5A8" w14:textId="77777777" w:rsidR="008D3632" w:rsidRDefault="008D3632" w:rsidP="009F0EA7">
      <w:pPr>
        <w:pStyle w:val="tier1Itext"/>
      </w:pPr>
      <w:r>
        <w:t>A via formal abrange as comunicações vinculadas à hierarquia da cadeia de comando e dos protocolos de comunicação estabelecidos para o incidente. A comunicação formal deve ser utilizada para, por exemplo, atribuir tarefas, cobrar resultados e solicitar recursos.</w:t>
      </w:r>
    </w:p>
    <w:p w14:paraId="478A06D2" w14:textId="77777777" w:rsidR="008D3632" w:rsidRDefault="008D3632" w:rsidP="009F0EA7">
      <w:pPr>
        <w:pStyle w:val="tier1Itext"/>
      </w:pPr>
      <w:r>
        <w:lastRenderedPageBreak/>
        <w:t>A via informal contempla os fluxos de comunicação livre entre as diferentes funções da EOR e buscam garantir o compartilhamento das informações críticas do incidente.</w:t>
      </w:r>
    </w:p>
    <w:p w14:paraId="1534897F" w14:textId="77777777" w:rsidR="008D3632" w:rsidRPr="003A3F7B" w:rsidRDefault="008D3632" w:rsidP="009F0EA7">
      <w:pPr>
        <w:pStyle w:val="tier1Itext"/>
      </w:pPr>
      <w:r>
        <w:t>A g</w:t>
      </w:r>
      <w:r w:rsidRPr="003A3F7B">
        <w:t xml:space="preserve">estão de </w:t>
      </w:r>
      <w:r>
        <w:t>i</w:t>
      </w:r>
      <w:r w:rsidRPr="003A3F7B">
        <w:t>nformações</w:t>
      </w:r>
      <w:r>
        <w:t xml:space="preserve"> e d</w:t>
      </w:r>
      <w:r w:rsidRPr="003A3F7B">
        <w:t xml:space="preserve">ados é uma </w:t>
      </w:r>
      <w:r>
        <w:t>atividade</w:t>
      </w:r>
      <w:r w:rsidRPr="003A3F7B">
        <w:t xml:space="preserve"> essencial a ser conduzida durante uma resposta de qualquer grandeza. Esta </w:t>
      </w:r>
      <w:r>
        <w:t>atividade</w:t>
      </w:r>
      <w:r w:rsidRPr="003A3F7B">
        <w:t xml:space="preserve"> mantém registros de todas as </w:t>
      </w:r>
      <w:r>
        <w:t>ações</w:t>
      </w:r>
      <w:r w:rsidRPr="003A3F7B">
        <w:t xml:space="preserve"> relacionadas à resposta e trabalha com TI</w:t>
      </w:r>
      <w:r>
        <w:t xml:space="preserve"> (</w:t>
      </w:r>
      <w:r w:rsidRPr="00400AE4">
        <w:t>tecnologia da informação</w:t>
      </w:r>
      <w:r>
        <w:t>)</w:t>
      </w:r>
      <w:r w:rsidRPr="003A3F7B">
        <w:t xml:space="preserve"> para aumentar o fluxo d</w:t>
      </w:r>
      <w:r>
        <w:t>estas</w:t>
      </w:r>
      <w:r w:rsidRPr="003A3F7B">
        <w:t xml:space="preserve"> informações </w:t>
      </w:r>
      <w:r>
        <w:t>geradas neste evento</w:t>
      </w:r>
      <w:r w:rsidR="009F0EA7">
        <w:t>.</w:t>
      </w:r>
    </w:p>
    <w:p w14:paraId="1B8B937F" w14:textId="77777777" w:rsidR="008D3632" w:rsidRPr="003A3F7B" w:rsidRDefault="008D3632" w:rsidP="009F0EA7">
      <w:pPr>
        <w:pStyle w:val="tier1Itext"/>
      </w:pPr>
      <w:r w:rsidRPr="003A3F7B">
        <w:t xml:space="preserve">A equipe </w:t>
      </w:r>
      <w:r w:rsidR="00E81ADB">
        <w:t>responsável por esta</w:t>
      </w:r>
      <w:r>
        <w:t xml:space="preserve"> </w:t>
      </w:r>
      <w:r w:rsidRPr="003A3F7B">
        <w:t>gestão de informações</w:t>
      </w:r>
      <w:r>
        <w:t xml:space="preserve"> e </w:t>
      </w:r>
      <w:r w:rsidRPr="003A3F7B">
        <w:t xml:space="preserve">dados </w:t>
      </w:r>
      <w:r>
        <w:t>(</w:t>
      </w:r>
      <w:r w:rsidRPr="0083428F">
        <w:rPr>
          <w:i/>
        </w:rPr>
        <w:t>Documentation Unit</w:t>
      </w:r>
      <w:r>
        <w:t xml:space="preserve"> </w:t>
      </w:r>
      <w:r w:rsidR="009F0EA7">
        <w:t>–</w:t>
      </w:r>
      <w:r>
        <w:t xml:space="preserve"> Unidade de Documentação) </w:t>
      </w:r>
      <w:r w:rsidRPr="003A3F7B">
        <w:t xml:space="preserve">será chamada na ativação da IMT. As </w:t>
      </w:r>
      <w:r>
        <w:t xml:space="preserve">suas </w:t>
      </w:r>
      <w:r w:rsidRPr="003A3F7B">
        <w:t xml:space="preserve">principais </w:t>
      </w:r>
      <w:r>
        <w:t xml:space="preserve">responsabilidades </w:t>
      </w:r>
      <w:r w:rsidRPr="003A3F7B">
        <w:t xml:space="preserve">são o </w:t>
      </w:r>
      <w:r>
        <w:t xml:space="preserve">monitoramento do </w:t>
      </w:r>
      <w:r w:rsidRPr="003A3F7B">
        <w:t xml:space="preserve">fluxo de informações e </w:t>
      </w:r>
      <w:r>
        <w:t xml:space="preserve">a </w:t>
      </w:r>
      <w:r w:rsidRPr="003A3F7B">
        <w:t xml:space="preserve">manutenção de registros. </w:t>
      </w:r>
      <w:r>
        <w:t>A gestão de dados:</w:t>
      </w:r>
    </w:p>
    <w:p w14:paraId="54A6381E" w14:textId="77777777" w:rsidR="007F3582" w:rsidRPr="009F0EA7" w:rsidRDefault="007F3582"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9F0EA7">
        <w:rPr>
          <w:rFonts w:asciiTheme="majorHAnsi" w:hAnsiTheme="majorHAnsi"/>
        </w:rPr>
        <w:t xml:space="preserve">Melhorará o fluxo de informações entre os agentes de resposta, planejadores e todas as </w:t>
      </w:r>
      <w:r w:rsidR="00B0161B">
        <w:rPr>
          <w:rFonts w:asciiTheme="majorHAnsi" w:hAnsiTheme="majorHAnsi"/>
        </w:rPr>
        <w:t>posições</w:t>
      </w:r>
      <w:r w:rsidR="00B0161B" w:rsidRPr="009F0EA7">
        <w:rPr>
          <w:rFonts w:asciiTheme="majorHAnsi" w:hAnsiTheme="majorHAnsi"/>
        </w:rPr>
        <w:t xml:space="preserve"> </w:t>
      </w:r>
      <w:r w:rsidRPr="009F0EA7">
        <w:rPr>
          <w:rFonts w:asciiTheme="majorHAnsi" w:hAnsiTheme="majorHAnsi"/>
        </w:rPr>
        <w:t xml:space="preserve">da IMT e da TRT. O fluxo de informações será acomodado pela utilização de protocolos e de mídia eletrônica como, mas sem limitação a, e-mails, </w:t>
      </w:r>
      <w:r w:rsidRPr="009F0EA7">
        <w:rPr>
          <w:rFonts w:asciiTheme="majorHAnsi" w:hAnsiTheme="majorHAnsi"/>
          <w:i/>
        </w:rPr>
        <w:t>software</w:t>
      </w:r>
      <w:r w:rsidRPr="009F0EA7">
        <w:rPr>
          <w:rFonts w:asciiTheme="majorHAnsi" w:hAnsiTheme="majorHAnsi"/>
        </w:rPr>
        <w:t xml:space="preserve"> para gerenciar formulários ICS e mapas GIS; e</w:t>
      </w:r>
    </w:p>
    <w:p w14:paraId="07C3AD98" w14:textId="77777777" w:rsidR="007F3582" w:rsidRPr="009F0EA7" w:rsidRDefault="007F3582"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9F0EA7">
        <w:rPr>
          <w:rFonts w:asciiTheme="majorHAnsi" w:hAnsiTheme="majorHAnsi"/>
        </w:rPr>
        <w:t>Manterá registros eletrônicos e impressos de operações diárias. Esses registros serão arquivados e usados para análises presente e futura, conforme requerido pelo sistema de gerenciamento.</w:t>
      </w:r>
    </w:p>
    <w:p w14:paraId="78E759C3" w14:textId="77777777" w:rsidR="007F3582" w:rsidRPr="003A3F7B" w:rsidRDefault="007F3582" w:rsidP="009F0EA7">
      <w:pPr>
        <w:pStyle w:val="tier1Itext"/>
      </w:pPr>
      <w:r w:rsidRPr="003A3F7B">
        <w:t xml:space="preserve">Informações/dados serão gerenciados de modo centralizado para que todos sejam armazenados em </w:t>
      </w:r>
      <w:r>
        <w:t xml:space="preserve">arquivos físicos e </w:t>
      </w:r>
      <w:r w:rsidRPr="003A3F7B">
        <w:t>servidores designados da empresa.</w:t>
      </w:r>
    </w:p>
    <w:p w14:paraId="5E6B7ADC" w14:textId="77777777" w:rsidR="007F3582" w:rsidRPr="003A3F7B" w:rsidRDefault="007F3582" w:rsidP="009F0EA7">
      <w:pPr>
        <w:pStyle w:val="tier1Itext"/>
      </w:pPr>
      <w:r w:rsidRPr="003A3F7B">
        <w:t xml:space="preserve">Os Capitães das embarcações dedicadas e de </w:t>
      </w:r>
      <w:r>
        <w:t>apoio</w:t>
      </w:r>
      <w:r w:rsidRPr="003A3F7B">
        <w:t xml:space="preserve"> devem manter o </w:t>
      </w:r>
      <w:r>
        <w:t>Supervisor</w:t>
      </w:r>
      <w:r w:rsidRPr="003A3F7B">
        <w:t xml:space="preserve"> de </w:t>
      </w:r>
      <w:r>
        <w:t xml:space="preserve">Divisão </w:t>
      </w:r>
      <w:r w:rsidRPr="003A3F7B">
        <w:t xml:space="preserve">ou o OSC </w:t>
      </w:r>
      <w:r>
        <w:t>delegado</w:t>
      </w:r>
      <w:r w:rsidRPr="003A3F7B">
        <w:t xml:space="preserve"> ciente sobre o desenvolvimento das ações de resposta </w:t>
      </w:r>
      <w:r>
        <w:t>sob</w:t>
      </w:r>
      <w:r w:rsidRPr="003A3F7B">
        <w:t xml:space="preserve"> suas responsabilidades. </w:t>
      </w:r>
      <w:r>
        <w:t>Esta informação deve fluir até o</w:t>
      </w:r>
      <w:r w:rsidRPr="003A3F7B">
        <w:t xml:space="preserve"> </w:t>
      </w:r>
      <w:r>
        <w:t>Chefe da Seção de Operações (</w:t>
      </w:r>
      <w:r w:rsidRPr="003A3F7B">
        <w:t>OSC</w:t>
      </w:r>
      <w:r>
        <w:t>)</w:t>
      </w:r>
      <w:r w:rsidRPr="003A3F7B">
        <w:t xml:space="preserve">, porque ele é responsável por </w:t>
      </w:r>
      <w:r>
        <w:t xml:space="preserve">passá-las </w:t>
      </w:r>
      <w:r w:rsidRPr="003A3F7B">
        <w:t>ao IC.</w:t>
      </w:r>
    </w:p>
    <w:p w14:paraId="5C552ED9" w14:textId="77777777" w:rsidR="007F3582" w:rsidRPr="003A3F7B" w:rsidRDefault="007F3582" w:rsidP="009F0EA7">
      <w:pPr>
        <w:pStyle w:val="tier1Itext"/>
      </w:pPr>
      <w:r w:rsidRPr="003A3F7B">
        <w:t xml:space="preserve">Os Líderes das Unidades de Situação e de Documentação obterão estas informações do OSC e também serão responsáveis por seu registro e organização. A frequência de </w:t>
      </w:r>
      <w:r>
        <w:t xml:space="preserve">atualização destes </w:t>
      </w:r>
      <w:r w:rsidRPr="003A3F7B">
        <w:t>registros será estabelecida pelo IC.</w:t>
      </w:r>
    </w:p>
    <w:p w14:paraId="4AF32E5F" w14:textId="45DB8C62" w:rsidR="008D3632" w:rsidRPr="008D3632" w:rsidRDefault="007F3582" w:rsidP="009F0EA7">
      <w:pPr>
        <w:pStyle w:val="tier1Itext"/>
      </w:pPr>
      <w:r>
        <w:t xml:space="preserve">O </w:t>
      </w:r>
      <w:r w:rsidR="009F0EA7" w:rsidRPr="009F0EA7">
        <w:rPr>
          <w:b/>
        </w:rPr>
        <w:t xml:space="preserve">APÊNDICE </w:t>
      </w:r>
      <w:r w:rsidR="00281036">
        <w:rPr>
          <w:b/>
        </w:rPr>
        <w:t>D</w:t>
      </w:r>
      <w:r w:rsidR="009F0EA7">
        <w:t xml:space="preserve"> </w:t>
      </w:r>
      <w:r>
        <w:t xml:space="preserve">apresenta o </w:t>
      </w:r>
      <w:r w:rsidRPr="00194909">
        <w:t xml:space="preserve">resumo dos formulários e relatórios </w:t>
      </w:r>
      <w:r>
        <w:t xml:space="preserve">utilizados na comunicação formal no suporte a </w:t>
      </w:r>
      <w:r w:rsidRPr="00194909">
        <w:t>gestão de incidentes</w:t>
      </w:r>
      <w:r>
        <w:t>.</w:t>
      </w:r>
    </w:p>
    <w:p w14:paraId="6E46CFCC" w14:textId="77777777" w:rsidR="002541D0" w:rsidRPr="008102C0" w:rsidRDefault="00CF77CE" w:rsidP="009D01BE">
      <w:pPr>
        <w:pStyle w:val="Ttulo2"/>
      </w:pPr>
      <w:bookmarkStart w:id="103" w:name="_Toc527990410"/>
      <w:r w:rsidRPr="008102C0">
        <w:lastRenderedPageBreak/>
        <w:t>Comunicações</w:t>
      </w:r>
      <w:bookmarkEnd w:id="103"/>
    </w:p>
    <w:p w14:paraId="2D9EA46B" w14:textId="77777777" w:rsidR="0053320F" w:rsidRPr="00C74609" w:rsidRDefault="0053320F" w:rsidP="009F0EA7">
      <w:pPr>
        <w:pStyle w:val="tier1Itext"/>
      </w:pPr>
      <w:r w:rsidRPr="00C74609">
        <w:t>No caso de um vazamento de óleo, as notificações internas e externas devem ser feitas o mais rapidamente possível, a fim de assegurar uma resposta eficaz, minimizar os impactos, bem como cumprir com as políticas internas e exigências regulatórias externas.</w:t>
      </w:r>
    </w:p>
    <w:p w14:paraId="3A167882" w14:textId="62C05EF2" w:rsidR="0053320F" w:rsidRPr="00C74609" w:rsidRDefault="0053320F" w:rsidP="009F0EA7">
      <w:pPr>
        <w:pStyle w:val="tier1Itext"/>
      </w:pPr>
      <w:r w:rsidRPr="00C74609">
        <w:t>As notificações para todas as partes interessadas</w:t>
      </w:r>
      <w:r>
        <w:t>,</w:t>
      </w:r>
      <w:r w:rsidRPr="00C74609">
        <w:t xml:space="preserve"> internas e externas</w:t>
      </w:r>
      <w:r>
        <w:t>,</w:t>
      </w:r>
      <w:r w:rsidRPr="00C74609">
        <w:t xml:space="preserve"> são realizad</w:t>
      </w:r>
      <w:r>
        <w:t>a</w:t>
      </w:r>
      <w:r w:rsidRPr="00C74609">
        <w:t xml:space="preserve">s </w:t>
      </w:r>
      <w:r w:rsidR="00710514" w:rsidRPr="00696D94">
        <w:rPr>
          <w:highlight w:val="lightGray"/>
        </w:rPr>
        <w:t>pelos respectivos oficiais do IMT</w:t>
      </w:r>
      <w:r w:rsidR="00710514">
        <w:t xml:space="preserve"> </w:t>
      </w:r>
      <w:r w:rsidRPr="00C74609">
        <w:t xml:space="preserve">de acordo com os processos de relacionamentos estabelecidos </w:t>
      </w:r>
      <w:r w:rsidRPr="00696D94">
        <w:rPr>
          <w:highlight w:val="lightGray"/>
        </w:rPr>
        <w:t>n</w:t>
      </w:r>
      <w:r w:rsidR="001714B3" w:rsidRPr="00696D94">
        <w:rPr>
          <w:highlight w:val="lightGray"/>
        </w:rPr>
        <w:t>a matriz de comunicações do IM</w:t>
      </w:r>
      <w:r w:rsidR="00710514" w:rsidRPr="00696D94">
        <w:rPr>
          <w:highlight w:val="lightGray"/>
        </w:rPr>
        <w:t>P, elaboradas segundo as diretrizes d</w:t>
      </w:r>
      <w:r w:rsidRPr="00696D94">
        <w:rPr>
          <w:highlight w:val="lightGray"/>
        </w:rPr>
        <w:t>o</w:t>
      </w:r>
      <w:r w:rsidRPr="00C74609">
        <w:t xml:space="preserve"> Plano de </w:t>
      </w:r>
      <w:r w:rsidR="008102C0">
        <w:t>Comunicação durante Crises</w:t>
      </w:r>
      <w:r w:rsidRPr="00C74609">
        <w:t xml:space="preserve"> (do termo em inglês “</w:t>
      </w:r>
      <w:r w:rsidR="008102C0" w:rsidRPr="008102C0">
        <w:rPr>
          <w:i/>
        </w:rPr>
        <w:t>Crisis Communications Plan</w:t>
      </w:r>
      <w:r w:rsidRPr="00C74609">
        <w:t xml:space="preserve">”). Neste plano, definem-se as </w:t>
      </w:r>
      <w:r w:rsidR="00710514" w:rsidRPr="00696D94">
        <w:rPr>
          <w:highlight w:val="lightGray"/>
        </w:rPr>
        <w:t>diretrizes para</w:t>
      </w:r>
      <w:r w:rsidR="00710514">
        <w:t xml:space="preserve"> </w:t>
      </w:r>
      <w:r w:rsidRPr="00C74609">
        <w:t xml:space="preserve">cada relacionamento com as partes envolvidas, o sistema de divulgação de informações (considerando o formato de relatórios), </w:t>
      </w:r>
      <w:r w:rsidR="00710514" w:rsidRPr="00696D94">
        <w:rPr>
          <w:highlight w:val="lightGray"/>
        </w:rPr>
        <w:t>o arcabouço de</w:t>
      </w:r>
      <w:r w:rsidR="00710514">
        <w:t xml:space="preserve"> </w:t>
      </w:r>
      <w:r>
        <w:t xml:space="preserve">uma matriz de </w:t>
      </w:r>
      <w:r w:rsidRPr="00C74609">
        <w:t>comunicações e o processo de gerenciamento de reclamações. Essas diretrizes apoiam todas as comunicações feitas durante o evento, ajustadas ao fluxo de aprovação do ICS, já considerado no plano para casos de emergência.</w:t>
      </w:r>
    </w:p>
    <w:p w14:paraId="61F93145" w14:textId="77777777" w:rsidR="00A70C70" w:rsidRDefault="0053320F" w:rsidP="00153DF1">
      <w:pPr>
        <w:pStyle w:val="tier1Itext"/>
      </w:pPr>
      <w:r w:rsidRPr="00C74609">
        <w:t xml:space="preserve">O fluxo de acionamento com as notificações </w:t>
      </w:r>
      <w:r>
        <w:t>requeridas</w:t>
      </w:r>
      <w:r w:rsidRPr="00C74609">
        <w:t xml:space="preserve"> (interna e externa) é apresentado na </w:t>
      </w:r>
      <w:r w:rsidRPr="0053320F">
        <w:rPr>
          <w:b/>
          <w:highlight w:val="lightGray"/>
        </w:rPr>
        <w:fldChar w:fldCharType="begin"/>
      </w:r>
      <w:r w:rsidRPr="0053320F">
        <w:rPr>
          <w:b/>
        </w:rPr>
        <w:instrText xml:space="preserve"> REF _Ref413401113 \h </w:instrText>
      </w:r>
      <w:r w:rsidRPr="0053320F">
        <w:rPr>
          <w:b/>
          <w:highlight w:val="lightGray"/>
        </w:rPr>
        <w:instrText xml:space="preserve"> \* MERGEFORMAT </w:instrText>
      </w:r>
      <w:r w:rsidRPr="0053320F">
        <w:rPr>
          <w:b/>
          <w:highlight w:val="lightGray"/>
        </w:rPr>
      </w:r>
      <w:r w:rsidRPr="0053320F">
        <w:rPr>
          <w:b/>
          <w:highlight w:val="lightGray"/>
        </w:rPr>
        <w:fldChar w:fldCharType="separate"/>
      </w:r>
      <w:r w:rsidR="00A50E67" w:rsidRPr="00A50E67">
        <w:rPr>
          <w:b/>
        </w:rPr>
        <w:t xml:space="preserve">Figura </w:t>
      </w:r>
      <w:r w:rsidR="00A50E67" w:rsidRPr="00A50E67">
        <w:rPr>
          <w:b/>
          <w:noProof/>
        </w:rPr>
        <w:t>6</w:t>
      </w:r>
      <w:r w:rsidRPr="0053320F">
        <w:rPr>
          <w:b/>
          <w:highlight w:val="lightGray"/>
        </w:rPr>
        <w:fldChar w:fldCharType="end"/>
      </w:r>
      <w:r w:rsidRPr="00C74609">
        <w:t xml:space="preserve">. As notificações internas são feitas principalmente por telefone, mas também podem </w:t>
      </w:r>
      <w:r>
        <w:t>ser realiz</w:t>
      </w:r>
      <w:r w:rsidRPr="00C74609">
        <w:t>a</w:t>
      </w:r>
      <w:r>
        <w:t xml:space="preserve">das por </w:t>
      </w:r>
      <w:r w:rsidRPr="00C74609">
        <w:t xml:space="preserve">rádio, fax ou e-mail. Todas as comunicações internas e informações trocadas </w:t>
      </w:r>
      <w:r>
        <w:t xml:space="preserve">com partes externas interessadas </w:t>
      </w:r>
      <w:r w:rsidRPr="00C74609">
        <w:t>devem ser registradas em formulários próprios para fins de documentação.</w:t>
      </w:r>
    </w:p>
    <w:p w14:paraId="268DDC68" w14:textId="50B5D8CF" w:rsidR="00710514" w:rsidRPr="00C74609" w:rsidRDefault="00153DF1" w:rsidP="009F0EA7">
      <w:pPr>
        <w:pStyle w:val="tier1Itext"/>
      </w:pPr>
      <w:r w:rsidRPr="00C74609">
        <w:lastRenderedPageBreak/>
        <w:t xml:space="preserve">As notificações externas aos órgãos governamentais devem ser </w:t>
      </w:r>
      <w:r>
        <w:t>prioritariamente realizadas através dos sistemas customizados indicados (SIEMA-IBAMA</w:t>
      </w:r>
      <w:r>
        <w:rPr>
          <w:rStyle w:val="Refdenotaderodap"/>
          <w:rFonts w:cstheme="majorHAnsi"/>
          <w:szCs w:val="22"/>
        </w:rPr>
        <w:footnoteReference w:id="10"/>
      </w:r>
      <w:r>
        <w:t xml:space="preserve"> e SISO-ANP</w:t>
      </w:r>
      <w:r>
        <w:rPr>
          <w:rStyle w:val="Refdenotaderodap"/>
          <w:rFonts w:cstheme="majorHAnsi"/>
          <w:szCs w:val="22"/>
        </w:rPr>
        <w:footnoteReference w:id="11"/>
      </w:r>
      <w:r>
        <w:t xml:space="preserve">), ou por </w:t>
      </w:r>
      <w:r w:rsidRPr="00C74609">
        <w:t>fax</w:t>
      </w:r>
      <w:r>
        <w:t xml:space="preserve"> ou e</w:t>
      </w:r>
      <w:r>
        <w:noBreakHyphen/>
        <w:t>mail</w:t>
      </w:r>
      <w:r w:rsidRPr="00C74609">
        <w:t xml:space="preserve"> quando</w:t>
      </w:r>
      <w:r>
        <w:t xml:space="preserve"> os sistemas estiverem inoperantes,</w:t>
      </w:r>
      <w:r w:rsidRPr="00C74609">
        <w:t xml:space="preserve"> sempre devendo ter a confirmação se foram perfeitamente recebidas</w:t>
      </w:r>
      <w:r w:rsidRPr="00C74609">
        <w:rPr>
          <w:rStyle w:val="Refdenotaderodap"/>
          <w:rFonts w:cstheme="majorHAnsi"/>
          <w:szCs w:val="22"/>
        </w:rPr>
        <w:footnoteReference w:id="12"/>
      </w:r>
      <w:r w:rsidRPr="00C74609">
        <w:t xml:space="preserve">. Em caso de utilização de mensagens eletrônicas, é altamente recomendado que esta confirmação </w:t>
      </w:r>
      <w:r>
        <w:t>seja feita</w:t>
      </w:r>
      <w:r w:rsidRPr="00C74609">
        <w:t xml:space="preserve"> através de um pedido de resposta para o destinatário, em vez do sistema automático de registro de entrega e de leitura do sistema de correio eletrônico. Todas as comunicações de contatos externos, dentro ou fora da IMT e da BST, devem ter uma evidência física desta, também para fins de documentação.</w:t>
      </w:r>
    </w:p>
    <w:p w14:paraId="34854206" w14:textId="77777777" w:rsidR="0053320F" w:rsidRDefault="0053320F" w:rsidP="009F0EA7">
      <w:pPr>
        <w:pStyle w:val="tier1Itext"/>
        <w:spacing w:before="0" w:after="0" w:line="240" w:lineRule="auto"/>
        <w:jc w:val="center"/>
      </w:pPr>
      <w:r>
        <w:rPr>
          <w:noProof/>
          <w:lang w:val="en-US"/>
        </w:rPr>
        <w:drawing>
          <wp:inline distT="0" distB="0" distL="0" distR="0" wp14:anchorId="16EE3FB1" wp14:editId="203DDA7B">
            <wp:extent cx="5274000" cy="4359600"/>
            <wp:effectExtent l="0" t="0" r="3175" b="3175"/>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4000" cy="4359600"/>
                    </a:xfrm>
                    <a:prstGeom prst="rect">
                      <a:avLst/>
                    </a:prstGeom>
                    <a:noFill/>
                  </pic:spPr>
                </pic:pic>
              </a:graphicData>
            </a:graphic>
          </wp:inline>
        </w:drawing>
      </w:r>
    </w:p>
    <w:p w14:paraId="7742A423" w14:textId="46E021F4" w:rsidR="0053320F" w:rsidRDefault="0053320F" w:rsidP="009F0EA7">
      <w:pPr>
        <w:pStyle w:val="Legenda"/>
        <w:spacing w:before="0" w:after="0" w:line="240" w:lineRule="auto"/>
      </w:pPr>
      <w:bookmarkStart w:id="104" w:name="_Ref413401113"/>
      <w:bookmarkStart w:id="105" w:name="_Toc413848073"/>
      <w:bookmarkStart w:id="106" w:name="_Toc527990453"/>
      <w:r w:rsidRPr="00435CF6">
        <w:lastRenderedPageBreak/>
        <w:t xml:space="preserve">Figura </w:t>
      </w:r>
      <w:fldSimple w:instr=" SEQ Figura \* ARABIC ">
        <w:r w:rsidR="00A50E67">
          <w:rPr>
            <w:noProof/>
          </w:rPr>
          <w:t>6</w:t>
        </w:r>
      </w:fldSimple>
      <w:bookmarkEnd w:id="104"/>
      <w:r w:rsidRPr="00435CF6">
        <w:t>: Fluxo de Acionamento e notificações necessárias</w:t>
      </w:r>
      <w:r w:rsidR="00605F99">
        <w:t xml:space="preserve"> (</w:t>
      </w:r>
      <w:r w:rsidR="00605F99" w:rsidRPr="00C45C9A">
        <w:t xml:space="preserve">Fonte: </w:t>
      </w:r>
      <w:r w:rsidR="00F02028">
        <w:t xml:space="preserve">Modificado a partir do original em </w:t>
      </w:r>
      <w:r w:rsidR="00B0161B">
        <w:t xml:space="preserve">BP </w:t>
      </w:r>
      <w:r w:rsidR="00460D2A">
        <w:t>Energy</w:t>
      </w:r>
      <w:r w:rsidR="00B0161B">
        <w:t>, 20</w:t>
      </w:r>
      <w:r w:rsidR="00460D2A">
        <w:t>13</w:t>
      </w:r>
      <w:r w:rsidR="00605F99">
        <w:t>)</w:t>
      </w:r>
      <w:r w:rsidRPr="00435CF6">
        <w:t>.</w:t>
      </w:r>
      <w:bookmarkEnd w:id="105"/>
      <w:bookmarkEnd w:id="106"/>
    </w:p>
    <w:p w14:paraId="159E1E34" w14:textId="77777777" w:rsidR="00710514" w:rsidRPr="00710514" w:rsidRDefault="00710514" w:rsidP="00710514">
      <w:pPr>
        <w:rPr>
          <w:lang w:eastAsia="en-US"/>
        </w:rPr>
      </w:pPr>
    </w:p>
    <w:p w14:paraId="529FC940" w14:textId="77777777" w:rsidR="00037F51" w:rsidRPr="009D01BE" w:rsidRDefault="00037F51" w:rsidP="006F18B8">
      <w:pPr>
        <w:pStyle w:val="Ttulo3"/>
        <w:ind w:left="1224"/>
      </w:pPr>
      <w:bookmarkStart w:id="107" w:name="_Toc527990411"/>
      <w:r w:rsidRPr="009D01BE">
        <w:t>Comunicação Interna</w:t>
      </w:r>
      <w:bookmarkEnd w:id="107"/>
    </w:p>
    <w:p w14:paraId="56F883E0" w14:textId="1420B011" w:rsidR="00137ECB" w:rsidRDefault="00137ECB" w:rsidP="009F0EA7">
      <w:pPr>
        <w:pStyle w:val="tier1Itext"/>
      </w:pPr>
      <w:r>
        <w:t xml:space="preserve">A gestão da comunicação entre os membros da </w:t>
      </w:r>
      <w:r w:rsidR="008102C0">
        <w:t>estrutura de resposta</w:t>
      </w:r>
      <w:r>
        <w:t xml:space="preserve"> constitui uma atividade fundamental para o adequado planejamento das ações de</w:t>
      </w:r>
      <w:r w:rsidR="008102C0">
        <w:t>sta</w:t>
      </w:r>
      <w:r>
        <w:t xml:space="preserve"> resposta, e apoia o posterior reporte e revisão de planos e procedimentos.</w:t>
      </w:r>
    </w:p>
    <w:p w14:paraId="16E80A3C" w14:textId="77777777" w:rsidR="00137ECB" w:rsidRDefault="00137ECB" w:rsidP="009F0EA7">
      <w:pPr>
        <w:pStyle w:val="tier1Itext"/>
      </w:pPr>
      <w:r>
        <w:t>O protocolo de comunicação interna tem a finalidade de facilitar o compartilhamento de informações críticas do incidente e das operações de resposta, além de evitar falhas e ruídos na comunicação, duplo comando e atrasos nas tomadas de decisão.</w:t>
      </w:r>
    </w:p>
    <w:p w14:paraId="5EDD5BD0" w14:textId="77777777" w:rsidR="00137ECB" w:rsidRPr="003A3F7B" w:rsidRDefault="00137ECB" w:rsidP="009F0EA7">
      <w:pPr>
        <w:pStyle w:val="tier1Itext"/>
      </w:pPr>
      <w:r w:rsidRPr="003A3F7B">
        <w:t>O processo de comunicação interna compreende as etapas do Notificação/Ativação da IMT/BST</w:t>
      </w:r>
      <w:r>
        <w:t>,</w:t>
      </w:r>
      <w:r w:rsidRPr="003A3F7B">
        <w:t xml:space="preserve"> mostradas a seguir</w:t>
      </w:r>
      <w:r>
        <w:t>,</w:t>
      </w:r>
      <w:r w:rsidRPr="003A3F7B">
        <w:t xml:space="preserve"> </w:t>
      </w:r>
      <w:r>
        <w:t>qu</w:t>
      </w:r>
      <w:r w:rsidRPr="003A3F7B">
        <w:t xml:space="preserve">e são monitoradas e registradas pelo IC, ou, no caso de acionamento do IMT, </w:t>
      </w:r>
      <w:r>
        <w:t>pel</w:t>
      </w:r>
      <w:r w:rsidRPr="003A3F7B">
        <w:t xml:space="preserve">o PSC ou </w:t>
      </w:r>
      <w:r>
        <w:t>pel</w:t>
      </w:r>
      <w:r w:rsidRPr="003A3F7B">
        <w:t>o Líder da Unidade de Documentação.</w:t>
      </w:r>
    </w:p>
    <w:p w14:paraId="6D18275B" w14:textId="77777777" w:rsidR="00137ECB" w:rsidRPr="003A3F7B" w:rsidRDefault="00137ECB" w:rsidP="009F0EA7">
      <w:pPr>
        <w:pStyle w:val="tier1Itext"/>
      </w:pPr>
      <w:r w:rsidRPr="003A3F7B">
        <w:t xml:space="preserve">É importante destacar que apesar da manutenção da estrutura formal do ICS, a comunicação informal entre as unidades e seções é apoiada e estimulada, já que é considerado um aspecto chave para o sucesso do sistema. A manutenção de canais abertos de relacionamentos é ação primordial para o alcance dos objetivos definidos, principalmente na </w:t>
      </w:r>
      <w:r w:rsidR="00942345">
        <w:t>F</w:t>
      </w:r>
      <w:r w:rsidRPr="003A3F7B">
        <w:t xml:space="preserve">ase </w:t>
      </w:r>
      <w:r w:rsidR="00942345">
        <w:t>P</w:t>
      </w:r>
      <w:r w:rsidRPr="003A3F7B">
        <w:t>roativa, quando o Processo de Planejamento do Próximo Período Operacional (</w:t>
      </w:r>
      <w:r w:rsidRPr="003A3F7B">
        <w:rPr>
          <w:i/>
        </w:rPr>
        <w:t>Planning-P Process</w:t>
      </w:r>
      <w:r w:rsidRPr="003A3F7B">
        <w:t>) está em andamento.</w:t>
      </w:r>
    </w:p>
    <w:p w14:paraId="52AAC45F" w14:textId="77777777" w:rsidR="00137ECB" w:rsidRPr="009F0EA7" w:rsidRDefault="00137ECB"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240" w:line="360" w:lineRule="auto"/>
        <w:ind w:left="714" w:hanging="357"/>
        <w:rPr>
          <w:rFonts w:asciiTheme="majorHAnsi" w:hAnsiTheme="majorHAnsi"/>
          <w:b/>
        </w:rPr>
      </w:pPr>
      <w:r w:rsidRPr="009F0EA7">
        <w:rPr>
          <w:rFonts w:asciiTheme="majorHAnsi" w:hAnsiTheme="majorHAnsi"/>
          <w:b/>
        </w:rPr>
        <w:t>Protocolo de comunicação interna</w:t>
      </w:r>
    </w:p>
    <w:p w14:paraId="7C3C4327" w14:textId="77777777" w:rsidR="00137ECB" w:rsidRDefault="00137ECB" w:rsidP="009F0EA7">
      <w:pPr>
        <w:pStyle w:val="tier1Itext"/>
      </w:pPr>
      <w:r>
        <w:t>Ordena</w:t>
      </w:r>
      <w:r w:rsidRPr="001711B3">
        <w:t xml:space="preserve"> as vias </w:t>
      </w:r>
      <w:r w:rsidRPr="00AE3B8F">
        <w:t>de comunicação formal e informal durante</w:t>
      </w:r>
      <w:r w:rsidRPr="001711B3">
        <w:t xml:space="preserve"> as ações de resposta ao incidente, definindo ou validando os</w:t>
      </w:r>
      <w:r>
        <w:t>:</w:t>
      </w:r>
    </w:p>
    <w:p w14:paraId="2EE93CC9" w14:textId="6D321D3B" w:rsidR="00137ECB" w:rsidRPr="009F0EA7" w:rsidRDefault="00137ECB" w:rsidP="00EA2A77">
      <w:pPr>
        <w:pStyle w:val="OCEBullet"/>
        <w:keepLines/>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1434" w:hanging="357"/>
        <w:rPr>
          <w:rFonts w:asciiTheme="majorHAnsi" w:hAnsiTheme="majorHAnsi"/>
        </w:rPr>
      </w:pPr>
      <w:r w:rsidRPr="009F0EA7">
        <w:rPr>
          <w:rFonts w:asciiTheme="majorHAnsi" w:hAnsiTheme="majorHAnsi"/>
        </w:rPr>
        <w:t xml:space="preserve">Canais de comunicação existentes (por exemplo, ponto focal para comunicação com a plataforma, canal para solicitação de recursos, canal para comunicação com </w:t>
      </w:r>
      <w:r w:rsidR="00B0161B">
        <w:rPr>
          <w:rFonts w:asciiTheme="majorHAnsi" w:hAnsiTheme="majorHAnsi"/>
        </w:rPr>
        <w:t xml:space="preserve">agentes ou grupos </w:t>
      </w:r>
      <w:r w:rsidRPr="009F0EA7">
        <w:rPr>
          <w:rFonts w:asciiTheme="majorHAnsi" w:hAnsiTheme="majorHAnsi"/>
        </w:rPr>
        <w:t xml:space="preserve">externos a </w:t>
      </w:r>
      <w:r w:rsidR="0027197D">
        <w:rPr>
          <w:rFonts w:asciiTheme="majorHAnsi" w:hAnsiTheme="majorHAnsi"/>
        </w:rPr>
        <w:t>estrutura de resposta</w:t>
      </w:r>
      <w:r w:rsidRPr="009F0EA7">
        <w:rPr>
          <w:rFonts w:asciiTheme="majorHAnsi" w:hAnsiTheme="majorHAnsi"/>
        </w:rPr>
        <w:t>, dentre outros);</w:t>
      </w:r>
    </w:p>
    <w:p w14:paraId="44CDAA2F" w14:textId="77777777" w:rsidR="00137ECB" w:rsidRPr="009F0EA7" w:rsidRDefault="00137ECB" w:rsidP="00EA2A77">
      <w:pPr>
        <w:pStyle w:val="OCEBullet"/>
        <w:keepLines/>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1434" w:hanging="357"/>
        <w:rPr>
          <w:rFonts w:asciiTheme="majorHAnsi" w:hAnsiTheme="majorHAnsi"/>
        </w:rPr>
      </w:pPr>
      <w:r w:rsidRPr="009F0EA7">
        <w:rPr>
          <w:rFonts w:asciiTheme="majorHAnsi" w:hAnsiTheme="majorHAnsi"/>
        </w:rPr>
        <w:t>Elementos essenciais de informação (informações que precisam ser compartilhadas com as lideranças de cada função e formalmente registradas e arquivadas);</w:t>
      </w:r>
    </w:p>
    <w:p w14:paraId="2106ABA3" w14:textId="77777777" w:rsidR="00137ECB" w:rsidRPr="009F0EA7" w:rsidRDefault="00137ECB" w:rsidP="00EA2A77">
      <w:pPr>
        <w:pStyle w:val="OCEBullet"/>
        <w:keepLines/>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1434" w:hanging="357"/>
        <w:rPr>
          <w:rFonts w:asciiTheme="majorHAnsi" w:hAnsiTheme="majorHAnsi"/>
        </w:rPr>
      </w:pPr>
      <w:r w:rsidRPr="009F0EA7">
        <w:rPr>
          <w:rFonts w:asciiTheme="majorHAnsi" w:hAnsiTheme="majorHAnsi"/>
        </w:rPr>
        <w:t>Fatos de reporte imediato (informações que demandam notificação imediata ao IC).</w:t>
      </w:r>
    </w:p>
    <w:p w14:paraId="17F34889" w14:textId="77777777" w:rsidR="00137ECB" w:rsidRDefault="00137ECB" w:rsidP="009F0EA7">
      <w:pPr>
        <w:pStyle w:val="tier1Itext"/>
      </w:pPr>
      <w:r>
        <w:lastRenderedPageBreak/>
        <w:t xml:space="preserve">Assim que efetuada a comunicação inicial do incidente e a mobilização da EOR, os procedimentos do protocolo de comunicação interna devem ser estabelecidos/revistos e formalizados com todos os membros </w:t>
      </w:r>
      <w:r w:rsidR="00B0161B">
        <w:t xml:space="preserve">da </w:t>
      </w:r>
      <w:r>
        <w:t xml:space="preserve">IMT e </w:t>
      </w:r>
      <w:r w:rsidR="00B0161B">
        <w:t xml:space="preserve">da </w:t>
      </w:r>
      <w:r>
        <w:t>TRT, incluindo pessoal próprio e terceiros. Esses procedimentos devem incluir orientações sobre os pontos-focais dos canais de comunicação, os meios (por exemplo, verbal ou por escrito, telefone, rádio, dentre outros) e a frequência de contato (por exemplo, a cada hora, diário, dentre outros).</w:t>
      </w:r>
    </w:p>
    <w:p w14:paraId="6B326BB6" w14:textId="77777777" w:rsidR="00137ECB" w:rsidRPr="009F0EA7" w:rsidRDefault="00137ECB"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240" w:line="360" w:lineRule="auto"/>
        <w:ind w:left="714" w:hanging="357"/>
        <w:rPr>
          <w:rFonts w:asciiTheme="majorHAnsi" w:hAnsiTheme="majorHAnsi"/>
          <w:b/>
        </w:rPr>
      </w:pPr>
      <w:r w:rsidRPr="009F0EA7">
        <w:rPr>
          <w:rFonts w:asciiTheme="majorHAnsi" w:hAnsiTheme="majorHAnsi"/>
          <w:b/>
        </w:rPr>
        <w:t>Notificação Inicial</w:t>
      </w:r>
    </w:p>
    <w:p w14:paraId="085B0AF3" w14:textId="77777777" w:rsidR="00137ECB" w:rsidRPr="003A3F7B" w:rsidRDefault="00137ECB" w:rsidP="009F0EA7">
      <w:pPr>
        <w:pStyle w:val="tier1Itext"/>
      </w:pPr>
      <w:r w:rsidRPr="003A3F7B">
        <w:t xml:space="preserve">A comunicação interna entre o IC da TRT </w:t>
      </w:r>
      <w:r w:rsidR="00C364E0">
        <w:t xml:space="preserve">(IC/TRT) </w:t>
      </w:r>
      <w:r w:rsidRPr="003A3F7B">
        <w:t>e o IC da IMT</w:t>
      </w:r>
      <w:r w:rsidR="00C364E0">
        <w:t xml:space="preserve"> (IC/IMT)</w:t>
      </w:r>
      <w:r w:rsidRPr="003A3F7B">
        <w:t xml:space="preserve"> deve ser realizada imediatamente após </w:t>
      </w:r>
      <w:r>
        <w:t>a observação do incidente</w:t>
      </w:r>
      <w:r w:rsidRPr="003A3F7B">
        <w:t xml:space="preserve"> através, ainda que não exclusivamente, do número de telefone de emergência (</w:t>
      </w:r>
      <w:r>
        <w:t>t</w:t>
      </w:r>
      <w:r w:rsidRPr="003A3F7B">
        <w:t xml:space="preserve">elefone de </w:t>
      </w:r>
      <w:r>
        <w:t>p</w:t>
      </w:r>
      <w:r w:rsidRPr="003A3F7B">
        <w:t xml:space="preserve">lantão), mantido pelo </w:t>
      </w:r>
      <w:r>
        <w:t xml:space="preserve">membro </w:t>
      </w:r>
      <w:r w:rsidR="00B0161B">
        <w:t xml:space="preserve">da </w:t>
      </w:r>
      <w:r>
        <w:t>IMT na DUTY ROTA (</w:t>
      </w:r>
      <w:r w:rsidRPr="003A3F7B">
        <w:t>24/7</w:t>
      </w:r>
      <w:r>
        <w:t>)</w:t>
      </w:r>
      <w:r w:rsidRPr="003A3F7B">
        <w:t xml:space="preserve">, durante todo o ano. Como mencionado anteriormente, </w:t>
      </w:r>
      <w:r>
        <w:t>caso não consiga contato com o DUTY ROTA</w:t>
      </w:r>
      <w:r w:rsidRPr="003A3F7B">
        <w:t xml:space="preserve">, </w:t>
      </w:r>
      <w:r w:rsidR="00B0161B">
        <w:t xml:space="preserve">também poderá ser contatado </w:t>
      </w:r>
      <w:r>
        <w:t xml:space="preserve">o Coordenador de CCM/ER, que se encarregará </w:t>
      </w:r>
      <w:r w:rsidR="002377C4">
        <w:t>da comunicação</w:t>
      </w:r>
      <w:r>
        <w:t xml:space="preserve"> com o IC</w:t>
      </w:r>
      <w:r w:rsidR="009F0EA7">
        <w:t>.</w:t>
      </w:r>
    </w:p>
    <w:p w14:paraId="27BFBA0F" w14:textId="77777777" w:rsidR="00137ECB" w:rsidRPr="003A3F7B" w:rsidRDefault="00137ECB" w:rsidP="009F0EA7">
      <w:pPr>
        <w:pStyle w:val="tier1Itext"/>
      </w:pPr>
      <w:r w:rsidRPr="003A3F7B">
        <w:t xml:space="preserve">Todas as informações disponíveis até o momento devem ser passadas para o IC/IMT para a etapa de avaliação, utilizando o formulário do </w:t>
      </w:r>
      <w:r w:rsidRPr="00DB1012">
        <w:t>Relatório Gera</w:t>
      </w:r>
      <w:r w:rsidRPr="00421257">
        <w:t>l do Incidente</w:t>
      </w:r>
      <w:r w:rsidRPr="003A3F7B">
        <w:t xml:space="preserve"> </w:t>
      </w:r>
      <w:r>
        <w:t xml:space="preserve">(formulário ICS 201) </w:t>
      </w:r>
      <w:r w:rsidRPr="003A3F7B">
        <w:t>como um guia. Depois da comunicação inicial, o próprio IC/TRT ou um assessor designado/escrevente, deve preencher o formulário, com as informações disponíveis e enviá-las p</w:t>
      </w:r>
      <w:r w:rsidR="009F0EA7">
        <w:t>or fax ou e-mail para o IC/IMT.</w:t>
      </w:r>
    </w:p>
    <w:p w14:paraId="0151AA9E" w14:textId="77777777" w:rsidR="00137ECB" w:rsidRDefault="00137ECB" w:rsidP="009F0EA7">
      <w:pPr>
        <w:pStyle w:val="tier1Itext"/>
      </w:pPr>
      <w:r w:rsidRPr="003A3F7B">
        <w:t>Após a avaliação da situação, considerando o acionamento da IMT, o IC/TRT prosseguirá com a transferência do comando para o IC/IMT, que deve estabelecer um protocolo de comunicação com o pessoal de campo, principalmente com o novo OSC Delegado (antigo IC</w:t>
      </w:r>
      <w:r>
        <w:t>/TRT</w:t>
      </w:r>
      <w:r w:rsidRPr="003A3F7B">
        <w:t>). O protocolo de comunicação deve determinar as pessoas de contato, conteúdo, frequência e meio utilizado.</w:t>
      </w:r>
    </w:p>
    <w:p w14:paraId="350B28B8" w14:textId="77777777" w:rsidR="00137ECB" w:rsidRPr="009F0EA7" w:rsidRDefault="00137ECB"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240" w:line="360" w:lineRule="auto"/>
        <w:ind w:left="714" w:hanging="357"/>
        <w:rPr>
          <w:rFonts w:asciiTheme="majorHAnsi" w:hAnsiTheme="majorHAnsi"/>
          <w:b/>
        </w:rPr>
      </w:pPr>
      <w:r w:rsidRPr="009F0EA7">
        <w:rPr>
          <w:rFonts w:asciiTheme="majorHAnsi" w:hAnsiTheme="majorHAnsi"/>
          <w:b/>
        </w:rPr>
        <w:t>Notificações Periódicas</w:t>
      </w:r>
    </w:p>
    <w:p w14:paraId="0825F2F7" w14:textId="77777777" w:rsidR="00137ECB" w:rsidRPr="003A3F7B" w:rsidRDefault="00137ECB" w:rsidP="00FA1E16">
      <w:pPr>
        <w:pStyle w:val="tier1Itext"/>
      </w:pPr>
      <w:r w:rsidRPr="003A3F7B">
        <w:t>Durante a condução da</w:t>
      </w:r>
      <w:r w:rsidR="00C364E0">
        <w:t xml:space="preserve"> resposta, alguns formulários somente</w:t>
      </w:r>
      <w:r w:rsidRPr="003A3F7B">
        <w:t xml:space="preserve"> serão acionados em emergências suficientemente grandes que durem mais que o período da </w:t>
      </w:r>
      <w:r w:rsidR="00C364E0" w:rsidRPr="003A3F7B">
        <w:t xml:space="preserve">Fase Reativa </w:t>
      </w:r>
      <w:r w:rsidRPr="003A3F7B">
        <w:t xml:space="preserve">para serem gerenciadas (menos que 5% do total de incidentes). O ICS 201 – </w:t>
      </w:r>
      <w:r>
        <w:t xml:space="preserve">Relatório Geral </w:t>
      </w:r>
      <w:r w:rsidRPr="003A3F7B">
        <w:t xml:space="preserve">do Incidente será o guia para a troca de informações atualizadas durante os contatos periódicos entre a TRT e a IMT na </w:t>
      </w:r>
      <w:r w:rsidR="00C364E0" w:rsidRPr="003A3F7B">
        <w:t xml:space="preserve">Fase Reativa </w:t>
      </w:r>
      <w:r w:rsidRPr="003A3F7B">
        <w:t xml:space="preserve">da resposta </w:t>
      </w:r>
      <w:r>
        <w:t>a</w:t>
      </w:r>
      <w:r w:rsidRPr="003A3F7B">
        <w:t>o incidente, também funcionando como o principal documento para rastre</w:t>
      </w:r>
      <w:r>
        <w:t>amento</w:t>
      </w:r>
      <w:r w:rsidRPr="003A3F7B">
        <w:t xml:space="preserve"> e registro da evolução do mesmo durante resumos periódicos e reuniões de acompanhamento do andamento da resposta.</w:t>
      </w:r>
    </w:p>
    <w:p w14:paraId="32E69DB9" w14:textId="77777777" w:rsidR="00137ECB" w:rsidRPr="003A3F7B" w:rsidRDefault="00137ECB" w:rsidP="00FA1E16">
      <w:pPr>
        <w:pStyle w:val="tier1Itext"/>
      </w:pPr>
      <w:r w:rsidRPr="003A3F7B">
        <w:lastRenderedPageBreak/>
        <w:t>Em um incidente de maior duração, o</w:t>
      </w:r>
      <w:r>
        <w:t xml:space="preserve"> ciclo de planejamento</w:t>
      </w:r>
      <w:r w:rsidRPr="003A3F7B">
        <w:t xml:space="preserve"> do ICS (</w:t>
      </w:r>
      <w:r w:rsidRPr="003A3F7B">
        <w:rPr>
          <w:i/>
        </w:rPr>
        <w:t>Planning-P Process</w:t>
      </w:r>
      <w:r w:rsidRPr="003A3F7B">
        <w:t xml:space="preserve">) é implementado, sendo esta a característica essencial da </w:t>
      </w:r>
      <w:r w:rsidR="00C364E0" w:rsidRPr="003A3F7B">
        <w:t xml:space="preserve">Fase Proativa </w:t>
      </w:r>
      <w:r w:rsidRPr="003A3F7B">
        <w:t xml:space="preserve">do processo de resposta. O Plano de Ação do Incidente (IAP) para o </w:t>
      </w:r>
      <w:r w:rsidR="00DE1E27" w:rsidRPr="003A3F7B">
        <w:t xml:space="preserve">Período Operacional </w:t>
      </w:r>
      <w:r w:rsidRPr="003A3F7B">
        <w:t>a ser definido pelo IC será então construído através de encontros metodicamente gerenciados do ICS (das Equipes de Comando e Geral; o Tático; o de Planejamento e o de instruções de Operações)</w:t>
      </w:r>
      <w:r>
        <w:t>.</w:t>
      </w:r>
      <w:r w:rsidR="00D913B3">
        <w:t xml:space="preserve"> </w:t>
      </w:r>
      <w:r>
        <w:t>S</w:t>
      </w:r>
      <w:r w:rsidRPr="003A3F7B">
        <w:t>eus vários componentes orientarão as equipes de resposta sobre o que e como deve ser feito, os recursos que deverão ser usados para realização destas ações, os protocolos de comunicações e outras informações importantes para a manutenção de tod</w:t>
      </w:r>
      <w:r>
        <w:t>a</w:t>
      </w:r>
      <w:r w:rsidRPr="003A3F7B">
        <w:t xml:space="preserve"> </w:t>
      </w:r>
      <w:r>
        <w:t>a equipe</w:t>
      </w:r>
      <w:r w:rsidRPr="003A3F7B">
        <w:t xml:space="preserve"> de resposta na mesma direção.</w:t>
      </w:r>
    </w:p>
    <w:p w14:paraId="543D95F0" w14:textId="1BA6A24A" w:rsidR="00137ECB" w:rsidRDefault="00137ECB" w:rsidP="00FA1E16">
      <w:pPr>
        <w:pStyle w:val="tier1Itext"/>
      </w:pPr>
      <w:r w:rsidRPr="003A3F7B">
        <w:t>O gerenciamento das informações compiladas é feito através dos formulários ICS</w:t>
      </w:r>
      <w:r>
        <w:t>,</w:t>
      </w:r>
      <w:r w:rsidRPr="003A3F7B">
        <w:t xml:space="preserve"> que combinam </w:t>
      </w:r>
      <w:r>
        <w:t>diversas informações relevantes para a IMT</w:t>
      </w:r>
      <w:r w:rsidRPr="003A3F7B">
        <w:t>, como aquelas, ainda que não restritas</w:t>
      </w:r>
      <w:r>
        <w:t>,</w:t>
      </w:r>
      <w:r w:rsidRPr="003A3F7B">
        <w:t xml:space="preserve"> exibidas a seguir n</w:t>
      </w:r>
      <w:r>
        <w:t xml:space="preserve">a </w:t>
      </w:r>
      <w:r w:rsidRPr="00975D44">
        <w:rPr>
          <w:b/>
        </w:rPr>
        <w:fldChar w:fldCharType="begin"/>
      </w:r>
      <w:r w:rsidRPr="00975D44">
        <w:rPr>
          <w:b/>
        </w:rPr>
        <w:instrText xml:space="preserve"> REF _Ref413157860 \h  \* MERGEFORMAT </w:instrText>
      </w:r>
      <w:r w:rsidRPr="00975D44">
        <w:rPr>
          <w:b/>
        </w:rPr>
      </w:r>
      <w:r w:rsidRPr="00975D44">
        <w:rPr>
          <w:b/>
        </w:rPr>
        <w:fldChar w:fldCharType="separate"/>
      </w:r>
      <w:r w:rsidR="00A50E67" w:rsidRPr="00A50E67">
        <w:rPr>
          <w:b/>
          <w:szCs w:val="22"/>
        </w:rPr>
        <w:t xml:space="preserve">Tabela </w:t>
      </w:r>
      <w:r w:rsidR="00A50E67" w:rsidRPr="00A50E67">
        <w:rPr>
          <w:b/>
          <w:noProof/>
          <w:szCs w:val="22"/>
        </w:rPr>
        <w:t>10</w:t>
      </w:r>
      <w:r w:rsidRPr="00975D44">
        <w:rPr>
          <w:b/>
        </w:rPr>
        <w:fldChar w:fldCharType="end"/>
      </w:r>
      <w:r>
        <w:t>.</w:t>
      </w:r>
    </w:p>
    <w:tbl>
      <w:tblPr>
        <w:tblStyle w:val="Ocean"/>
        <w:tblW w:w="5000" w:type="pct"/>
        <w:tblBorders>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1923"/>
        <w:gridCol w:w="3469"/>
        <w:gridCol w:w="3679"/>
      </w:tblGrid>
      <w:tr w:rsidR="00137ECB" w:rsidRPr="00FA1E16" w14:paraId="03F23840" w14:textId="77777777" w:rsidTr="00FA1E16">
        <w:trPr>
          <w:cnfStyle w:val="100000000000" w:firstRow="1" w:lastRow="0" w:firstColumn="0" w:lastColumn="0" w:oddVBand="0" w:evenVBand="0" w:oddHBand="0" w:evenHBand="0" w:firstRowFirstColumn="0" w:firstRowLastColumn="0" w:lastRowFirstColumn="0" w:lastRowLastColumn="0"/>
          <w:trHeight w:val="340"/>
          <w:tblHeader/>
        </w:trPr>
        <w:tc>
          <w:tcPr>
            <w:tcW w:w="5000" w:type="pct"/>
            <w:gridSpan w:val="3"/>
            <w:shd w:val="clear" w:color="auto" w:fill="auto"/>
            <w:vAlign w:val="bottom"/>
          </w:tcPr>
          <w:p w14:paraId="59AE0492" w14:textId="556193B2" w:rsidR="00137ECB" w:rsidRPr="00FA1E16" w:rsidRDefault="00137ECB" w:rsidP="00FA1E16">
            <w:pPr>
              <w:pStyle w:val="LegendaTabela"/>
              <w:rPr>
                <w:b/>
                <w:szCs w:val="20"/>
              </w:rPr>
            </w:pPr>
            <w:bookmarkStart w:id="108" w:name="_Ref413157860"/>
            <w:bookmarkStart w:id="109" w:name="_Toc413848077"/>
            <w:bookmarkStart w:id="110" w:name="_Toc527990485"/>
            <w:r w:rsidRPr="00FA1E16">
              <w:rPr>
                <w:b/>
                <w:color w:val="auto"/>
                <w:szCs w:val="20"/>
              </w:rPr>
              <w:t xml:space="preserve">Tabela </w:t>
            </w:r>
            <w:r w:rsidRPr="00FA1E16">
              <w:rPr>
                <w:szCs w:val="20"/>
              </w:rPr>
              <w:fldChar w:fldCharType="begin"/>
            </w:r>
            <w:r w:rsidRPr="00FA1E16">
              <w:rPr>
                <w:b/>
                <w:color w:val="auto"/>
                <w:szCs w:val="20"/>
              </w:rPr>
              <w:instrText xml:space="preserve"> SEQ Tabela \* ARABIC </w:instrText>
            </w:r>
            <w:r w:rsidRPr="00FA1E16">
              <w:rPr>
                <w:szCs w:val="20"/>
              </w:rPr>
              <w:fldChar w:fldCharType="separate"/>
            </w:r>
            <w:r w:rsidR="00A50E67">
              <w:rPr>
                <w:b/>
                <w:noProof/>
                <w:color w:val="auto"/>
                <w:szCs w:val="20"/>
              </w:rPr>
              <w:t>10</w:t>
            </w:r>
            <w:r w:rsidRPr="00FA1E16">
              <w:rPr>
                <w:szCs w:val="20"/>
              </w:rPr>
              <w:fldChar w:fldCharType="end"/>
            </w:r>
            <w:bookmarkEnd w:id="108"/>
            <w:r w:rsidRPr="00FA1E16">
              <w:rPr>
                <w:b/>
                <w:color w:val="auto"/>
                <w:szCs w:val="20"/>
              </w:rPr>
              <w:t>: Formulários ICS usados pela BP Energy do Brasil em seu sistema de gerenciamento de emergências.</w:t>
            </w:r>
            <w:bookmarkEnd w:id="109"/>
            <w:bookmarkEnd w:id="110"/>
          </w:p>
        </w:tc>
      </w:tr>
      <w:tr w:rsidR="00137ECB" w:rsidRPr="00FA1E16" w14:paraId="6B180454" w14:textId="77777777" w:rsidTr="00953C7D">
        <w:trPr>
          <w:cnfStyle w:val="100000000000" w:firstRow="1" w:lastRow="0" w:firstColumn="0" w:lastColumn="0" w:oddVBand="0" w:evenVBand="0" w:oddHBand="0" w:evenHBand="0" w:firstRowFirstColumn="0" w:firstRowLastColumn="0" w:lastRowFirstColumn="0" w:lastRowLastColumn="0"/>
          <w:trHeight w:val="540"/>
          <w:tblHeader/>
        </w:trPr>
        <w:tc>
          <w:tcPr>
            <w:tcW w:w="1060" w:type="pct"/>
            <w:shd w:val="clear" w:color="auto" w:fill="1F497D"/>
          </w:tcPr>
          <w:p w14:paraId="7E648F3E" w14:textId="77777777" w:rsidR="00137ECB" w:rsidRPr="00FA1E16" w:rsidRDefault="00137ECB" w:rsidP="00FA1E16">
            <w:pPr>
              <w:keepNext/>
              <w:keepLines/>
              <w:spacing w:before="0" w:line="240" w:lineRule="auto"/>
              <w:jc w:val="center"/>
              <w:rPr>
                <w:rFonts w:asciiTheme="majorHAnsi" w:eastAsia="Times New Roman" w:hAnsiTheme="majorHAnsi"/>
                <w:bCs/>
                <w:sz w:val="20"/>
                <w:szCs w:val="20"/>
              </w:rPr>
            </w:pPr>
            <w:r w:rsidRPr="00FA1E16">
              <w:rPr>
                <w:rFonts w:asciiTheme="majorHAnsi" w:hAnsiTheme="majorHAnsi"/>
                <w:sz w:val="20"/>
                <w:szCs w:val="20"/>
              </w:rPr>
              <w:t>Número do formulário ICS</w:t>
            </w:r>
          </w:p>
        </w:tc>
        <w:tc>
          <w:tcPr>
            <w:tcW w:w="1912" w:type="pct"/>
            <w:shd w:val="clear" w:color="auto" w:fill="1F497D"/>
          </w:tcPr>
          <w:p w14:paraId="72D82CDD" w14:textId="77777777" w:rsidR="00137ECB" w:rsidRPr="00FA1E16" w:rsidRDefault="00137ECB" w:rsidP="00FA1E16">
            <w:pPr>
              <w:keepNext/>
              <w:keepLines/>
              <w:spacing w:before="0" w:line="240" w:lineRule="auto"/>
              <w:jc w:val="center"/>
              <w:rPr>
                <w:rFonts w:asciiTheme="majorHAnsi" w:eastAsia="Times New Roman" w:hAnsiTheme="majorHAnsi"/>
                <w:bCs/>
                <w:sz w:val="20"/>
                <w:szCs w:val="20"/>
              </w:rPr>
            </w:pPr>
            <w:r w:rsidRPr="00FA1E16">
              <w:rPr>
                <w:rFonts w:asciiTheme="majorHAnsi" w:hAnsiTheme="majorHAnsi"/>
                <w:sz w:val="20"/>
                <w:szCs w:val="20"/>
              </w:rPr>
              <w:t>Título do formulário</w:t>
            </w:r>
          </w:p>
        </w:tc>
        <w:tc>
          <w:tcPr>
            <w:tcW w:w="2028" w:type="pct"/>
            <w:shd w:val="clear" w:color="auto" w:fill="1F497D"/>
          </w:tcPr>
          <w:p w14:paraId="6A3E177D" w14:textId="77777777" w:rsidR="00137ECB" w:rsidRPr="00FA1E16" w:rsidRDefault="00137ECB" w:rsidP="00FA1E16">
            <w:pPr>
              <w:keepNext/>
              <w:keepLines/>
              <w:spacing w:before="0" w:line="240" w:lineRule="auto"/>
              <w:jc w:val="center"/>
              <w:rPr>
                <w:rFonts w:asciiTheme="majorHAnsi" w:hAnsiTheme="majorHAnsi"/>
                <w:bCs/>
                <w:sz w:val="20"/>
                <w:szCs w:val="20"/>
              </w:rPr>
            </w:pPr>
            <w:r w:rsidRPr="00FA1E16">
              <w:rPr>
                <w:rFonts w:asciiTheme="majorHAnsi" w:hAnsiTheme="majorHAnsi"/>
                <w:sz w:val="20"/>
                <w:szCs w:val="20"/>
              </w:rPr>
              <w:t>Preparado por</w:t>
            </w:r>
          </w:p>
        </w:tc>
      </w:tr>
      <w:tr w:rsidR="00137ECB" w:rsidRPr="00FA1E16" w14:paraId="25777D9F" w14:textId="77777777" w:rsidTr="00953C7D">
        <w:trPr>
          <w:cnfStyle w:val="000000100000" w:firstRow="0" w:lastRow="0" w:firstColumn="0" w:lastColumn="0" w:oddVBand="0" w:evenVBand="0" w:oddHBand="1" w:evenHBand="0" w:firstRowFirstColumn="0" w:firstRowLastColumn="0" w:lastRowFirstColumn="0" w:lastRowLastColumn="0"/>
          <w:trHeight w:val="680"/>
        </w:trPr>
        <w:tc>
          <w:tcPr>
            <w:tcW w:w="1060" w:type="pct"/>
          </w:tcPr>
          <w:p w14:paraId="136AF644" w14:textId="77777777" w:rsidR="00137ECB" w:rsidRPr="00FA1E16" w:rsidRDefault="00137ECB" w:rsidP="00FA1E16">
            <w:pPr>
              <w:keepNext/>
              <w:keepLines/>
              <w:spacing w:before="0" w:line="240" w:lineRule="auto"/>
              <w:jc w:val="left"/>
              <w:rPr>
                <w:rFonts w:asciiTheme="majorHAnsi" w:hAnsiTheme="majorHAnsi"/>
                <w:b/>
                <w:color w:val="000000"/>
                <w:sz w:val="20"/>
                <w:szCs w:val="20"/>
              </w:rPr>
            </w:pPr>
            <w:r w:rsidRPr="00FA1E16">
              <w:rPr>
                <w:rFonts w:asciiTheme="majorHAnsi" w:hAnsiTheme="majorHAnsi" w:cstheme="majorHAnsi"/>
                <w:b/>
                <w:sz w:val="20"/>
                <w:szCs w:val="20"/>
              </w:rPr>
              <w:t>202</w:t>
            </w:r>
          </w:p>
        </w:tc>
        <w:tc>
          <w:tcPr>
            <w:tcW w:w="1912" w:type="pct"/>
          </w:tcPr>
          <w:p w14:paraId="097649FA" w14:textId="77777777" w:rsidR="00137ECB" w:rsidRPr="00FA1E16" w:rsidRDefault="00137ECB" w:rsidP="00FA1E16">
            <w:pPr>
              <w:keepNext/>
              <w:keepLines/>
              <w:spacing w:before="0" w:line="240" w:lineRule="auto"/>
              <w:jc w:val="left"/>
              <w:rPr>
                <w:rFonts w:asciiTheme="majorHAnsi" w:hAnsiTheme="majorHAnsi"/>
                <w:color w:val="000000"/>
                <w:sz w:val="20"/>
                <w:szCs w:val="20"/>
              </w:rPr>
            </w:pPr>
            <w:r w:rsidRPr="00FA1E16">
              <w:rPr>
                <w:rFonts w:asciiTheme="majorHAnsi" w:eastAsia="Times New Roman" w:hAnsiTheme="majorHAnsi" w:cstheme="majorHAnsi"/>
                <w:sz w:val="20"/>
                <w:szCs w:val="20"/>
                <w:lang w:val="en-US"/>
              </w:rPr>
              <w:t>Objetivos do Incidente</w:t>
            </w:r>
          </w:p>
        </w:tc>
        <w:tc>
          <w:tcPr>
            <w:tcW w:w="2028" w:type="pct"/>
          </w:tcPr>
          <w:p w14:paraId="1A00A2EF" w14:textId="77777777" w:rsidR="00137ECB" w:rsidRPr="00FA1E16" w:rsidRDefault="00137ECB" w:rsidP="00FA1E16">
            <w:pPr>
              <w:keepNext/>
              <w:keepLines/>
              <w:spacing w:before="0" w:line="240" w:lineRule="auto"/>
              <w:jc w:val="left"/>
              <w:rPr>
                <w:rFonts w:asciiTheme="majorHAnsi" w:hAnsiTheme="majorHAnsi"/>
                <w:color w:val="000000"/>
                <w:sz w:val="20"/>
                <w:szCs w:val="20"/>
              </w:rPr>
            </w:pPr>
            <w:r w:rsidRPr="00FA1E16">
              <w:rPr>
                <w:rFonts w:asciiTheme="majorHAnsi" w:eastAsia="Times New Roman" w:hAnsiTheme="majorHAnsi" w:cstheme="majorHAnsi"/>
                <w:sz w:val="20"/>
                <w:szCs w:val="20"/>
              </w:rPr>
              <w:t>Chefe da Seção de Planejamento (PSC)</w:t>
            </w:r>
          </w:p>
        </w:tc>
      </w:tr>
      <w:tr w:rsidR="00137ECB" w:rsidRPr="00FA1E16" w14:paraId="387BCEAC" w14:textId="77777777" w:rsidTr="00953C7D">
        <w:trPr>
          <w:cnfStyle w:val="000000010000" w:firstRow="0" w:lastRow="0" w:firstColumn="0" w:lastColumn="0" w:oddVBand="0" w:evenVBand="0" w:oddHBand="0" w:evenHBand="1" w:firstRowFirstColumn="0" w:firstRowLastColumn="0" w:lastRowFirstColumn="0" w:lastRowLastColumn="0"/>
          <w:trHeight w:val="680"/>
        </w:trPr>
        <w:tc>
          <w:tcPr>
            <w:tcW w:w="1060" w:type="pct"/>
          </w:tcPr>
          <w:p w14:paraId="741B0B95" w14:textId="77777777" w:rsidR="00137ECB" w:rsidRPr="00FA1E16" w:rsidRDefault="00137ECB" w:rsidP="00FA1E16">
            <w:pPr>
              <w:keepLines/>
              <w:spacing w:before="0" w:line="240" w:lineRule="auto"/>
              <w:jc w:val="left"/>
              <w:rPr>
                <w:rFonts w:asciiTheme="majorHAnsi" w:hAnsiTheme="majorHAnsi"/>
                <w:b/>
                <w:color w:val="000000"/>
                <w:sz w:val="20"/>
                <w:szCs w:val="20"/>
              </w:rPr>
            </w:pPr>
            <w:r w:rsidRPr="00FA1E16">
              <w:rPr>
                <w:rFonts w:asciiTheme="majorHAnsi" w:hAnsiTheme="majorHAnsi" w:cstheme="majorHAnsi"/>
                <w:b/>
                <w:sz w:val="20"/>
                <w:szCs w:val="20"/>
              </w:rPr>
              <w:t>203 (ou 207)</w:t>
            </w:r>
          </w:p>
        </w:tc>
        <w:tc>
          <w:tcPr>
            <w:tcW w:w="1912" w:type="pct"/>
          </w:tcPr>
          <w:p w14:paraId="4C9856A1"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Estrutura Organizacional do Incidente</w:t>
            </w:r>
          </w:p>
        </w:tc>
        <w:tc>
          <w:tcPr>
            <w:tcW w:w="2028" w:type="pct"/>
          </w:tcPr>
          <w:p w14:paraId="0B402FF0"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Líder da Unidade de Recursos (RUL)</w:t>
            </w:r>
          </w:p>
        </w:tc>
      </w:tr>
      <w:tr w:rsidR="00137ECB" w:rsidRPr="00FA1E16" w14:paraId="618890C0" w14:textId="77777777" w:rsidTr="00953C7D">
        <w:trPr>
          <w:cnfStyle w:val="000000100000" w:firstRow="0" w:lastRow="0" w:firstColumn="0" w:lastColumn="0" w:oddVBand="0" w:evenVBand="0" w:oddHBand="1" w:evenHBand="0" w:firstRowFirstColumn="0" w:firstRowLastColumn="0" w:lastRowFirstColumn="0" w:lastRowLastColumn="0"/>
          <w:trHeight w:val="680"/>
        </w:trPr>
        <w:tc>
          <w:tcPr>
            <w:tcW w:w="1060" w:type="pct"/>
          </w:tcPr>
          <w:p w14:paraId="00B47714" w14:textId="77777777" w:rsidR="00137ECB" w:rsidRPr="00FA1E16" w:rsidRDefault="00137ECB" w:rsidP="00FA1E16">
            <w:pPr>
              <w:keepLines/>
              <w:spacing w:before="0" w:line="240" w:lineRule="auto"/>
              <w:jc w:val="left"/>
              <w:rPr>
                <w:rFonts w:asciiTheme="majorHAnsi" w:hAnsiTheme="majorHAnsi"/>
                <w:b/>
                <w:color w:val="000000"/>
                <w:sz w:val="20"/>
                <w:szCs w:val="20"/>
              </w:rPr>
            </w:pPr>
            <w:r w:rsidRPr="00FA1E16">
              <w:rPr>
                <w:rFonts w:asciiTheme="majorHAnsi" w:hAnsiTheme="majorHAnsi" w:cstheme="majorHAnsi"/>
                <w:b/>
                <w:sz w:val="20"/>
                <w:szCs w:val="20"/>
              </w:rPr>
              <w:t>204</w:t>
            </w:r>
          </w:p>
        </w:tc>
        <w:tc>
          <w:tcPr>
            <w:tcW w:w="1912" w:type="pct"/>
          </w:tcPr>
          <w:p w14:paraId="2648DE88"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Atribuições de Ações</w:t>
            </w:r>
          </w:p>
        </w:tc>
        <w:tc>
          <w:tcPr>
            <w:tcW w:w="2028" w:type="pct"/>
          </w:tcPr>
          <w:p w14:paraId="548DDDF3"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Líder da Unidade de Recursos &amp; Chefe da Seção de Operações (OSC)</w:t>
            </w:r>
          </w:p>
        </w:tc>
      </w:tr>
      <w:tr w:rsidR="00137ECB" w:rsidRPr="00FA1E16" w14:paraId="34293BA3" w14:textId="77777777" w:rsidTr="00953C7D">
        <w:trPr>
          <w:cnfStyle w:val="000000010000" w:firstRow="0" w:lastRow="0" w:firstColumn="0" w:lastColumn="0" w:oddVBand="0" w:evenVBand="0" w:oddHBand="0" w:evenHBand="1" w:firstRowFirstColumn="0" w:firstRowLastColumn="0" w:lastRowFirstColumn="0" w:lastRowLastColumn="0"/>
          <w:trHeight w:val="680"/>
        </w:trPr>
        <w:tc>
          <w:tcPr>
            <w:tcW w:w="1060" w:type="pct"/>
          </w:tcPr>
          <w:p w14:paraId="4F25F343" w14:textId="77777777" w:rsidR="00137ECB" w:rsidRPr="00FA1E16" w:rsidRDefault="00137ECB" w:rsidP="00FA1E16">
            <w:pPr>
              <w:keepLines/>
              <w:spacing w:before="0" w:line="240" w:lineRule="auto"/>
              <w:jc w:val="left"/>
              <w:rPr>
                <w:rFonts w:asciiTheme="majorHAnsi" w:hAnsiTheme="majorHAnsi"/>
                <w:b/>
                <w:color w:val="000000"/>
                <w:sz w:val="20"/>
                <w:szCs w:val="20"/>
              </w:rPr>
            </w:pPr>
            <w:r w:rsidRPr="00FA1E16">
              <w:rPr>
                <w:rFonts w:asciiTheme="majorHAnsi" w:hAnsiTheme="majorHAnsi" w:cstheme="majorHAnsi"/>
                <w:b/>
                <w:sz w:val="20"/>
                <w:szCs w:val="20"/>
              </w:rPr>
              <w:t>205</w:t>
            </w:r>
          </w:p>
        </w:tc>
        <w:tc>
          <w:tcPr>
            <w:tcW w:w="1912" w:type="pct"/>
          </w:tcPr>
          <w:p w14:paraId="7DF21F30"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Atribuições de Comunicações</w:t>
            </w:r>
          </w:p>
        </w:tc>
        <w:tc>
          <w:tcPr>
            <w:tcW w:w="2028" w:type="pct"/>
          </w:tcPr>
          <w:p w14:paraId="4CA36A13"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Líder da Unidade de Comunicações</w:t>
            </w:r>
          </w:p>
        </w:tc>
      </w:tr>
      <w:tr w:rsidR="00137ECB" w:rsidRPr="00FA1E16" w14:paraId="72BE35C3" w14:textId="77777777" w:rsidTr="00953C7D">
        <w:trPr>
          <w:cnfStyle w:val="000000100000" w:firstRow="0" w:lastRow="0" w:firstColumn="0" w:lastColumn="0" w:oddVBand="0" w:evenVBand="0" w:oddHBand="1" w:evenHBand="0" w:firstRowFirstColumn="0" w:firstRowLastColumn="0" w:lastRowFirstColumn="0" w:lastRowLastColumn="0"/>
          <w:trHeight w:val="680"/>
        </w:trPr>
        <w:tc>
          <w:tcPr>
            <w:tcW w:w="1060" w:type="pct"/>
          </w:tcPr>
          <w:p w14:paraId="2CE1A2CC" w14:textId="77777777" w:rsidR="00137ECB" w:rsidRPr="00FA1E16" w:rsidRDefault="00137ECB" w:rsidP="00FA1E16">
            <w:pPr>
              <w:keepLines/>
              <w:spacing w:before="0" w:line="240" w:lineRule="auto"/>
              <w:jc w:val="left"/>
              <w:rPr>
                <w:rFonts w:asciiTheme="majorHAnsi" w:hAnsiTheme="majorHAnsi"/>
                <w:b/>
                <w:color w:val="000000"/>
                <w:sz w:val="20"/>
                <w:szCs w:val="20"/>
              </w:rPr>
            </w:pPr>
            <w:r w:rsidRPr="00FA1E16">
              <w:rPr>
                <w:rFonts w:asciiTheme="majorHAnsi" w:hAnsiTheme="majorHAnsi" w:cstheme="majorHAnsi"/>
                <w:b/>
                <w:sz w:val="20"/>
                <w:szCs w:val="20"/>
              </w:rPr>
              <w:t>206</w:t>
            </w:r>
          </w:p>
        </w:tc>
        <w:tc>
          <w:tcPr>
            <w:tcW w:w="1912" w:type="pct"/>
          </w:tcPr>
          <w:p w14:paraId="672F49FE"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Plano Médico</w:t>
            </w:r>
          </w:p>
        </w:tc>
        <w:tc>
          <w:tcPr>
            <w:tcW w:w="2028" w:type="pct"/>
          </w:tcPr>
          <w:p w14:paraId="1C3685F8"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Líder da Unidade Médica</w:t>
            </w:r>
          </w:p>
        </w:tc>
      </w:tr>
      <w:tr w:rsidR="00137ECB" w:rsidRPr="00FA1E16" w14:paraId="7672A918" w14:textId="77777777" w:rsidTr="00953C7D">
        <w:trPr>
          <w:cnfStyle w:val="000000010000" w:firstRow="0" w:lastRow="0" w:firstColumn="0" w:lastColumn="0" w:oddVBand="0" w:evenVBand="0" w:oddHBand="0" w:evenHBand="1" w:firstRowFirstColumn="0" w:firstRowLastColumn="0" w:lastRowFirstColumn="0" w:lastRowLastColumn="0"/>
          <w:trHeight w:val="680"/>
        </w:trPr>
        <w:tc>
          <w:tcPr>
            <w:tcW w:w="1060" w:type="pct"/>
          </w:tcPr>
          <w:p w14:paraId="06215C4D" w14:textId="77777777" w:rsidR="00137ECB" w:rsidRPr="00FA1E16" w:rsidRDefault="00137ECB" w:rsidP="00FA1E16">
            <w:pPr>
              <w:keepLines/>
              <w:spacing w:before="0" w:line="240" w:lineRule="auto"/>
              <w:jc w:val="left"/>
              <w:rPr>
                <w:rFonts w:asciiTheme="majorHAnsi" w:hAnsiTheme="majorHAnsi"/>
                <w:b/>
                <w:color w:val="000000"/>
                <w:sz w:val="20"/>
                <w:szCs w:val="20"/>
              </w:rPr>
            </w:pPr>
            <w:r w:rsidRPr="00FA1E16">
              <w:rPr>
                <w:rFonts w:asciiTheme="majorHAnsi" w:hAnsiTheme="majorHAnsi" w:cstheme="majorHAnsi"/>
                <w:b/>
                <w:sz w:val="20"/>
                <w:szCs w:val="20"/>
              </w:rPr>
              <w:t>208</w:t>
            </w:r>
          </w:p>
        </w:tc>
        <w:tc>
          <w:tcPr>
            <w:tcW w:w="1912" w:type="pct"/>
          </w:tcPr>
          <w:p w14:paraId="48DE9D29"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Plano de Segurança da Unidade Operacional</w:t>
            </w:r>
          </w:p>
        </w:tc>
        <w:tc>
          <w:tcPr>
            <w:tcW w:w="2028" w:type="pct"/>
          </w:tcPr>
          <w:p w14:paraId="1F4007A9"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Oficial de Segurança (SOFR)</w:t>
            </w:r>
          </w:p>
        </w:tc>
      </w:tr>
      <w:tr w:rsidR="00137ECB" w:rsidRPr="00FA1E16" w14:paraId="06B2EB26" w14:textId="77777777" w:rsidTr="00953C7D">
        <w:trPr>
          <w:cnfStyle w:val="000000100000" w:firstRow="0" w:lastRow="0" w:firstColumn="0" w:lastColumn="0" w:oddVBand="0" w:evenVBand="0" w:oddHBand="1" w:evenHBand="0" w:firstRowFirstColumn="0" w:firstRowLastColumn="0" w:lastRowFirstColumn="0" w:lastRowLastColumn="0"/>
          <w:trHeight w:val="680"/>
        </w:trPr>
        <w:tc>
          <w:tcPr>
            <w:tcW w:w="1060" w:type="pct"/>
          </w:tcPr>
          <w:p w14:paraId="27CE0198" w14:textId="77777777" w:rsidR="00137ECB" w:rsidRPr="00FA1E16" w:rsidRDefault="00137ECB" w:rsidP="00FA1E16">
            <w:pPr>
              <w:keepLines/>
              <w:spacing w:before="0" w:line="240" w:lineRule="auto"/>
              <w:jc w:val="left"/>
              <w:rPr>
                <w:rFonts w:asciiTheme="majorHAnsi" w:hAnsiTheme="majorHAnsi"/>
                <w:b/>
                <w:color w:val="000000"/>
                <w:sz w:val="20"/>
                <w:szCs w:val="20"/>
              </w:rPr>
            </w:pPr>
            <w:r w:rsidRPr="00FA1E16">
              <w:rPr>
                <w:rFonts w:asciiTheme="majorHAnsi" w:hAnsiTheme="majorHAnsi" w:cstheme="majorHAnsi"/>
                <w:b/>
                <w:sz w:val="20"/>
                <w:szCs w:val="20"/>
              </w:rPr>
              <w:t>209</w:t>
            </w:r>
          </w:p>
        </w:tc>
        <w:tc>
          <w:tcPr>
            <w:tcW w:w="1912" w:type="pct"/>
          </w:tcPr>
          <w:p w14:paraId="251FF212"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Resumo do Estágio do Incidente</w:t>
            </w:r>
          </w:p>
        </w:tc>
        <w:tc>
          <w:tcPr>
            <w:tcW w:w="2028" w:type="pct"/>
          </w:tcPr>
          <w:p w14:paraId="55966BD0"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Líder da Unidade de Situação (SUL)</w:t>
            </w:r>
          </w:p>
        </w:tc>
      </w:tr>
      <w:tr w:rsidR="00137ECB" w:rsidRPr="00FA1E16" w14:paraId="4F31EEFF" w14:textId="77777777" w:rsidTr="00953C7D">
        <w:trPr>
          <w:cnfStyle w:val="000000010000" w:firstRow="0" w:lastRow="0" w:firstColumn="0" w:lastColumn="0" w:oddVBand="0" w:evenVBand="0" w:oddHBand="0" w:evenHBand="1" w:firstRowFirstColumn="0" w:firstRowLastColumn="0" w:lastRowFirstColumn="0" w:lastRowLastColumn="0"/>
          <w:trHeight w:val="680"/>
        </w:trPr>
        <w:tc>
          <w:tcPr>
            <w:tcW w:w="1060" w:type="pct"/>
          </w:tcPr>
          <w:p w14:paraId="18F3C974" w14:textId="77777777" w:rsidR="00137ECB" w:rsidRPr="00FA1E16" w:rsidRDefault="00137ECB" w:rsidP="00FA1E16">
            <w:pPr>
              <w:keepLines/>
              <w:spacing w:before="0" w:line="240" w:lineRule="auto"/>
              <w:jc w:val="left"/>
              <w:rPr>
                <w:rFonts w:asciiTheme="majorHAnsi" w:hAnsiTheme="majorHAnsi" w:cstheme="majorHAnsi"/>
                <w:b/>
                <w:sz w:val="20"/>
                <w:szCs w:val="20"/>
              </w:rPr>
            </w:pPr>
            <w:r w:rsidRPr="00FA1E16">
              <w:rPr>
                <w:rFonts w:asciiTheme="majorHAnsi" w:hAnsiTheme="majorHAnsi" w:cstheme="majorHAnsi"/>
                <w:b/>
                <w:sz w:val="20"/>
                <w:szCs w:val="20"/>
              </w:rPr>
              <w:t>211</w:t>
            </w:r>
          </w:p>
        </w:tc>
        <w:tc>
          <w:tcPr>
            <w:tcW w:w="1912" w:type="pct"/>
          </w:tcPr>
          <w:p w14:paraId="5B8426E7" w14:textId="77777777" w:rsidR="00137ECB" w:rsidRPr="00FA1E16" w:rsidRDefault="00137ECB" w:rsidP="00FA1E16">
            <w:pPr>
              <w:keepLines/>
              <w:spacing w:before="0" w:line="240" w:lineRule="auto"/>
              <w:jc w:val="left"/>
              <w:rPr>
                <w:rFonts w:asciiTheme="majorHAnsi" w:hAnsiTheme="majorHAnsi" w:cstheme="majorHAnsi"/>
                <w:sz w:val="20"/>
                <w:szCs w:val="20"/>
                <w:lang w:val="en-US"/>
              </w:rPr>
            </w:pPr>
            <w:r w:rsidRPr="00FA1E16">
              <w:rPr>
                <w:rFonts w:asciiTheme="majorHAnsi" w:hAnsiTheme="majorHAnsi" w:cstheme="majorHAnsi"/>
                <w:sz w:val="20"/>
                <w:szCs w:val="20"/>
                <w:lang w:val="en-US"/>
              </w:rPr>
              <w:t>Controle de Check-in/out</w:t>
            </w:r>
          </w:p>
        </w:tc>
        <w:tc>
          <w:tcPr>
            <w:tcW w:w="2028" w:type="pct"/>
          </w:tcPr>
          <w:p w14:paraId="77D55BDC" w14:textId="77777777" w:rsidR="00137ECB" w:rsidRPr="00FA1E16" w:rsidRDefault="00137ECB" w:rsidP="00FA1E16">
            <w:pPr>
              <w:keepLines/>
              <w:spacing w:before="0" w:line="240" w:lineRule="auto"/>
              <w:jc w:val="left"/>
              <w:rPr>
                <w:rFonts w:asciiTheme="majorHAnsi" w:hAnsiTheme="majorHAnsi" w:cstheme="majorHAnsi"/>
                <w:sz w:val="20"/>
                <w:szCs w:val="20"/>
              </w:rPr>
            </w:pPr>
            <w:r w:rsidRPr="00FA1E16">
              <w:rPr>
                <w:rFonts w:asciiTheme="majorHAnsi" w:hAnsiTheme="majorHAnsi" w:cstheme="majorHAnsi"/>
                <w:sz w:val="20"/>
                <w:szCs w:val="20"/>
              </w:rPr>
              <w:t>Líder da Unidade de Recursos (RUL)</w:t>
            </w:r>
          </w:p>
        </w:tc>
      </w:tr>
      <w:tr w:rsidR="00137ECB" w:rsidRPr="00FA1E16" w14:paraId="0A076B36" w14:textId="77777777" w:rsidTr="00953C7D">
        <w:trPr>
          <w:cnfStyle w:val="000000100000" w:firstRow="0" w:lastRow="0" w:firstColumn="0" w:lastColumn="0" w:oddVBand="0" w:evenVBand="0" w:oddHBand="1" w:evenHBand="0" w:firstRowFirstColumn="0" w:firstRowLastColumn="0" w:lastRowFirstColumn="0" w:lastRowLastColumn="0"/>
          <w:trHeight w:val="680"/>
        </w:trPr>
        <w:tc>
          <w:tcPr>
            <w:tcW w:w="1060" w:type="pct"/>
          </w:tcPr>
          <w:p w14:paraId="49AA9204" w14:textId="77777777" w:rsidR="00137ECB" w:rsidRPr="00FA1E16" w:rsidRDefault="00137ECB" w:rsidP="00FA1E16">
            <w:pPr>
              <w:keepLines/>
              <w:spacing w:before="0" w:line="240" w:lineRule="auto"/>
              <w:jc w:val="left"/>
              <w:rPr>
                <w:rFonts w:asciiTheme="majorHAnsi" w:hAnsiTheme="majorHAnsi"/>
                <w:b/>
                <w:color w:val="000000"/>
                <w:sz w:val="20"/>
                <w:szCs w:val="20"/>
              </w:rPr>
            </w:pPr>
            <w:r w:rsidRPr="00FA1E16">
              <w:rPr>
                <w:rFonts w:asciiTheme="majorHAnsi" w:hAnsiTheme="majorHAnsi" w:cstheme="majorHAnsi"/>
                <w:b/>
                <w:sz w:val="20"/>
                <w:szCs w:val="20"/>
              </w:rPr>
              <w:t>214</w:t>
            </w:r>
          </w:p>
        </w:tc>
        <w:tc>
          <w:tcPr>
            <w:tcW w:w="1912" w:type="pct"/>
          </w:tcPr>
          <w:p w14:paraId="2FB07414"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Registro de Ação da Unidade</w:t>
            </w:r>
            <w:r w:rsidRPr="00FA1E16">
              <w:rPr>
                <w:rFonts w:asciiTheme="majorHAnsi" w:hAnsiTheme="majorHAnsi" w:cstheme="majorHAnsi"/>
                <w:sz w:val="20"/>
                <w:szCs w:val="20"/>
                <w:vertAlign w:val="superscript"/>
              </w:rPr>
              <w:t>1</w:t>
            </w:r>
          </w:p>
        </w:tc>
        <w:tc>
          <w:tcPr>
            <w:tcW w:w="2028" w:type="pct"/>
          </w:tcPr>
          <w:p w14:paraId="1F61E7D4"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Todas as Seções e Unidades</w:t>
            </w:r>
          </w:p>
        </w:tc>
      </w:tr>
      <w:tr w:rsidR="00137ECB" w:rsidRPr="00FA1E16" w14:paraId="72DAE192" w14:textId="77777777" w:rsidTr="00953C7D">
        <w:trPr>
          <w:cnfStyle w:val="000000010000" w:firstRow="0" w:lastRow="0" w:firstColumn="0" w:lastColumn="0" w:oddVBand="0" w:evenVBand="0" w:oddHBand="0" w:evenHBand="1" w:firstRowFirstColumn="0" w:firstRowLastColumn="0" w:lastRowFirstColumn="0" w:lastRowLastColumn="0"/>
          <w:trHeight w:val="680"/>
        </w:trPr>
        <w:tc>
          <w:tcPr>
            <w:tcW w:w="1060" w:type="pct"/>
          </w:tcPr>
          <w:p w14:paraId="59A8BD20" w14:textId="77777777" w:rsidR="00137ECB" w:rsidRPr="00FA1E16" w:rsidRDefault="00137ECB" w:rsidP="00FA1E16">
            <w:pPr>
              <w:keepLines/>
              <w:spacing w:before="0" w:line="240" w:lineRule="auto"/>
              <w:jc w:val="left"/>
              <w:rPr>
                <w:rFonts w:asciiTheme="majorHAnsi" w:hAnsiTheme="majorHAnsi"/>
                <w:b/>
                <w:color w:val="000000"/>
                <w:sz w:val="20"/>
                <w:szCs w:val="20"/>
              </w:rPr>
            </w:pPr>
            <w:r w:rsidRPr="00FA1E16">
              <w:rPr>
                <w:rFonts w:asciiTheme="majorHAnsi" w:hAnsiTheme="majorHAnsi" w:cstheme="majorHAnsi"/>
                <w:b/>
                <w:sz w:val="20"/>
                <w:szCs w:val="20"/>
              </w:rPr>
              <w:t>215</w:t>
            </w:r>
          </w:p>
        </w:tc>
        <w:tc>
          <w:tcPr>
            <w:tcW w:w="1912" w:type="pct"/>
          </w:tcPr>
          <w:p w14:paraId="396C4B8B"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Planilha Operacional de Planejamento</w:t>
            </w:r>
          </w:p>
        </w:tc>
        <w:tc>
          <w:tcPr>
            <w:tcW w:w="2028" w:type="pct"/>
          </w:tcPr>
          <w:p w14:paraId="0A9AE1F3"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Chefe da Seção de Operações (OSC)</w:t>
            </w:r>
          </w:p>
        </w:tc>
      </w:tr>
      <w:tr w:rsidR="00137ECB" w:rsidRPr="00FA1E16" w14:paraId="0D1785BD" w14:textId="77777777" w:rsidTr="00953C7D">
        <w:trPr>
          <w:cnfStyle w:val="000000100000" w:firstRow="0" w:lastRow="0" w:firstColumn="0" w:lastColumn="0" w:oddVBand="0" w:evenVBand="0" w:oddHBand="1" w:evenHBand="0" w:firstRowFirstColumn="0" w:firstRowLastColumn="0" w:lastRowFirstColumn="0" w:lastRowLastColumn="0"/>
          <w:trHeight w:val="680"/>
        </w:trPr>
        <w:tc>
          <w:tcPr>
            <w:tcW w:w="1060" w:type="pct"/>
          </w:tcPr>
          <w:p w14:paraId="520C8404" w14:textId="77777777" w:rsidR="00137ECB" w:rsidRPr="00FA1E16" w:rsidRDefault="00137ECB" w:rsidP="00FA1E16">
            <w:pPr>
              <w:keepLines/>
              <w:spacing w:before="0" w:line="240" w:lineRule="auto"/>
              <w:jc w:val="left"/>
              <w:rPr>
                <w:rFonts w:asciiTheme="majorHAnsi" w:hAnsiTheme="majorHAnsi"/>
                <w:b/>
                <w:color w:val="000000"/>
                <w:sz w:val="20"/>
                <w:szCs w:val="20"/>
              </w:rPr>
            </w:pPr>
            <w:r w:rsidRPr="00FA1E16">
              <w:rPr>
                <w:rFonts w:asciiTheme="majorHAnsi" w:hAnsiTheme="majorHAnsi" w:cstheme="majorHAnsi"/>
                <w:b/>
                <w:sz w:val="20"/>
                <w:szCs w:val="20"/>
              </w:rPr>
              <w:t>215A [CG]</w:t>
            </w:r>
          </w:p>
        </w:tc>
        <w:tc>
          <w:tcPr>
            <w:tcW w:w="1912" w:type="pct"/>
          </w:tcPr>
          <w:p w14:paraId="45316F89"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Análise de dos Aspectos de Segurança – Planilha Analítica de Riscos e Perigos</w:t>
            </w:r>
          </w:p>
        </w:tc>
        <w:tc>
          <w:tcPr>
            <w:tcW w:w="2028" w:type="pct"/>
          </w:tcPr>
          <w:p w14:paraId="1490ABB2"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Oficial de Segurança (SOFR)</w:t>
            </w:r>
          </w:p>
        </w:tc>
      </w:tr>
      <w:tr w:rsidR="00137ECB" w:rsidRPr="00FA1E16" w14:paraId="62749F8F" w14:textId="77777777" w:rsidTr="00953C7D">
        <w:trPr>
          <w:cnfStyle w:val="000000010000" w:firstRow="0" w:lastRow="0" w:firstColumn="0" w:lastColumn="0" w:oddVBand="0" w:evenVBand="0" w:oddHBand="0" w:evenHBand="1" w:firstRowFirstColumn="0" w:firstRowLastColumn="0" w:lastRowFirstColumn="0" w:lastRowLastColumn="0"/>
          <w:trHeight w:val="680"/>
        </w:trPr>
        <w:tc>
          <w:tcPr>
            <w:tcW w:w="1060" w:type="pct"/>
          </w:tcPr>
          <w:p w14:paraId="5A724E5E" w14:textId="77777777" w:rsidR="00137ECB" w:rsidRPr="00FA1E16" w:rsidRDefault="00137ECB" w:rsidP="00FA1E16">
            <w:pPr>
              <w:keepLines/>
              <w:spacing w:before="0" w:line="240" w:lineRule="auto"/>
              <w:jc w:val="left"/>
              <w:rPr>
                <w:rFonts w:asciiTheme="majorHAnsi" w:hAnsiTheme="majorHAnsi"/>
                <w:b/>
                <w:color w:val="000000"/>
                <w:sz w:val="20"/>
                <w:szCs w:val="20"/>
              </w:rPr>
            </w:pPr>
            <w:r w:rsidRPr="00FA1E16">
              <w:rPr>
                <w:rFonts w:asciiTheme="majorHAnsi" w:hAnsiTheme="majorHAnsi" w:cstheme="majorHAnsi"/>
                <w:b/>
                <w:sz w:val="20"/>
                <w:szCs w:val="20"/>
              </w:rPr>
              <w:lastRenderedPageBreak/>
              <w:t>220</w:t>
            </w:r>
          </w:p>
        </w:tc>
        <w:tc>
          <w:tcPr>
            <w:tcW w:w="1912" w:type="pct"/>
          </w:tcPr>
          <w:p w14:paraId="6E355A84"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Planilha de Resumo das Operações Aéreas</w:t>
            </w:r>
          </w:p>
        </w:tc>
        <w:tc>
          <w:tcPr>
            <w:tcW w:w="2028" w:type="pct"/>
          </w:tcPr>
          <w:p w14:paraId="0FDE6926"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Chefe da Seção de Operações ou Gerente das Operações Aéreas</w:t>
            </w:r>
          </w:p>
        </w:tc>
      </w:tr>
      <w:tr w:rsidR="00137ECB" w:rsidRPr="00FA1E16" w14:paraId="6C8B1845" w14:textId="77777777" w:rsidTr="00953C7D">
        <w:trPr>
          <w:cnfStyle w:val="000000100000" w:firstRow="0" w:lastRow="0" w:firstColumn="0" w:lastColumn="0" w:oddVBand="0" w:evenVBand="0" w:oddHBand="1" w:evenHBand="0" w:firstRowFirstColumn="0" w:firstRowLastColumn="0" w:lastRowFirstColumn="0" w:lastRowLastColumn="0"/>
          <w:trHeight w:val="680"/>
        </w:trPr>
        <w:tc>
          <w:tcPr>
            <w:tcW w:w="1060" w:type="pct"/>
          </w:tcPr>
          <w:p w14:paraId="2F1A191A" w14:textId="77777777" w:rsidR="00137ECB" w:rsidRPr="00FA1E16" w:rsidRDefault="00137ECB" w:rsidP="00FA1E16">
            <w:pPr>
              <w:keepLines/>
              <w:spacing w:before="0" w:line="240" w:lineRule="auto"/>
              <w:jc w:val="left"/>
              <w:rPr>
                <w:rFonts w:asciiTheme="majorHAnsi" w:hAnsiTheme="majorHAnsi" w:cstheme="majorHAnsi"/>
                <w:b/>
                <w:sz w:val="20"/>
                <w:szCs w:val="20"/>
              </w:rPr>
            </w:pPr>
            <w:r w:rsidRPr="00FA1E16">
              <w:rPr>
                <w:rFonts w:asciiTheme="majorHAnsi" w:hAnsiTheme="majorHAnsi" w:cstheme="majorHAnsi"/>
                <w:b/>
                <w:sz w:val="20"/>
                <w:szCs w:val="20"/>
              </w:rPr>
              <w:t>230</w:t>
            </w:r>
          </w:p>
        </w:tc>
        <w:tc>
          <w:tcPr>
            <w:tcW w:w="1912" w:type="pct"/>
          </w:tcPr>
          <w:p w14:paraId="1741C05B" w14:textId="77777777" w:rsidR="00137ECB" w:rsidRPr="00FA1E16" w:rsidRDefault="00137ECB" w:rsidP="00FA1E16">
            <w:pPr>
              <w:keepLines/>
              <w:spacing w:before="0" w:line="240" w:lineRule="auto"/>
              <w:jc w:val="left"/>
              <w:rPr>
                <w:rFonts w:asciiTheme="majorHAnsi" w:hAnsiTheme="majorHAnsi" w:cstheme="majorHAnsi"/>
                <w:sz w:val="20"/>
                <w:szCs w:val="20"/>
              </w:rPr>
            </w:pPr>
            <w:r w:rsidRPr="00FA1E16">
              <w:rPr>
                <w:rFonts w:asciiTheme="majorHAnsi" w:hAnsiTheme="majorHAnsi" w:cstheme="majorHAnsi"/>
                <w:sz w:val="20"/>
                <w:szCs w:val="20"/>
              </w:rPr>
              <w:t>Agenda de Reuniões</w:t>
            </w:r>
          </w:p>
        </w:tc>
        <w:tc>
          <w:tcPr>
            <w:tcW w:w="2028" w:type="pct"/>
          </w:tcPr>
          <w:p w14:paraId="507D2897" w14:textId="77777777" w:rsidR="00137ECB" w:rsidRPr="00FA1E16" w:rsidRDefault="00137ECB" w:rsidP="00FA1E16">
            <w:pPr>
              <w:keepLines/>
              <w:spacing w:before="0" w:line="240" w:lineRule="auto"/>
              <w:jc w:val="left"/>
              <w:rPr>
                <w:rFonts w:asciiTheme="majorHAnsi" w:hAnsiTheme="majorHAnsi" w:cstheme="majorHAnsi"/>
                <w:sz w:val="20"/>
                <w:szCs w:val="20"/>
              </w:rPr>
            </w:pPr>
            <w:r w:rsidRPr="00FA1E16">
              <w:rPr>
                <w:rFonts w:asciiTheme="majorHAnsi" w:hAnsiTheme="majorHAnsi" w:cstheme="majorHAnsi"/>
                <w:sz w:val="20"/>
                <w:szCs w:val="20"/>
              </w:rPr>
              <w:t>Líder da Unidade de Situação (SUL)</w:t>
            </w:r>
          </w:p>
        </w:tc>
      </w:tr>
      <w:tr w:rsidR="00137ECB" w:rsidRPr="00FA1E16" w14:paraId="5CA63E12" w14:textId="77777777" w:rsidTr="00953C7D">
        <w:trPr>
          <w:cnfStyle w:val="000000010000" w:firstRow="0" w:lastRow="0" w:firstColumn="0" w:lastColumn="0" w:oddVBand="0" w:evenVBand="0" w:oddHBand="0" w:evenHBand="1" w:firstRowFirstColumn="0" w:firstRowLastColumn="0" w:lastRowFirstColumn="0" w:lastRowLastColumn="0"/>
          <w:trHeight w:val="680"/>
        </w:trPr>
        <w:tc>
          <w:tcPr>
            <w:tcW w:w="1060" w:type="pct"/>
          </w:tcPr>
          <w:p w14:paraId="2F2F1317" w14:textId="77777777" w:rsidR="00137ECB" w:rsidRPr="00FA1E16" w:rsidRDefault="00137ECB" w:rsidP="00FA1E16">
            <w:pPr>
              <w:keepLines/>
              <w:spacing w:before="0" w:line="240" w:lineRule="auto"/>
              <w:jc w:val="left"/>
              <w:rPr>
                <w:rFonts w:asciiTheme="majorHAnsi" w:hAnsiTheme="majorHAnsi"/>
                <w:b/>
                <w:color w:val="000000"/>
                <w:sz w:val="20"/>
                <w:szCs w:val="20"/>
              </w:rPr>
            </w:pPr>
            <w:r w:rsidRPr="00FA1E16">
              <w:rPr>
                <w:rFonts w:asciiTheme="majorHAnsi" w:hAnsiTheme="majorHAnsi" w:cstheme="majorHAnsi"/>
                <w:b/>
                <w:sz w:val="20"/>
                <w:szCs w:val="20"/>
              </w:rPr>
              <w:t>232</w:t>
            </w:r>
          </w:p>
        </w:tc>
        <w:tc>
          <w:tcPr>
            <w:tcW w:w="1912" w:type="pct"/>
          </w:tcPr>
          <w:p w14:paraId="3BFC354B"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Resumo de Recursos em Risco</w:t>
            </w:r>
          </w:p>
        </w:tc>
        <w:tc>
          <w:tcPr>
            <w:tcW w:w="2028" w:type="pct"/>
          </w:tcPr>
          <w:p w14:paraId="55955337"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Líder da Unidade de Conformidade aos Regulamentos e Meio Ambiente (RC&amp;E UL)</w:t>
            </w:r>
          </w:p>
        </w:tc>
      </w:tr>
      <w:tr w:rsidR="00137ECB" w:rsidRPr="00FA1E16" w14:paraId="584E8C66" w14:textId="77777777" w:rsidTr="00953C7D">
        <w:trPr>
          <w:cnfStyle w:val="000000100000" w:firstRow="0" w:lastRow="0" w:firstColumn="0" w:lastColumn="0" w:oddVBand="0" w:evenVBand="0" w:oddHBand="1" w:evenHBand="0" w:firstRowFirstColumn="0" w:firstRowLastColumn="0" w:lastRowFirstColumn="0" w:lastRowLastColumn="0"/>
          <w:trHeight w:val="680"/>
        </w:trPr>
        <w:tc>
          <w:tcPr>
            <w:tcW w:w="1060" w:type="pct"/>
          </w:tcPr>
          <w:p w14:paraId="70A81140" w14:textId="77777777" w:rsidR="00137ECB" w:rsidRPr="00FA1E16" w:rsidRDefault="00137ECB" w:rsidP="00FA1E16">
            <w:pPr>
              <w:keepLines/>
              <w:spacing w:before="0" w:line="240" w:lineRule="auto"/>
              <w:jc w:val="left"/>
              <w:rPr>
                <w:rFonts w:asciiTheme="majorHAnsi" w:hAnsiTheme="majorHAnsi"/>
                <w:b/>
                <w:color w:val="000000"/>
                <w:sz w:val="20"/>
                <w:szCs w:val="20"/>
              </w:rPr>
            </w:pPr>
            <w:r w:rsidRPr="00FA1E16">
              <w:rPr>
                <w:rFonts w:asciiTheme="majorHAnsi" w:hAnsiTheme="majorHAnsi" w:cstheme="majorHAnsi"/>
                <w:b/>
                <w:sz w:val="20"/>
                <w:szCs w:val="20"/>
              </w:rPr>
              <w:t>233</w:t>
            </w:r>
          </w:p>
        </w:tc>
        <w:tc>
          <w:tcPr>
            <w:tcW w:w="1912" w:type="pct"/>
          </w:tcPr>
          <w:p w14:paraId="7AAAC6D9" w14:textId="11E412E6"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Monitoramento de Ações</w:t>
            </w:r>
            <w:r w:rsidR="00656D39">
              <w:rPr>
                <w:rFonts w:asciiTheme="majorHAnsi" w:hAnsiTheme="majorHAnsi" w:cstheme="majorHAnsi"/>
                <w:sz w:val="20"/>
                <w:szCs w:val="20"/>
              </w:rPr>
              <w:t xml:space="preserve"> </w:t>
            </w:r>
            <w:r w:rsidRPr="00FA1E16">
              <w:rPr>
                <w:rFonts w:asciiTheme="majorHAnsi" w:hAnsiTheme="majorHAnsi" w:cstheme="majorHAnsi"/>
                <w:sz w:val="20"/>
                <w:szCs w:val="20"/>
              </w:rPr>
              <w:t>em Aberto</w:t>
            </w:r>
          </w:p>
        </w:tc>
        <w:tc>
          <w:tcPr>
            <w:tcW w:w="2028" w:type="pct"/>
          </w:tcPr>
          <w:p w14:paraId="049B63C1"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 xml:space="preserve">Líder da Unidade de Situação(SUL) </w:t>
            </w:r>
          </w:p>
        </w:tc>
      </w:tr>
      <w:tr w:rsidR="00137ECB" w:rsidRPr="00FA1E16" w14:paraId="180196CB" w14:textId="77777777" w:rsidTr="00953C7D">
        <w:trPr>
          <w:cnfStyle w:val="000000010000" w:firstRow="0" w:lastRow="0" w:firstColumn="0" w:lastColumn="0" w:oddVBand="0" w:evenVBand="0" w:oddHBand="0" w:evenHBand="1" w:firstRowFirstColumn="0" w:firstRowLastColumn="0" w:lastRowFirstColumn="0" w:lastRowLastColumn="0"/>
          <w:trHeight w:val="680"/>
        </w:trPr>
        <w:tc>
          <w:tcPr>
            <w:tcW w:w="1060" w:type="pct"/>
          </w:tcPr>
          <w:p w14:paraId="586D021D" w14:textId="77777777" w:rsidR="00137ECB" w:rsidRPr="00FA1E16" w:rsidRDefault="00137ECB" w:rsidP="00FA1E16">
            <w:pPr>
              <w:keepLines/>
              <w:spacing w:before="0" w:line="240" w:lineRule="auto"/>
              <w:jc w:val="left"/>
              <w:rPr>
                <w:rFonts w:asciiTheme="majorHAnsi" w:hAnsiTheme="majorHAnsi" w:cstheme="majorHAnsi"/>
                <w:b/>
                <w:sz w:val="20"/>
                <w:szCs w:val="20"/>
              </w:rPr>
            </w:pPr>
            <w:r w:rsidRPr="00FA1E16">
              <w:rPr>
                <w:rFonts w:asciiTheme="majorHAnsi" w:hAnsiTheme="majorHAnsi" w:cstheme="majorHAnsi"/>
                <w:b/>
                <w:sz w:val="20"/>
                <w:szCs w:val="20"/>
              </w:rPr>
              <w:t>234</w:t>
            </w:r>
          </w:p>
        </w:tc>
        <w:tc>
          <w:tcPr>
            <w:tcW w:w="1912" w:type="pct"/>
          </w:tcPr>
          <w:p w14:paraId="68F7034D" w14:textId="77777777" w:rsidR="00137ECB" w:rsidRPr="00FA1E16" w:rsidRDefault="00137ECB" w:rsidP="00FA1E16">
            <w:pPr>
              <w:keepLines/>
              <w:spacing w:before="0" w:line="240" w:lineRule="auto"/>
              <w:jc w:val="left"/>
              <w:rPr>
                <w:rFonts w:asciiTheme="majorHAnsi" w:hAnsiTheme="majorHAnsi" w:cstheme="majorHAnsi"/>
                <w:sz w:val="20"/>
                <w:szCs w:val="20"/>
              </w:rPr>
            </w:pPr>
            <w:r w:rsidRPr="00FA1E16">
              <w:rPr>
                <w:rFonts w:asciiTheme="majorHAnsi" w:hAnsiTheme="majorHAnsi" w:cstheme="majorHAnsi"/>
                <w:sz w:val="20"/>
                <w:szCs w:val="20"/>
              </w:rPr>
              <w:t>Matriz de Análise de Ações</w:t>
            </w:r>
          </w:p>
        </w:tc>
        <w:tc>
          <w:tcPr>
            <w:tcW w:w="2028" w:type="pct"/>
          </w:tcPr>
          <w:p w14:paraId="674688F9" w14:textId="77777777" w:rsidR="00137ECB" w:rsidRPr="00FA1E16" w:rsidRDefault="00137ECB" w:rsidP="00FA1E16">
            <w:pPr>
              <w:keepLines/>
              <w:spacing w:before="0" w:line="240" w:lineRule="auto"/>
              <w:jc w:val="left"/>
              <w:rPr>
                <w:rFonts w:asciiTheme="majorHAnsi" w:hAnsiTheme="majorHAnsi" w:cstheme="majorHAnsi"/>
                <w:sz w:val="20"/>
                <w:szCs w:val="20"/>
              </w:rPr>
            </w:pPr>
            <w:r w:rsidRPr="00FA1E16">
              <w:rPr>
                <w:rFonts w:asciiTheme="majorHAnsi" w:hAnsiTheme="majorHAnsi" w:cstheme="majorHAnsi"/>
                <w:sz w:val="20"/>
                <w:szCs w:val="20"/>
              </w:rPr>
              <w:t>Chefes das Seções de Operações e Planejamento (OSC &amp; PSC)</w:t>
            </w:r>
          </w:p>
        </w:tc>
      </w:tr>
      <w:tr w:rsidR="00137ECB" w:rsidRPr="00FA1E16" w14:paraId="534757FC" w14:textId="77777777" w:rsidTr="00FA1E16">
        <w:trPr>
          <w:cnfStyle w:val="000000100000" w:firstRow="0" w:lastRow="0" w:firstColumn="0" w:lastColumn="0" w:oddVBand="0" w:evenVBand="0" w:oddHBand="1" w:evenHBand="0" w:firstRowFirstColumn="0" w:firstRowLastColumn="0" w:lastRowFirstColumn="0" w:lastRowLastColumn="0"/>
          <w:trHeight w:val="680"/>
        </w:trPr>
        <w:tc>
          <w:tcPr>
            <w:tcW w:w="5000" w:type="pct"/>
            <w:gridSpan w:val="3"/>
            <w:shd w:val="clear" w:color="auto" w:fill="auto"/>
            <w:vAlign w:val="top"/>
          </w:tcPr>
          <w:p w14:paraId="1002B786" w14:textId="77777777" w:rsidR="00137ECB" w:rsidRPr="00FA1E16" w:rsidRDefault="00FA1E16" w:rsidP="00FA1E16">
            <w:pPr>
              <w:keepLines/>
              <w:spacing w:before="0" w:line="240" w:lineRule="auto"/>
              <w:jc w:val="left"/>
              <w:rPr>
                <w:rFonts w:asciiTheme="majorHAnsi" w:hAnsiTheme="majorHAnsi" w:cstheme="majorHAnsi"/>
                <w:sz w:val="20"/>
                <w:szCs w:val="20"/>
              </w:rPr>
            </w:pPr>
            <w:r w:rsidRPr="00FA1E16">
              <w:rPr>
                <w:rFonts w:asciiTheme="majorHAnsi" w:hAnsiTheme="majorHAnsi"/>
                <w:b/>
                <w:sz w:val="20"/>
                <w:szCs w:val="20"/>
              </w:rPr>
              <w:t>Legenda:</w:t>
            </w:r>
            <w:r w:rsidRPr="00FA1E16">
              <w:rPr>
                <w:rFonts w:asciiTheme="majorHAnsi" w:hAnsiTheme="majorHAnsi"/>
                <w:sz w:val="20"/>
                <w:szCs w:val="20"/>
              </w:rPr>
              <w:t xml:space="preserve"> </w:t>
            </w:r>
            <w:r w:rsidR="00137ECB" w:rsidRPr="00FA1E16">
              <w:rPr>
                <w:rFonts w:asciiTheme="majorHAnsi" w:hAnsiTheme="majorHAnsi"/>
                <w:sz w:val="20"/>
                <w:szCs w:val="20"/>
                <w:vertAlign w:val="superscript"/>
              </w:rPr>
              <w:t xml:space="preserve">1 </w:t>
            </w:r>
            <w:r w:rsidR="00137ECB" w:rsidRPr="00FA1E16">
              <w:rPr>
                <w:rFonts w:asciiTheme="majorHAnsi" w:hAnsiTheme="majorHAnsi"/>
                <w:sz w:val="20"/>
                <w:szCs w:val="20"/>
              </w:rPr>
              <w:t>O formulário ICS 214 – Registro da Unidade é usado para registrar todas as ações de resposta realizadas e eventos relevantes em cada equipe de resposta, seção ou unidade.</w:t>
            </w:r>
          </w:p>
        </w:tc>
      </w:tr>
    </w:tbl>
    <w:p w14:paraId="7307433F" w14:textId="77777777" w:rsidR="00137ECB" w:rsidRPr="00FA1E16" w:rsidRDefault="00137ECB"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240" w:line="360" w:lineRule="auto"/>
        <w:ind w:left="714" w:hanging="357"/>
        <w:rPr>
          <w:rFonts w:asciiTheme="majorHAnsi" w:hAnsiTheme="majorHAnsi"/>
          <w:b/>
        </w:rPr>
      </w:pPr>
      <w:r w:rsidRPr="00FA1E16">
        <w:rPr>
          <w:rFonts w:asciiTheme="majorHAnsi" w:hAnsiTheme="majorHAnsi"/>
          <w:b/>
        </w:rPr>
        <w:t>Reuniões de avaliação</w:t>
      </w:r>
    </w:p>
    <w:p w14:paraId="78ABCCE2" w14:textId="77777777" w:rsidR="00137ECB" w:rsidRDefault="00137ECB" w:rsidP="00FA1E16">
      <w:pPr>
        <w:pStyle w:val="tier1Itext"/>
      </w:pPr>
      <w:r>
        <w:t xml:space="preserve">Consistem em reuniões realizadas entre os membros da IMT, podendo envolver membros de diferentes equipes ou de uma mesma equipe/função específica. Durante a fase inicial de uma resposta a </w:t>
      </w:r>
      <w:r w:rsidRPr="00975D44">
        <w:t>incidente</w:t>
      </w:r>
      <w:r>
        <w:t xml:space="preserve"> – Fase Reativa, as reuniões de avaliação são fundamentais para apoiar o estabelecimento das operações de resposta. Elas têm como objetivo</w:t>
      </w:r>
      <w:r w:rsidRPr="007D5302">
        <w:t xml:space="preserve"> assegurar que todos os membros da </w:t>
      </w:r>
      <w:r>
        <w:t>EOR tenham acesso às informações</w:t>
      </w:r>
      <w:r w:rsidRPr="007D5302">
        <w:t xml:space="preserve"> </w:t>
      </w:r>
      <w:r>
        <w:t xml:space="preserve">críticas do incidente </w:t>
      </w:r>
      <w:r w:rsidRPr="007D5302">
        <w:t>e compreend</w:t>
      </w:r>
      <w:r>
        <w:t>a</w:t>
      </w:r>
      <w:r w:rsidRPr="007D5302">
        <w:t>m claramente as prio</w:t>
      </w:r>
      <w:r>
        <w:t>ridades, limitações, restrições e finalidades da resposta</w:t>
      </w:r>
      <w:r w:rsidRPr="007D5302">
        <w:t>.</w:t>
      </w:r>
    </w:p>
    <w:p w14:paraId="71DFE3D3" w14:textId="77777777" w:rsidR="00137ECB" w:rsidRPr="007D5302" w:rsidRDefault="00137ECB" w:rsidP="00FA1E16">
      <w:pPr>
        <w:pStyle w:val="tier1Itext"/>
      </w:pPr>
      <w:r w:rsidRPr="007D5302">
        <w:t>A frequência de realização das reuniões de avaliação deverá ser estabelecida pelas lid</w:t>
      </w:r>
      <w:r>
        <w:t xml:space="preserve">eranças de cada equipe, respeitando os protocolos de comunicação interna estabelecidos e </w:t>
      </w:r>
      <w:r w:rsidRPr="007D5302">
        <w:t xml:space="preserve">os princípios </w:t>
      </w:r>
      <w:r>
        <w:t>do</w:t>
      </w:r>
      <w:r w:rsidRPr="007D5302">
        <w:t xml:space="preserve"> ICS.</w:t>
      </w:r>
    </w:p>
    <w:p w14:paraId="3533FAE2" w14:textId="77777777" w:rsidR="00137ECB" w:rsidRDefault="00137ECB" w:rsidP="00FA1E16">
      <w:pPr>
        <w:pStyle w:val="tier1Itext"/>
      </w:pPr>
      <w:r w:rsidRPr="007D5302">
        <w:t xml:space="preserve">Havendo </w:t>
      </w:r>
      <w:r>
        <w:t xml:space="preserve">a </w:t>
      </w:r>
      <w:r w:rsidRPr="007D5302">
        <w:t xml:space="preserve">necessidade de se iniciar a </w:t>
      </w:r>
      <w:r>
        <w:t>F</w:t>
      </w:r>
      <w:r w:rsidRPr="007D5302">
        <w:t xml:space="preserve">ase </w:t>
      </w:r>
      <w:r>
        <w:t>P</w:t>
      </w:r>
      <w:r w:rsidRPr="007D5302">
        <w:t>roativa</w:t>
      </w:r>
      <w:r>
        <w:t xml:space="preserve"> da resposta</w:t>
      </w:r>
      <w:r w:rsidRPr="007D5302">
        <w:t xml:space="preserve">, as reuniões </w:t>
      </w:r>
      <w:r>
        <w:t xml:space="preserve">para definição dos objetivos, estratégias e táticas a serem adotadas </w:t>
      </w:r>
      <w:r w:rsidRPr="007D5302">
        <w:t xml:space="preserve">deverão seguir o </w:t>
      </w:r>
      <w:r w:rsidRPr="003A3F7B">
        <w:rPr>
          <w:rFonts w:cstheme="majorHAnsi"/>
        </w:rPr>
        <w:t xml:space="preserve">Processo de Planejamento do Próximo Período Operacional </w:t>
      </w:r>
      <w:r w:rsidRPr="00EA51CF">
        <w:t>do ICS</w:t>
      </w:r>
      <w:r w:rsidRPr="007D5302">
        <w:t xml:space="preserve">, </w:t>
      </w:r>
      <w:r>
        <w:t xml:space="preserve">sendo mantidas </w:t>
      </w:r>
      <w:r w:rsidRPr="007D5302">
        <w:t>as reuniões de avaliação</w:t>
      </w:r>
      <w:r>
        <w:t>,</w:t>
      </w:r>
      <w:r w:rsidRPr="007D5302">
        <w:t xml:space="preserve"> </w:t>
      </w:r>
      <w:r>
        <w:t>quando aplicável</w:t>
      </w:r>
      <w:r w:rsidRPr="007D5302">
        <w:t>.</w:t>
      </w:r>
    </w:p>
    <w:p w14:paraId="262C72DD" w14:textId="77777777" w:rsidR="00137ECB" w:rsidRPr="00FA1E16" w:rsidRDefault="00137ECB"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240" w:line="360" w:lineRule="auto"/>
        <w:ind w:left="714" w:hanging="357"/>
        <w:rPr>
          <w:rFonts w:asciiTheme="majorHAnsi" w:hAnsiTheme="majorHAnsi"/>
          <w:b/>
        </w:rPr>
      </w:pPr>
      <w:r w:rsidRPr="00FA1E16">
        <w:rPr>
          <w:rFonts w:asciiTheme="majorHAnsi" w:hAnsiTheme="majorHAnsi"/>
          <w:b/>
        </w:rPr>
        <w:t>Quadro de Situação</w:t>
      </w:r>
    </w:p>
    <w:p w14:paraId="123F5C0F" w14:textId="77777777" w:rsidR="00137ECB" w:rsidRDefault="00137ECB" w:rsidP="00FA1E16">
      <w:pPr>
        <w:pStyle w:val="tier1Itext"/>
      </w:pPr>
      <w:r>
        <w:t xml:space="preserve">Para melhor gestão das ações de resposta, </w:t>
      </w:r>
      <w:r w:rsidRPr="007D5302">
        <w:t>um painel (ou quadro) de situação</w:t>
      </w:r>
      <w:r>
        <w:t xml:space="preserve"> deverá ser mantido pela IMT e/ou TRT, </w:t>
      </w:r>
      <w:r w:rsidRPr="007D5302">
        <w:t>dispondo de forma resumida</w:t>
      </w:r>
      <w:r>
        <w:t xml:space="preserve"> e ordenada,</w:t>
      </w:r>
      <w:r w:rsidRPr="007D5302">
        <w:t xml:space="preserve"> as informações críticas do incidente.</w:t>
      </w:r>
    </w:p>
    <w:p w14:paraId="23BB61C6" w14:textId="77777777" w:rsidR="00137ECB" w:rsidRPr="00AE3B8F" w:rsidRDefault="00137ECB" w:rsidP="00FA1E16">
      <w:pPr>
        <w:pStyle w:val="tier1Itext"/>
      </w:pPr>
      <w:r w:rsidRPr="00384A47">
        <w:lastRenderedPageBreak/>
        <w:t xml:space="preserve">A fim de refletir a situação atual do incidente e das ações de resposta, sua atualização é feita mediante a obtenção de novas informações ou de alterações na situação até então conhecida. Adicionalmente, uma frequência de atualização poderá ser estabelecida pelo </w:t>
      </w:r>
      <w:r>
        <w:t>IC ou delegado</w:t>
      </w:r>
      <w:r w:rsidRPr="00384A47">
        <w:t>, de modo a atender objetivos específicos e/ou reuniões pré-agendadas.</w:t>
      </w:r>
    </w:p>
    <w:p w14:paraId="66A2B6DA" w14:textId="77777777" w:rsidR="00137ECB" w:rsidRPr="00FA1E16" w:rsidRDefault="00137ECB"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240" w:line="360" w:lineRule="auto"/>
        <w:ind w:left="714" w:hanging="357"/>
        <w:rPr>
          <w:rFonts w:asciiTheme="majorHAnsi" w:hAnsiTheme="majorHAnsi"/>
          <w:b/>
        </w:rPr>
      </w:pPr>
      <w:r w:rsidRPr="00FA1E16">
        <w:rPr>
          <w:rFonts w:asciiTheme="majorHAnsi" w:hAnsiTheme="majorHAnsi"/>
          <w:b/>
        </w:rPr>
        <w:t>Formulários de suporte</w:t>
      </w:r>
    </w:p>
    <w:p w14:paraId="0B4DC5CE" w14:textId="77777777" w:rsidR="00137ECB" w:rsidRPr="002D6BA8" w:rsidRDefault="00137ECB" w:rsidP="00FA1E16">
      <w:pPr>
        <w:pStyle w:val="tier1Itext"/>
      </w:pPr>
      <w:r w:rsidRPr="002D6BA8">
        <w:t xml:space="preserve">Durante a emergência, todo o pessoal envolvido na resposta deverá assegurar que as informações críticas do incidente e das ações de resposta </w:t>
      </w:r>
      <w:r>
        <w:t>sejam</w:t>
      </w:r>
      <w:r w:rsidRPr="002D6BA8">
        <w:t xml:space="preserve"> sistematicamente documentadas e arquivadas</w:t>
      </w:r>
      <w:r>
        <w:t>,</w:t>
      </w:r>
      <w:r w:rsidRPr="002D6BA8">
        <w:t xml:space="preserve"> de forma a apoiar a revisão</w:t>
      </w:r>
      <w:r>
        <w:t xml:space="preserve">, </w:t>
      </w:r>
      <w:r w:rsidRPr="002D6BA8">
        <w:t>adequação</w:t>
      </w:r>
      <w:r>
        <w:t xml:space="preserve"> e comunicação</w:t>
      </w:r>
      <w:r w:rsidRPr="002D6BA8">
        <w:t xml:space="preserve"> dos planos e procedimentos de emergência</w:t>
      </w:r>
      <w:r>
        <w:t xml:space="preserve">, bem como fornecer subsídio em potenciais </w:t>
      </w:r>
      <w:r w:rsidRPr="002D6BA8">
        <w:t>ações ou processos jurídico</w:t>
      </w:r>
      <w:r>
        <w:t>s</w:t>
      </w:r>
      <w:r w:rsidRPr="002D6BA8">
        <w:t xml:space="preserve"> futuros.</w:t>
      </w:r>
    </w:p>
    <w:p w14:paraId="41AA25EF" w14:textId="3F28F3B3" w:rsidR="00137ECB" w:rsidRDefault="00137ECB" w:rsidP="00FA1E16">
      <w:pPr>
        <w:pStyle w:val="tier1Itext"/>
      </w:pPr>
      <w:r w:rsidRPr="00377459">
        <w:t xml:space="preserve">Além dos formulários e relatórios </w:t>
      </w:r>
      <w:r>
        <w:t xml:space="preserve">listados na </w:t>
      </w:r>
      <w:r w:rsidRPr="008832B0">
        <w:rPr>
          <w:rFonts w:cstheme="majorHAnsi"/>
          <w:b/>
        </w:rPr>
        <w:fldChar w:fldCharType="begin"/>
      </w:r>
      <w:r w:rsidRPr="008832B0">
        <w:rPr>
          <w:rFonts w:cstheme="majorHAnsi"/>
          <w:b/>
        </w:rPr>
        <w:instrText xml:space="preserve"> REF _Ref413157860 \h  \* MERGEFORMAT </w:instrText>
      </w:r>
      <w:r w:rsidRPr="008832B0">
        <w:rPr>
          <w:rFonts w:cstheme="majorHAnsi"/>
          <w:b/>
        </w:rPr>
      </w:r>
      <w:r w:rsidRPr="008832B0">
        <w:rPr>
          <w:rFonts w:cstheme="majorHAnsi"/>
          <w:b/>
        </w:rPr>
        <w:fldChar w:fldCharType="separate"/>
      </w:r>
      <w:r w:rsidR="00A50E67" w:rsidRPr="00A50E67">
        <w:rPr>
          <w:b/>
          <w:szCs w:val="22"/>
        </w:rPr>
        <w:t xml:space="preserve">Tabela </w:t>
      </w:r>
      <w:r w:rsidR="00A50E67" w:rsidRPr="00A50E67">
        <w:rPr>
          <w:b/>
          <w:noProof/>
          <w:szCs w:val="22"/>
        </w:rPr>
        <w:t>10</w:t>
      </w:r>
      <w:r w:rsidRPr="008832B0">
        <w:rPr>
          <w:rFonts w:cstheme="majorHAnsi"/>
          <w:b/>
        </w:rPr>
        <w:fldChar w:fldCharType="end"/>
      </w:r>
      <w:r>
        <w:t xml:space="preserve"> e os </w:t>
      </w:r>
      <w:r w:rsidRPr="00377459">
        <w:t>apresentados no</w:t>
      </w:r>
      <w:r w:rsidR="00FA1E16">
        <w:t xml:space="preserve"> </w:t>
      </w:r>
      <w:r w:rsidR="00FA1E16" w:rsidRPr="00FA1E16">
        <w:rPr>
          <w:b/>
        </w:rPr>
        <w:t xml:space="preserve">APÊNDICE </w:t>
      </w:r>
      <w:r w:rsidR="005942C1">
        <w:rPr>
          <w:b/>
        </w:rPr>
        <w:t>D</w:t>
      </w:r>
      <w:r w:rsidR="00FA1E16">
        <w:t>,</w:t>
      </w:r>
      <w:r w:rsidRPr="00377459">
        <w:t xml:space="preserve"> </w:t>
      </w:r>
      <w:r>
        <w:t>outros</w:t>
      </w:r>
      <w:r w:rsidRPr="002D6BA8">
        <w:t xml:space="preserve"> formulários do ICS </w:t>
      </w:r>
      <w:r w:rsidRPr="00377459">
        <w:t xml:space="preserve">poderão ser utilizados </w:t>
      </w:r>
      <w:r>
        <w:t>quando considerados</w:t>
      </w:r>
      <w:r w:rsidRPr="00377459">
        <w:t xml:space="preserve"> necessário</w:t>
      </w:r>
      <w:r>
        <w:t>s</w:t>
      </w:r>
      <w:r>
        <w:rPr>
          <w:rStyle w:val="Refdenotaderodap"/>
        </w:rPr>
        <w:footnoteReference w:id="13"/>
      </w:r>
      <w:r w:rsidRPr="00377459">
        <w:t>.</w:t>
      </w:r>
    </w:p>
    <w:p w14:paraId="377E2135" w14:textId="77777777" w:rsidR="00137ECB" w:rsidRDefault="00137ECB" w:rsidP="00FA1E16">
      <w:pPr>
        <w:pStyle w:val="tier1Itext"/>
      </w:pPr>
      <w:r w:rsidRPr="008832B0">
        <w:t xml:space="preserve">Previsões meteorológicas (preparadas pelo Líder da Unidade de Situação ou </w:t>
      </w:r>
      <w:r>
        <w:t>pel</w:t>
      </w:r>
      <w:r w:rsidRPr="008832B0">
        <w:t xml:space="preserve">o Líder da Unidade de </w:t>
      </w:r>
      <w:r w:rsidR="00DB1012">
        <w:t>RC&amp;E</w:t>
      </w:r>
      <w:r>
        <w:t>, ou pelo PSC</w:t>
      </w:r>
      <w:r w:rsidR="00DB1012">
        <w:t>,</w:t>
      </w:r>
      <w:r>
        <w:t xml:space="preserve"> quando as unidades não forem acionadas</w:t>
      </w:r>
      <w:r w:rsidRPr="008832B0">
        <w:t>) e os diagramas do incidente (gerenciados pelo Líder da Unidade de Situação) são outros tip</w:t>
      </w:r>
      <w:r>
        <w:t>o</w:t>
      </w:r>
      <w:r w:rsidRPr="008832B0">
        <w:t>s de informações importantes durante os incidentes e considerados como integrantes de seus relatórios.</w:t>
      </w:r>
    </w:p>
    <w:p w14:paraId="7CCCD0DB" w14:textId="77777777" w:rsidR="00137ECB" w:rsidRPr="008832B0" w:rsidRDefault="00137ECB" w:rsidP="00FA1E16">
      <w:pPr>
        <w:pStyle w:val="tier1Itext"/>
      </w:pPr>
      <w:r w:rsidRPr="008832B0">
        <w:t xml:space="preserve">Desta forma, o IAP é composto por vários formulários alinhados de forma integrada para prover às equipes de resposta uma gama de informações que lhes permitam cumprir as suas atribuições táticas. As definições dos formulários que serão parte </w:t>
      </w:r>
      <w:r>
        <w:t>deste Plano</w:t>
      </w:r>
      <w:r w:rsidRPr="008832B0">
        <w:t xml:space="preserve"> e de sua sequência são do IC, que usualmente considera no mínimo uma capa (com parte da folha de identificação), e os ICS </w:t>
      </w:r>
      <w:r w:rsidRPr="00C45C9A">
        <w:t xml:space="preserve">202, 203 (ou 207), </w:t>
      </w:r>
      <w:r w:rsidR="00AB5DC6" w:rsidRPr="00C45C9A">
        <w:t xml:space="preserve">204 (um para cada ação), </w:t>
      </w:r>
      <w:r w:rsidRPr="00C45C9A">
        <w:t>205, 206</w:t>
      </w:r>
      <w:r w:rsidR="00AB5DC6" w:rsidRPr="00C45C9A">
        <w:t xml:space="preserve"> e 208</w:t>
      </w:r>
      <w:r w:rsidRPr="00C45C9A">
        <w:t>.</w:t>
      </w:r>
      <w:r w:rsidR="009B5C7D" w:rsidRPr="00C45C9A">
        <w:t xml:space="preserve"> Ao seu momento, outros formulários como, ICS 209, ICS 215, ICS 220, ICS 232, ICS 233 e ICS 234, bem como mapas e procedimentos adicionais poderão ser anexados ao IAP, conforme definido pelo IC.</w:t>
      </w:r>
    </w:p>
    <w:p w14:paraId="58756342" w14:textId="77777777" w:rsidR="00037F51" w:rsidRPr="009D01BE" w:rsidRDefault="00A968B6" w:rsidP="006F18B8">
      <w:pPr>
        <w:pStyle w:val="Ttulo3"/>
        <w:ind w:left="1224"/>
      </w:pPr>
      <w:bookmarkStart w:id="111" w:name="_Ref414627640"/>
      <w:bookmarkStart w:id="112" w:name="_Toc527990412"/>
      <w:r w:rsidRPr="009D01BE">
        <w:t>Comunicações</w:t>
      </w:r>
      <w:r w:rsidR="00037F51" w:rsidRPr="009D01BE">
        <w:t xml:space="preserve"> Externa</w:t>
      </w:r>
      <w:r w:rsidRPr="009D01BE">
        <w:t>s</w:t>
      </w:r>
      <w:bookmarkEnd w:id="111"/>
      <w:bookmarkEnd w:id="112"/>
    </w:p>
    <w:p w14:paraId="2A6DC500" w14:textId="77777777" w:rsidR="00953C7D" w:rsidRPr="009802C0" w:rsidRDefault="00953C7D" w:rsidP="00FA1E16">
      <w:pPr>
        <w:pStyle w:val="tier1Itext"/>
      </w:pPr>
      <w:r w:rsidRPr="009802C0">
        <w:t>As comunicações externas se referem àquelas com agências governamentais, outras empresas, comunidades, mídia, entre outros. São feitas por chamadas telefônicas, relatórios, comunicados e boletins enviados por fax ou e-mail.</w:t>
      </w:r>
    </w:p>
    <w:p w14:paraId="502B6BAA" w14:textId="77777777" w:rsidR="00953C7D" w:rsidRPr="00953C7D" w:rsidRDefault="00953C7D"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ind w:left="714" w:hanging="357"/>
        <w:rPr>
          <w:rFonts w:asciiTheme="majorHAnsi" w:hAnsiTheme="majorHAnsi"/>
        </w:rPr>
      </w:pPr>
      <w:r w:rsidRPr="00953C7D">
        <w:rPr>
          <w:rFonts w:asciiTheme="majorHAnsi" w:hAnsiTheme="majorHAnsi"/>
        </w:rPr>
        <w:lastRenderedPageBreak/>
        <w:t>Notificações legais para os órgãos governamentais</w:t>
      </w:r>
    </w:p>
    <w:p w14:paraId="2CCE2A5B" w14:textId="77777777" w:rsidR="00953C7D" w:rsidRPr="00953C7D" w:rsidRDefault="00953C7D" w:rsidP="00FA1E16">
      <w:pPr>
        <w:pStyle w:val="tier1Itext"/>
      </w:pPr>
      <w:r w:rsidRPr="00953C7D">
        <w:t>Em caso de um vazamento de óleo ou outras descargas que possam causar poluição em águas sob jurisdição nacional, as autoridades listadas a seguir devem ser imediatamente notificadas</w:t>
      </w:r>
      <w:r w:rsidRPr="00953C7D">
        <w:rPr>
          <w:rStyle w:val="Refdenotaderodap"/>
          <w:rFonts w:cstheme="majorHAnsi"/>
          <w:szCs w:val="22"/>
        </w:rPr>
        <w:footnoteReference w:id="14"/>
      </w:r>
      <w:r w:rsidRPr="00953C7D">
        <w:t xml:space="preserve"> de acordo com Lei Federal nº. 9.966/00 (regida pelo Anexo II do Decreto Federal nº 4.136/02) e com a Resolução ANP 44/09.</w:t>
      </w:r>
    </w:p>
    <w:p w14:paraId="7C3BB77A" w14:textId="77777777" w:rsidR="00953C7D" w:rsidRPr="00953C7D" w:rsidRDefault="00953C7D" w:rsidP="00EA2A77">
      <w:pPr>
        <w:pStyle w:val="OCEBullet"/>
        <w:keepNex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953C7D">
        <w:rPr>
          <w:rFonts w:asciiTheme="majorHAnsi" w:hAnsiTheme="majorHAnsi"/>
        </w:rPr>
        <w:t>Órgão Ambiental competente:</w:t>
      </w:r>
    </w:p>
    <w:p w14:paraId="19FABC08" w14:textId="77777777" w:rsidR="00953C7D" w:rsidRPr="00953C7D" w:rsidRDefault="00953C7D" w:rsidP="00EA2A77">
      <w:pPr>
        <w:pStyle w:val="OCEBullet"/>
        <w:keepLines/>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1434" w:hanging="357"/>
        <w:rPr>
          <w:rFonts w:asciiTheme="majorHAnsi" w:hAnsiTheme="majorHAnsi" w:cstheme="majorHAnsi"/>
        </w:rPr>
      </w:pPr>
      <w:r w:rsidRPr="00953C7D">
        <w:rPr>
          <w:rFonts w:asciiTheme="majorHAnsi" w:hAnsiTheme="majorHAnsi" w:cstheme="majorHAnsi"/>
        </w:rPr>
        <w:t xml:space="preserve">Como as </w:t>
      </w:r>
      <w:r w:rsidRPr="00953C7D">
        <w:rPr>
          <w:rFonts w:asciiTheme="majorHAnsi" w:hAnsiTheme="majorHAnsi"/>
        </w:rPr>
        <w:t>operações</w:t>
      </w:r>
      <w:r w:rsidRPr="00953C7D">
        <w:rPr>
          <w:rFonts w:asciiTheme="majorHAnsi" w:hAnsiTheme="majorHAnsi" w:cstheme="majorHAnsi"/>
        </w:rPr>
        <w:t xml:space="preserve"> no Bloco FZA-M-59 estão localizadas em águas jurisdicionais federais, deverá ser notificado o IBAMA - Instituto Brasileiro do Meio Ambiente e dos Recursos Naturais Renováveis. O IBAMA possui duas Coordenações Gerais diferentes que devem ser notificadas:</w:t>
      </w:r>
    </w:p>
    <w:p w14:paraId="430C4A5C" w14:textId="3F4923FB" w:rsidR="00953C7D" w:rsidRPr="00953C7D" w:rsidRDefault="005942C1" w:rsidP="0062794F">
      <w:pPr>
        <w:pStyle w:val="itemx"/>
        <w:numPr>
          <w:ilvl w:val="0"/>
          <w:numId w:val="26"/>
        </w:numPr>
        <w:tabs>
          <w:tab w:val="left" w:pos="1122"/>
        </w:tabs>
        <w:spacing w:before="0" w:after="0" w:line="360" w:lineRule="auto"/>
        <w:rPr>
          <w:rFonts w:asciiTheme="majorHAnsi" w:hAnsiTheme="majorHAnsi" w:cstheme="majorHAnsi"/>
          <w:sz w:val="22"/>
          <w:szCs w:val="22"/>
          <w:lang w:val="pt-BR"/>
        </w:rPr>
      </w:pPr>
      <w:r>
        <w:rPr>
          <w:rFonts w:asciiTheme="majorHAnsi" w:hAnsiTheme="majorHAnsi" w:cstheme="majorHAnsi"/>
          <w:sz w:val="22"/>
          <w:szCs w:val="22"/>
          <w:lang w:val="pt-BR"/>
        </w:rPr>
        <w:t>Sub-</w:t>
      </w:r>
      <w:r w:rsidR="00953C7D" w:rsidRPr="00953C7D">
        <w:rPr>
          <w:rFonts w:asciiTheme="majorHAnsi" w:hAnsiTheme="majorHAnsi" w:cstheme="majorHAnsi"/>
          <w:sz w:val="22"/>
          <w:szCs w:val="22"/>
          <w:lang w:val="pt-BR"/>
        </w:rPr>
        <w:t xml:space="preserve">Coordenação </w:t>
      </w:r>
      <w:r w:rsidR="0027197D">
        <w:rPr>
          <w:rFonts w:asciiTheme="majorHAnsi" w:hAnsiTheme="majorHAnsi" w:cstheme="majorHAnsi"/>
          <w:sz w:val="22"/>
          <w:szCs w:val="22"/>
          <w:lang w:val="pt-BR"/>
        </w:rPr>
        <w:t xml:space="preserve">de </w:t>
      </w:r>
      <w:r>
        <w:rPr>
          <w:rFonts w:asciiTheme="majorHAnsi" w:hAnsiTheme="majorHAnsi" w:cstheme="majorHAnsi"/>
          <w:sz w:val="22"/>
          <w:szCs w:val="22"/>
          <w:lang w:val="pt-BR"/>
        </w:rPr>
        <w:t>Exploração</w:t>
      </w:r>
      <w:r w:rsidR="00953C7D" w:rsidRPr="00953C7D">
        <w:rPr>
          <w:rFonts w:asciiTheme="majorHAnsi" w:hAnsiTheme="majorHAnsi" w:cstheme="majorHAnsi"/>
          <w:sz w:val="22"/>
          <w:szCs w:val="22"/>
          <w:lang w:val="pt-BR"/>
        </w:rPr>
        <w:t xml:space="preserve"> </w:t>
      </w:r>
      <w:r w:rsidR="0062794F" w:rsidRPr="00A70C70">
        <w:rPr>
          <w:rFonts w:asciiTheme="majorHAnsi" w:hAnsiTheme="majorHAnsi" w:cstheme="majorHAnsi"/>
          <w:sz w:val="22"/>
          <w:szCs w:val="22"/>
          <w:highlight w:val="lightGray"/>
          <w:lang w:val="pt-BR"/>
        </w:rPr>
        <w:t>da Coordenação-Geral de Licenciamento Ambiental de Empreendimentos Marinhos e Costeiros – CGM</w:t>
      </w:r>
      <w:r w:rsidR="00231A54" w:rsidRPr="00A70C70">
        <w:rPr>
          <w:rFonts w:asciiTheme="majorHAnsi" w:hAnsiTheme="majorHAnsi" w:cstheme="majorHAnsi"/>
          <w:sz w:val="22"/>
          <w:szCs w:val="22"/>
          <w:highlight w:val="lightGray"/>
          <w:lang w:val="pt-BR"/>
        </w:rPr>
        <w:t>AC</w:t>
      </w:r>
      <w:r w:rsidR="0062794F">
        <w:rPr>
          <w:rFonts w:asciiTheme="majorHAnsi" w:hAnsiTheme="majorHAnsi" w:cstheme="majorHAnsi"/>
          <w:sz w:val="22"/>
          <w:szCs w:val="22"/>
          <w:lang w:val="pt-BR"/>
        </w:rPr>
        <w:t xml:space="preserve"> </w:t>
      </w:r>
      <w:r w:rsidR="0062794F" w:rsidRPr="00953C7D">
        <w:rPr>
          <w:rFonts w:asciiTheme="majorHAnsi" w:hAnsiTheme="majorHAnsi" w:cstheme="majorHAnsi"/>
          <w:sz w:val="22"/>
          <w:szCs w:val="22"/>
          <w:lang w:val="pt-BR"/>
        </w:rPr>
        <w:t>(C</w:t>
      </w:r>
      <w:r w:rsidR="0062794F">
        <w:rPr>
          <w:rFonts w:asciiTheme="majorHAnsi" w:hAnsiTheme="majorHAnsi" w:cstheme="majorHAnsi"/>
          <w:sz w:val="22"/>
          <w:szCs w:val="22"/>
          <w:lang w:val="pt-BR"/>
        </w:rPr>
        <w:t>OEXP</w:t>
      </w:r>
      <w:r w:rsidR="0062794F" w:rsidRPr="00953C7D">
        <w:rPr>
          <w:rFonts w:asciiTheme="majorHAnsi" w:hAnsiTheme="majorHAnsi" w:cstheme="majorHAnsi"/>
          <w:sz w:val="22"/>
          <w:szCs w:val="22"/>
          <w:lang w:val="pt-BR"/>
        </w:rPr>
        <w:t>)</w:t>
      </w:r>
      <w:r w:rsidR="00953C7D" w:rsidRPr="00953C7D">
        <w:rPr>
          <w:rFonts w:asciiTheme="majorHAnsi" w:hAnsiTheme="majorHAnsi" w:cstheme="majorHAnsi"/>
          <w:sz w:val="22"/>
          <w:szCs w:val="22"/>
          <w:lang w:val="pt-BR"/>
        </w:rPr>
        <w:t xml:space="preserve"> - responsável pelo processo de licenciamento e pelo acompanhamento do atendimento das condicionantes das licenças; e</w:t>
      </w:r>
    </w:p>
    <w:p w14:paraId="498D81E4" w14:textId="77777777" w:rsidR="00953C7D" w:rsidRPr="00953C7D" w:rsidRDefault="00953C7D" w:rsidP="00EA2A77">
      <w:pPr>
        <w:pStyle w:val="itemx"/>
        <w:numPr>
          <w:ilvl w:val="0"/>
          <w:numId w:val="26"/>
        </w:numPr>
        <w:tabs>
          <w:tab w:val="left" w:pos="1122"/>
        </w:tabs>
        <w:spacing w:before="0" w:after="0" w:line="360" w:lineRule="auto"/>
        <w:ind w:left="1769" w:hanging="357"/>
        <w:rPr>
          <w:rFonts w:asciiTheme="majorHAnsi" w:hAnsiTheme="majorHAnsi" w:cstheme="majorHAnsi"/>
          <w:sz w:val="22"/>
          <w:szCs w:val="22"/>
          <w:lang w:val="pt-BR"/>
        </w:rPr>
      </w:pPr>
      <w:r w:rsidRPr="00953C7D">
        <w:rPr>
          <w:rFonts w:asciiTheme="majorHAnsi" w:hAnsiTheme="majorHAnsi" w:cstheme="majorHAnsi"/>
          <w:sz w:val="22"/>
          <w:szCs w:val="22"/>
          <w:lang w:val="pt-BR"/>
        </w:rPr>
        <w:t xml:space="preserve">Coordenação Geral de Emergências Ambientais (CGEMA) - encarregada de receber todas as comunicações de incidentes ambientais e proporcionar o acompanhamento das ações </w:t>
      </w:r>
      <w:r w:rsidR="00FA1E16">
        <w:rPr>
          <w:rFonts w:asciiTheme="majorHAnsi" w:hAnsiTheme="majorHAnsi" w:cstheme="majorHAnsi"/>
          <w:sz w:val="22"/>
          <w:szCs w:val="22"/>
          <w:lang w:val="pt-BR"/>
        </w:rPr>
        <w:t>de resposta, quando necessário.</w:t>
      </w:r>
    </w:p>
    <w:p w14:paraId="54BCD2D5" w14:textId="77777777" w:rsidR="00953C7D" w:rsidRPr="00953C7D" w:rsidRDefault="00953C7D" w:rsidP="00EA2A77">
      <w:pPr>
        <w:pStyle w:val="OCEBullet"/>
        <w:keepLines/>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1434" w:hanging="357"/>
        <w:rPr>
          <w:rFonts w:asciiTheme="majorHAnsi" w:hAnsiTheme="majorHAnsi" w:cstheme="majorHAnsi"/>
        </w:rPr>
      </w:pPr>
      <w:r w:rsidRPr="00953C7D">
        <w:rPr>
          <w:rFonts w:asciiTheme="majorHAnsi" w:hAnsiTheme="majorHAnsi" w:cstheme="majorHAnsi"/>
        </w:rPr>
        <w:t xml:space="preserve">Conforme apresentado no EIA, o bloco FZA-M-59 está localizado em águas federais </w:t>
      </w:r>
      <w:r w:rsidRPr="00953C7D">
        <w:rPr>
          <w:rFonts w:asciiTheme="majorHAnsi" w:hAnsiTheme="majorHAnsi"/>
        </w:rPr>
        <w:t>adjacentes</w:t>
      </w:r>
      <w:r w:rsidRPr="00953C7D">
        <w:rPr>
          <w:rFonts w:asciiTheme="majorHAnsi" w:hAnsiTheme="majorHAnsi" w:cstheme="majorHAnsi"/>
        </w:rPr>
        <w:t xml:space="preserve"> à área costeira do Estado do Amapá. Apesar de nenhum cenário modelado (conforme Resolução CONAMA 398/08) indicar a possibilidade de toque na costa, ainda assim considera-se que a SEMA (Secretaria Estadual do Meio Ambiente do Estado do Amapá) seja notificada em qualquer cenário de derramamento.</w:t>
      </w:r>
    </w:p>
    <w:p w14:paraId="6AF10866" w14:textId="77777777" w:rsidR="00953C7D" w:rsidRPr="00953C7D" w:rsidRDefault="00953C7D"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953C7D">
        <w:rPr>
          <w:rFonts w:asciiTheme="majorHAnsi" w:hAnsiTheme="majorHAnsi"/>
        </w:rPr>
        <w:t>Autoridade Marítima Brasileira – dentro da organização da Marinha do Brasil, o agente de fiscalização para a zona de exploração ao norte da Bacia da Foz do Amazonas é a Capitania dos Portos de Macapá;</w:t>
      </w:r>
    </w:p>
    <w:p w14:paraId="3BDC14C9" w14:textId="77777777" w:rsidR="00953C7D" w:rsidRPr="00953C7D" w:rsidRDefault="00953C7D"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953C7D">
        <w:rPr>
          <w:rFonts w:asciiTheme="majorHAnsi" w:hAnsiTheme="majorHAnsi"/>
        </w:rPr>
        <w:t>Órgão regulador do setor de petróleo - ANP (Agência Nacional do Petróleo, Gás Natural e Biocombustíveis), como definido pelo inciso VII do artigo 8 da Lei Federal nº 9.478/97.</w:t>
      </w:r>
    </w:p>
    <w:p w14:paraId="051633DF" w14:textId="665619F5" w:rsidR="00953C7D" w:rsidRDefault="00953C7D" w:rsidP="003A1C5D">
      <w:pPr>
        <w:pStyle w:val="tier1Itext"/>
      </w:pPr>
      <w:r>
        <w:lastRenderedPageBreak/>
        <w:t>Conforme diretriz da Instrução Normativa nº 15/14, no caso do IBAMA (C</w:t>
      </w:r>
      <w:r w:rsidR="005942C1">
        <w:t>OEXP</w:t>
      </w:r>
      <w:r>
        <w:t xml:space="preserve"> e CGEMA), tal notificação deverá ser feita através do SIEMA</w:t>
      </w:r>
      <w:r w:rsidRPr="00BD5E67">
        <w:t>, salvo em situações em que o sistema encontrar-se inoperante.</w:t>
      </w:r>
    </w:p>
    <w:p w14:paraId="3FD0A51D" w14:textId="1C8DD76F" w:rsidR="00953C7D" w:rsidRPr="00BD5E67" w:rsidRDefault="00953C7D" w:rsidP="003A1C5D">
      <w:pPr>
        <w:pStyle w:val="tier1Itext"/>
      </w:pPr>
      <w:r>
        <w:t>Adicionalmente, c</w:t>
      </w:r>
      <w:r w:rsidRPr="00BD5E67">
        <w:t>onforme diretrizes fornecidas no site da ANP (</w:t>
      </w:r>
      <w:hyperlink r:id="rId30" w:history="1">
        <w:r w:rsidRPr="00686FB2">
          <w:rPr>
            <w:rStyle w:val="Hyperlink"/>
          </w:rPr>
          <w:t>www.anp.gov.br</w:t>
        </w:r>
      </w:hyperlink>
      <w:r w:rsidRPr="00BD5E67">
        <w:t xml:space="preserve">), a comunicação inicial </w:t>
      </w:r>
      <w:r w:rsidR="00421257">
        <w:t>a esta agência</w:t>
      </w:r>
      <w:r w:rsidRPr="00BD5E67">
        <w:t xml:space="preserve"> deverá ser feita através do SISO (Sistema Integrado de Segurança Operacional), salvo em situações em que o sistema encontrar-se inoperante.</w:t>
      </w:r>
      <w:r w:rsidR="00FE3D31">
        <w:t xml:space="preserve"> A ANP, através do seu Manual de Comunicação de Incidentes, define prazos máximos e informações mínimas que devem ser comunicadas no SISO, para diferentes classificações de incidentes. Também nesta referência, determina que as informações sobre a evolução da situação dos incidentes deverão ser feitas a cada 12 horas, a exceção de fato considerado significativo, que eve ser notificado sem precisar atender à esta frequência de comunicação.</w:t>
      </w:r>
    </w:p>
    <w:p w14:paraId="425B1EBB" w14:textId="6DC485C7" w:rsidR="00953C7D" w:rsidRPr="00C7061F" w:rsidRDefault="00953C7D" w:rsidP="003A1C5D">
      <w:pPr>
        <w:pStyle w:val="tier1Itext"/>
      </w:pPr>
      <w:r>
        <w:t>Para os demais órgãos (ou quando os sistemas SIEMA/SISO estiverem inoperantes),</w:t>
      </w:r>
      <w:r w:rsidRPr="00A52ADC">
        <w:t xml:space="preserve"> </w:t>
      </w:r>
      <w:r>
        <w:t>a</w:t>
      </w:r>
      <w:r w:rsidRPr="006A6D81">
        <w:t xml:space="preserve"> notificação será feita por fax e/ou e-mail (quando indicado), utilizando o Formulário de Comunicação Inicial de Incidentes, também apresentado no </w:t>
      </w:r>
      <w:r w:rsidR="003A1C5D" w:rsidRPr="003A1C5D">
        <w:rPr>
          <w:b/>
        </w:rPr>
        <w:t xml:space="preserve">APÊNDICE </w:t>
      </w:r>
      <w:r w:rsidR="005942C1">
        <w:rPr>
          <w:b/>
        </w:rPr>
        <w:t>D</w:t>
      </w:r>
      <w:r w:rsidR="003A1C5D">
        <w:t xml:space="preserve"> </w:t>
      </w:r>
      <w:r w:rsidRPr="006A6D81">
        <w:t xml:space="preserve">e elaborado de acordo </w:t>
      </w:r>
      <w:r>
        <w:t>com</w:t>
      </w:r>
      <w:r w:rsidRPr="006A6D81">
        <w:t xml:space="preserve"> os requisitos do Anexo II do Decreto Federal 4.136/02.</w:t>
      </w:r>
    </w:p>
    <w:p w14:paraId="3CB6B391" w14:textId="77777777" w:rsidR="00953C7D" w:rsidRPr="009802C0" w:rsidRDefault="00953C7D" w:rsidP="003A1C5D">
      <w:pPr>
        <w:pStyle w:val="tier1Itext"/>
      </w:pPr>
      <w:r w:rsidRPr="009802C0">
        <w:t>De acordo com a Resolução CONAMA nº 398/08, no prazo de 30 dias após o término das ações de resposta a incidentes de poluição por óleo, a empresa deverá apresentar à agência ambiental competente, um relatório final de avaliação contendo uma análise crítica do desempenho do PEI e outras informações sobre os impactos potenciais ou observados a partir do incidente.</w:t>
      </w:r>
    </w:p>
    <w:p w14:paraId="48138E07" w14:textId="619DADD3" w:rsidR="00953C7D" w:rsidRPr="009802C0" w:rsidRDefault="00953C7D" w:rsidP="003A1C5D">
      <w:pPr>
        <w:pStyle w:val="tier1Itext"/>
      </w:pPr>
      <w:r w:rsidRPr="009802C0">
        <w:t xml:space="preserve">Para eventos incidentais que causem derramamentos </w:t>
      </w:r>
      <w:r w:rsidR="00BA7B2B" w:rsidRPr="00A70C70">
        <w:rPr>
          <w:highlight w:val="lightGray"/>
        </w:rPr>
        <w:t>de óleo</w:t>
      </w:r>
      <w:r w:rsidR="00BA7B2B">
        <w:t xml:space="preserve"> ou </w:t>
      </w:r>
      <w:r w:rsidR="00BA7B2B" w:rsidRPr="00A70C70">
        <w:rPr>
          <w:highlight w:val="lightGray"/>
        </w:rPr>
        <w:t>de fluidos de base não aquosa</w:t>
      </w:r>
      <w:r w:rsidR="00BA7B2B">
        <w:t xml:space="preserve"> </w:t>
      </w:r>
      <w:r w:rsidRPr="009802C0">
        <w:t xml:space="preserve">superiores a </w:t>
      </w:r>
      <w:r w:rsidR="00BA7B2B" w:rsidRPr="00A70C70">
        <w:rPr>
          <w:highlight w:val="lightGray"/>
        </w:rPr>
        <w:t>1</w:t>
      </w:r>
      <w:r w:rsidR="009E134A" w:rsidRPr="00A70C70">
        <w:rPr>
          <w:highlight w:val="lightGray"/>
        </w:rPr>
        <w:t xml:space="preserve">.000 L (1 </w:t>
      </w:r>
      <w:r w:rsidR="00BA7B2B" w:rsidRPr="00A70C70">
        <w:rPr>
          <w:highlight w:val="lightGray"/>
        </w:rPr>
        <w:t>m</w:t>
      </w:r>
      <w:r w:rsidR="00BA7B2B" w:rsidRPr="00A70C70">
        <w:rPr>
          <w:highlight w:val="lightGray"/>
          <w:vertAlign w:val="superscript"/>
        </w:rPr>
        <w:t>3</w:t>
      </w:r>
      <w:r w:rsidR="009E134A" w:rsidRPr="00A70C70">
        <w:rPr>
          <w:highlight w:val="lightGray"/>
        </w:rPr>
        <w:t>)</w:t>
      </w:r>
      <w:r w:rsidR="009E134A" w:rsidRPr="00A70C70">
        <w:rPr>
          <w:rStyle w:val="Refdenotaderodap"/>
          <w:highlight w:val="lightGray"/>
        </w:rPr>
        <w:footnoteReference w:id="15"/>
      </w:r>
      <w:r w:rsidR="00BA7B2B">
        <w:t xml:space="preserve">, </w:t>
      </w:r>
      <w:r w:rsidRPr="009802C0">
        <w:t>a BP Energy</w:t>
      </w:r>
      <w:r>
        <w:t xml:space="preserve"> </w:t>
      </w:r>
      <w:r w:rsidRPr="009802C0">
        <w:t>também emitirá um relatório diário para as autoridades inicialmente identificadas como destinatárias da comunicação inicial, com as informações correntes do estágio do incidente e das ações de resposta</w:t>
      </w:r>
      <w:r w:rsidR="009E134A">
        <w:t xml:space="preserve">, </w:t>
      </w:r>
      <w:r w:rsidR="009E134A" w:rsidRPr="00A70C70">
        <w:rPr>
          <w:highlight w:val="lightGray"/>
        </w:rPr>
        <w:t>nos moldes do definido na NT 03/13</w:t>
      </w:r>
      <w:r w:rsidRPr="009802C0">
        <w:t>. Este relatório diário da situação deve apresentar um resumo das principais informações atualizadas disponíveis no período de elaboração do documento, como, por exemplo:</w:t>
      </w:r>
    </w:p>
    <w:p w14:paraId="313C7FE8" w14:textId="77777777" w:rsidR="00953C7D" w:rsidRPr="00953C7D" w:rsidRDefault="00953C7D"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953C7D">
        <w:rPr>
          <w:rFonts w:asciiTheme="majorHAnsi" w:hAnsiTheme="majorHAnsi"/>
        </w:rPr>
        <w:t>Descrição sucinta do incidente;</w:t>
      </w:r>
    </w:p>
    <w:p w14:paraId="7903A731" w14:textId="77777777" w:rsidR="00953C7D" w:rsidRPr="00953C7D" w:rsidRDefault="00953C7D"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953C7D">
        <w:rPr>
          <w:rFonts w:asciiTheme="majorHAnsi" w:hAnsiTheme="majorHAnsi"/>
        </w:rPr>
        <w:t>Estágio de controle da fonte;</w:t>
      </w:r>
    </w:p>
    <w:p w14:paraId="1C3200AF" w14:textId="77777777" w:rsidR="00953C7D" w:rsidRPr="00953C7D" w:rsidRDefault="00953C7D"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953C7D">
        <w:rPr>
          <w:rFonts w:asciiTheme="majorHAnsi" w:hAnsiTheme="majorHAnsi"/>
        </w:rPr>
        <w:lastRenderedPageBreak/>
        <w:t>Volumes derramados: total e que atingiu o mar, indicando a metodologia utilizada para definir/estimar os valores apresentados;</w:t>
      </w:r>
    </w:p>
    <w:p w14:paraId="4550F30B" w14:textId="77777777" w:rsidR="00953C7D" w:rsidRPr="00953C7D" w:rsidRDefault="00953C7D"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953C7D">
        <w:rPr>
          <w:rFonts w:asciiTheme="majorHAnsi" w:hAnsiTheme="majorHAnsi"/>
        </w:rPr>
        <w:t>Localização, dimensão e características da mancha do óleo;</w:t>
      </w:r>
    </w:p>
    <w:p w14:paraId="4D88D30C" w14:textId="77777777" w:rsidR="00953C7D" w:rsidRPr="00953C7D" w:rsidRDefault="00953C7D"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953C7D">
        <w:rPr>
          <w:rFonts w:asciiTheme="majorHAnsi" w:hAnsiTheme="majorHAnsi"/>
        </w:rPr>
        <w:t>Previsão da deriva da mancha do óleo vazado para os 3 dias subsequentes, com base nos resultados de modelo de deriva confiável e observação direta no campo;</w:t>
      </w:r>
    </w:p>
    <w:p w14:paraId="15155C56" w14:textId="77777777" w:rsidR="00953C7D" w:rsidRPr="00953C7D" w:rsidRDefault="00953C7D"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953C7D">
        <w:rPr>
          <w:rFonts w:asciiTheme="majorHAnsi" w:hAnsiTheme="majorHAnsi"/>
        </w:rPr>
        <w:t>Breve descrição das estratégias de resposta adotadas e resumo das ações em curso e planejadas para o(s) próximo(s) período(s) operacional(is);</w:t>
      </w:r>
    </w:p>
    <w:p w14:paraId="6F841513" w14:textId="77777777" w:rsidR="00953C7D" w:rsidRPr="00953C7D" w:rsidRDefault="00953C7D"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953C7D">
        <w:rPr>
          <w:rFonts w:asciiTheme="majorHAnsi" w:hAnsiTheme="majorHAnsi"/>
        </w:rPr>
        <w:t>Organização de resposta em curso;</w:t>
      </w:r>
    </w:p>
    <w:p w14:paraId="39295ED5" w14:textId="77777777" w:rsidR="00953C7D" w:rsidRPr="00953C7D" w:rsidRDefault="00953C7D"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953C7D">
        <w:rPr>
          <w:rFonts w:asciiTheme="majorHAnsi" w:hAnsiTheme="majorHAnsi"/>
        </w:rPr>
        <w:t xml:space="preserve">Lista de equipamentos de resposta ao </w:t>
      </w:r>
      <w:r w:rsidR="00642786">
        <w:rPr>
          <w:rFonts w:asciiTheme="majorHAnsi" w:hAnsiTheme="majorHAnsi"/>
        </w:rPr>
        <w:t>derramamento</w:t>
      </w:r>
      <w:r w:rsidRPr="00953C7D">
        <w:rPr>
          <w:rFonts w:asciiTheme="majorHAnsi" w:hAnsiTheme="majorHAnsi"/>
        </w:rPr>
        <w:t xml:space="preserve"> de óleo e embarcações envolvidas nas ações de resposta; e</w:t>
      </w:r>
    </w:p>
    <w:p w14:paraId="0327DEA2" w14:textId="77777777" w:rsidR="00953C7D" w:rsidRPr="00953C7D" w:rsidRDefault="00953C7D"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953C7D">
        <w:rPr>
          <w:rFonts w:asciiTheme="majorHAnsi" w:hAnsiTheme="majorHAnsi"/>
        </w:rPr>
        <w:t>Registros da informação apresentada, potencialmente incluindo, ainda que não exclusivamente, fotos, gravação de vídeo, imagens de satélite e os resultados de modelagem.</w:t>
      </w:r>
    </w:p>
    <w:p w14:paraId="2B94AABE" w14:textId="3923F623" w:rsidR="00953C7D" w:rsidRDefault="00953C7D" w:rsidP="000A3626">
      <w:pPr>
        <w:pStyle w:val="tier1Itext"/>
      </w:pPr>
      <w:r w:rsidRPr="00A55676">
        <w:t xml:space="preserve">Esse relatório será emitido diariamente, começando em até </w:t>
      </w:r>
      <w:r>
        <w:t>72</w:t>
      </w:r>
      <w:r w:rsidRPr="00A55676">
        <w:t xml:space="preserve"> horas (</w:t>
      </w:r>
      <w:r>
        <w:t>3</w:t>
      </w:r>
      <w:r w:rsidRPr="00A55676">
        <w:t xml:space="preserve"> dias) após o início do evento (período necessário para a mobilização e estabelecimento da estrutura de resposta de emergência com o dimensionamento adequado da equipe da Unidade de Documentação para gerir esta elaboração e divulgação do documento) até que </w:t>
      </w:r>
      <w:r>
        <w:t>a resposta</w:t>
      </w:r>
      <w:r w:rsidRPr="00A55676">
        <w:t xml:space="preserve"> comece a ser finalizad</w:t>
      </w:r>
      <w:r>
        <w:t>a</w:t>
      </w:r>
      <w:r w:rsidRPr="00A55676">
        <w:t>, quando esta frequência de emissão poderá ser revista de acordo com a aceitação pelas entidades que o receberão. Neste tipo de incidente, este relatório deve também abordar a comunicação formal às autoridades sobre a intenção de considerar o fim das operações de resposta, conforme descrito n</w:t>
      </w:r>
      <w:r>
        <w:t>o</w:t>
      </w:r>
      <w:r w:rsidRPr="00A55676">
        <w:t xml:space="preserve"> </w:t>
      </w:r>
      <w:r w:rsidR="00FE3D31">
        <w:t>Capítulo 10 deste Plano</w:t>
      </w:r>
      <w:r w:rsidRPr="002D2F32">
        <w:t>.</w:t>
      </w:r>
    </w:p>
    <w:p w14:paraId="09E54173" w14:textId="1CF5E378" w:rsidR="009E134A" w:rsidRPr="00A70C70" w:rsidRDefault="009E134A" w:rsidP="009E134A">
      <w:pPr>
        <w:rPr>
          <w:rFonts w:asciiTheme="majorHAnsi" w:hAnsiTheme="majorHAnsi"/>
          <w:highlight w:val="lightGray"/>
        </w:rPr>
      </w:pPr>
      <w:r w:rsidRPr="00A70C70">
        <w:rPr>
          <w:rFonts w:asciiTheme="majorHAnsi" w:hAnsiTheme="majorHAnsi"/>
          <w:highlight w:val="lightGray"/>
        </w:rPr>
        <w:t xml:space="preserve">As informações para elaboração do referido relatório serão oriundas do formulário ICS-201 (Incident Briefing – Resumo do Incidente) nos estágios iniciais da resposta ou eventos de menor porte, e do formulário ICS-209 e do IAP (Incident Action Plan), nas respostas que entrarem na fase pró-ativa de uma resposta. Estes documentos contém as informações desejadas e são atualizados a cada periodo operacional, que pode variar de 6 a 24 horas, dependendo do cenário e do estágio da resposta. </w:t>
      </w:r>
    </w:p>
    <w:p w14:paraId="3B0C9C5D" w14:textId="77777777" w:rsidR="009E134A" w:rsidRPr="009E134A" w:rsidRDefault="009E134A" w:rsidP="009E134A">
      <w:pPr>
        <w:rPr>
          <w:rFonts w:asciiTheme="majorHAnsi" w:hAnsiTheme="majorHAnsi"/>
        </w:rPr>
      </w:pPr>
      <w:r w:rsidRPr="00A70C70">
        <w:rPr>
          <w:rFonts w:asciiTheme="majorHAnsi" w:hAnsiTheme="majorHAnsi"/>
          <w:highlight w:val="lightGray"/>
        </w:rPr>
        <w:t>A única ressalva que gostaríamos de destacar é que os formulários normalmente não contém “</w:t>
      </w:r>
      <w:r w:rsidRPr="00A70C70">
        <w:rPr>
          <w:rFonts w:asciiTheme="majorHAnsi" w:hAnsiTheme="majorHAnsi"/>
          <w:i/>
          <w:highlight w:val="lightGray"/>
        </w:rPr>
        <w:t>fotografias e vídeos comprobatórios das informações prestadas</w:t>
      </w:r>
      <w:r w:rsidRPr="00A70C70">
        <w:rPr>
          <w:rFonts w:asciiTheme="majorHAnsi" w:hAnsiTheme="majorHAnsi"/>
          <w:highlight w:val="lightGray"/>
        </w:rPr>
        <w:t>”, mas que estas, quando disponíveis, serão anexadas no material enviado ao IBAMA.</w:t>
      </w:r>
    </w:p>
    <w:p w14:paraId="01671638" w14:textId="77777777" w:rsidR="00953C7D" w:rsidRPr="00B3634F" w:rsidRDefault="00953C7D" w:rsidP="000A3626">
      <w:pPr>
        <w:pStyle w:val="tier1Itext"/>
      </w:pPr>
      <w:r w:rsidRPr="00B3634F">
        <w:t>Além disso, a Resolução ANP N° 44/09 define que a empresa é obrigada a apresentar um chamado “Relatório Detalhado do Incidente” sempre que ocorrer um dano ambiental, em até 30 dias após a comunicação do incidente e de acordo com o formato definido no Anexo II da referida Resolução.</w:t>
      </w:r>
    </w:p>
    <w:p w14:paraId="6ACC08A1" w14:textId="77777777" w:rsidR="00953C7D" w:rsidRPr="00B3634F" w:rsidRDefault="00953C7D" w:rsidP="000A3626">
      <w:pPr>
        <w:pStyle w:val="tier1Itext"/>
      </w:pPr>
      <w:r w:rsidRPr="00B3634F">
        <w:lastRenderedPageBreak/>
        <w:t>No caso de um evento de longa duração ou se for necessário mais tempo que o definido para a conclusão do relatório, uma prorrogação poderá ser concedida pela ANP com base em solicitação formal de cunho técnico</w:t>
      </w:r>
      <w:r>
        <w:t>,</w:t>
      </w:r>
      <w:r w:rsidRPr="00B3634F">
        <w:t xml:space="preserve"> feita pela BP Energy, apresentada dentro do prazo original, como indicado no quarto parágrafo do terceiro artigo da norma.</w:t>
      </w:r>
    </w:p>
    <w:p w14:paraId="307401BA" w14:textId="3210F5AE" w:rsidR="00953C7D" w:rsidRPr="00B3634F" w:rsidRDefault="00953C7D" w:rsidP="000A3626">
      <w:pPr>
        <w:pStyle w:val="tier1Itext"/>
      </w:pPr>
      <w:r w:rsidRPr="00B3634F">
        <w:t xml:space="preserve">Se a estratégia de resposta ao incidente considerar a aplicação de dispersante químico, devem ser postos em prática os protocolos definidos na Resolução CONAMA nº </w:t>
      </w:r>
      <w:r w:rsidR="00FE3D31">
        <w:t>472</w:t>
      </w:r>
      <w:r w:rsidRPr="00B3634F">
        <w:t>/</w:t>
      </w:r>
      <w:r w:rsidR="00FE3D31">
        <w:t>15</w:t>
      </w:r>
      <w:r w:rsidRPr="00B3634F">
        <w:t xml:space="preserve">. Previamente a qualquer aplicação de dispersante químico, a BP Energy deve emitir uma comunicação formal às agências ambientais competentes que indique a intenção de utilizar esta técnica, de acordo com o definido no </w:t>
      </w:r>
      <w:r w:rsidR="00FE3D31">
        <w:t>Artigo 4º e no formato do Anexo I</w:t>
      </w:r>
      <w:r w:rsidRPr="00B3634F">
        <w:t xml:space="preserve"> da Resolução. Esta comunicação prévia visa permitir que estas agências tomem as providências necessárias para o acompanhamento e/ou monitoramento do andamento da aplicação, se desejarem fazê-lo.</w:t>
      </w:r>
    </w:p>
    <w:p w14:paraId="6D72F789" w14:textId="058BBE3A" w:rsidR="00953C7D" w:rsidRPr="00B3634F" w:rsidRDefault="00953C7D" w:rsidP="000A3626">
      <w:pPr>
        <w:pStyle w:val="tier1Itext"/>
      </w:pPr>
      <w:r w:rsidRPr="00B3634F">
        <w:t>Após o fim da aplicação da técnica, a BP Energy emitirá, em um período de até 15 dias, um relatório da operaç</w:t>
      </w:r>
      <w:r w:rsidR="00FE3D31">
        <w:t>ão de aplicação</w:t>
      </w:r>
      <w:r w:rsidRPr="00B3634F">
        <w:t xml:space="preserve"> com informações sobre o incidente e o vazamento antes da de</w:t>
      </w:r>
      <w:r w:rsidR="00FE3D31">
        <w:t>sta</w:t>
      </w:r>
      <w:r w:rsidRPr="00B3634F">
        <w:t xml:space="preserve"> aplicação de dispersantes; as condições ambientais durante as campanhas ou períodos de aplicação do produto; e a aplicação do produto, considerando as suas identificação e autorização, os recursos utilizados, o responsável e outras observações gerais, entre outras informações listadas no </w:t>
      </w:r>
      <w:r w:rsidR="00FE3D31">
        <w:t>Artigo 15º e no Anexo IV</w:t>
      </w:r>
      <w:r w:rsidRPr="00B3634F">
        <w:t xml:space="preserve"> da Resolução.</w:t>
      </w:r>
    </w:p>
    <w:p w14:paraId="6E8F4119" w14:textId="6BBB0F19" w:rsidR="00953C7D" w:rsidRPr="00B3634F" w:rsidRDefault="00953C7D" w:rsidP="000A3626">
      <w:pPr>
        <w:pStyle w:val="tier1Itext"/>
      </w:pPr>
      <w:r w:rsidRPr="00B3634F">
        <w:t>Em seguida, no prazo de 90 dias</w:t>
      </w:r>
      <w:r>
        <w:t>,</w:t>
      </w:r>
      <w:r w:rsidRPr="00B3634F">
        <w:t xml:space="preserve"> considerados a partir do final das operações de resposta de aplicação de dispersantes químicos, um relatório final com as avaliações de impacto ambiental, social e econômico do derramamento e da aplicação da técnica deve ser entregue aos órgãos ambientais, de acordo com as diretrizes do </w:t>
      </w:r>
      <w:r w:rsidR="00FE3D31">
        <w:t>Artigo 16</w:t>
      </w:r>
      <w:r w:rsidR="00FE3D31">
        <w:rPr>
          <w:rFonts w:ascii="Times New Roman" w:hAnsi="Times New Roman" w:cs="Times New Roman"/>
        </w:rPr>
        <w:t>º</w:t>
      </w:r>
      <w:r w:rsidRPr="00B3634F">
        <w:t xml:space="preserve"> da Resolução.</w:t>
      </w:r>
    </w:p>
    <w:p w14:paraId="08C13F84" w14:textId="77777777" w:rsidR="00953C7D" w:rsidRPr="00B3634F" w:rsidRDefault="00953C7D" w:rsidP="000A3626">
      <w:pPr>
        <w:pStyle w:val="tier1Itext"/>
      </w:pPr>
      <w:r w:rsidRPr="00B3634F">
        <w:t>No caso de ocorrências de manchas órfãs, todas as comunicações iniciais para agências governamentais serão feitas</w:t>
      </w:r>
      <w:r>
        <w:t>.</w:t>
      </w:r>
      <w:r w:rsidR="00D913B3">
        <w:t xml:space="preserve"> </w:t>
      </w:r>
      <w:r>
        <w:t>N</w:t>
      </w:r>
      <w:r w:rsidRPr="00B3634F">
        <w:t>o entanto, acompanhamentos e relatórios finais não são considerados para ser entregues, devido à falta de informações básicas para elaborá-los, tal como a caracterização de óleo, causas do derramamento, o volume total derramado e o período que o óleo foi exposto a processos de intemperismo (o que influenciará a análise de seu potencial impacto).</w:t>
      </w:r>
    </w:p>
    <w:p w14:paraId="78AE5FED" w14:textId="77777777" w:rsidR="00953C7D" w:rsidRPr="00B3634F" w:rsidRDefault="00953C7D" w:rsidP="000A3626">
      <w:pPr>
        <w:pStyle w:val="tier1Itext"/>
      </w:pPr>
      <w:r w:rsidRPr="00B3634F">
        <w:t xml:space="preserve">A BP Energy manterá um arquivo dos relatórios gerados durante um período mínimo de </w:t>
      </w:r>
      <w:r>
        <w:t>0</w:t>
      </w:r>
      <w:r w:rsidRPr="00B3634F">
        <w:t xml:space="preserve">3 </w:t>
      </w:r>
      <w:r>
        <w:t xml:space="preserve">(três) </w:t>
      </w:r>
      <w:r w:rsidRPr="00B3634F">
        <w:t>anos, alinhada aos requisitos regulatórios atuais.</w:t>
      </w:r>
    </w:p>
    <w:p w14:paraId="54A2F10C" w14:textId="2379CA93" w:rsidR="00953C7D" w:rsidRPr="00B132EA" w:rsidRDefault="00953C7D" w:rsidP="00B132EA">
      <w:r w:rsidRPr="00B132EA">
        <w:t xml:space="preserve">Todas as notificações para autoridades deverão ser feitas de acordo com os prazos regulamentares de comunicação, considerado o uso das formas adequadas, tal como mostrado </w:t>
      </w:r>
      <w:r w:rsidRPr="00A70C70">
        <w:rPr>
          <w:highlight w:val="lightGray"/>
        </w:rPr>
        <w:t>na</w:t>
      </w:r>
      <w:r w:rsidR="00DC6B16" w:rsidRPr="00A70C70">
        <w:rPr>
          <w:highlight w:val="lightGray"/>
        </w:rPr>
        <w:t>s</w:t>
      </w:r>
      <w:r w:rsidRPr="00A70C70">
        <w:rPr>
          <w:highlight w:val="lightGray"/>
        </w:rPr>
        <w:t xml:space="preserve"> </w:t>
      </w:r>
      <w:r w:rsidR="00DC6B16" w:rsidRPr="00A70C70">
        <w:rPr>
          <w:highlight w:val="lightGray"/>
        </w:rPr>
        <w:fldChar w:fldCharType="begin"/>
      </w:r>
      <w:r w:rsidR="00DC6B16" w:rsidRPr="00A70C70">
        <w:rPr>
          <w:highlight w:val="lightGray"/>
        </w:rPr>
        <w:instrText xml:space="preserve"> REF  _Ref413163374 \h  \* MERGEFORMAT </w:instrText>
      </w:r>
      <w:r w:rsidR="00DC6B16" w:rsidRPr="00A70C70">
        <w:rPr>
          <w:highlight w:val="lightGray"/>
        </w:rPr>
      </w:r>
      <w:r w:rsidR="00DC6B16" w:rsidRPr="00A70C70">
        <w:rPr>
          <w:highlight w:val="lightGray"/>
        </w:rPr>
        <w:fldChar w:fldCharType="separate"/>
      </w:r>
      <w:r w:rsidR="00CD1E9E" w:rsidRPr="00A70C70">
        <w:rPr>
          <w:highlight w:val="lightGray"/>
        </w:rPr>
        <w:t>Tabela 11</w:t>
      </w:r>
      <w:r w:rsidR="00DC6B16" w:rsidRPr="00A70C70">
        <w:rPr>
          <w:highlight w:val="lightGray"/>
        </w:rPr>
        <w:fldChar w:fldCharType="end"/>
      </w:r>
      <w:r w:rsidR="00DC6B16" w:rsidRPr="00A70C70">
        <w:rPr>
          <w:highlight w:val="lightGray"/>
        </w:rPr>
        <w:t xml:space="preserve"> e </w:t>
      </w:r>
      <w:r w:rsidR="00CD1E9E" w:rsidRPr="00A70C70">
        <w:rPr>
          <w:highlight w:val="lightGray"/>
        </w:rPr>
        <w:fldChar w:fldCharType="begin"/>
      </w:r>
      <w:r w:rsidR="00CD1E9E" w:rsidRPr="00A70C70">
        <w:rPr>
          <w:highlight w:val="lightGray"/>
        </w:rPr>
        <w:instrText xml:space="preserve"> REF  _Ref413163374 \h  \* MERGEFORMAT </w:instrText>
      </w:r>
      <w:r w:rsidR="00CD1E9E" w:rsidRPr="00A70C70">
        <w:rPr>
          <w:highlight w:val="lightGray"/>
        </w:rPr>
      </w:r>
      <w:r w:rsidR="00CD1E9E" w:rsidRPr="00A70C70">
        <w:rPr>
          <w:highlight w:val="lightGray"/>
        </w:rPr>
        <w:fldChar w:fldCharType="separate"/>
      </w:r>
      <w:r w:rsidR="00CD1E9E" w:rsidRPr="00A70C70">
        <w:rPr>
          <w:rFonts w:asciiTheme="majorHAnsi" w:hAnsiTheme="majorHAnsi"/>
          <w:b/>
          <w:sz w:val="20"/>
          <w:szCs w:val="20"/>
          <w:highlight w:val="lightGray"/>
        </w:rPr>
        <w:t>Tabela 12</w:t>
      </w:r>
      <w:r w:rsidR="00CD1E9E" w:rsidRPr="00A70C70">
        <w:rPr>
          <w:highlight w:val="lightGray"/>
        </w:rPr>
        <w:fldChar w:fldCharType="end"/>
      </w:r>
      <w:r w:rsidR="00DC6B16" w:rsidRPr="00B132EA">
        <w:t>.</w:t>
      </w:r>
    </w:p>
    <w:p w14:paraId="0A062D35" w14:textId="77777777" w:rsidR="00953C7D" w:rsidRDefault="00953C7D" w:rsidP="00953C7D">
      <w:pPr>
        <w:pStyle w:val="tier1Itext"/>
        <w:sectPr w:rsidR="00953C7D" w:rsidSect="00656D39">
          <w:headerReference w:type="default" r:id="rId31"/>
          <w:footerReference w:type="default" r:id="rId32"/>
          <w:headerReference w:type="first" r:id="rId33"/>
          <w:footerReference w:type="first" r:id="rId34"/>
          <w:pgSz w:w="11907" w:h="16839" w:code="9"/>
          <w:pgMar w:top="1418" w:right="1418" w:bottom="1418" w:left="1418" w:header="170" w:footer="0" w:gutter="0"/>
          <w:cols w:space="720"/>
          <w:docGrid w:linePitch="360"/>
        </w:sectPr>
      </w:pP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1082"/>
        <w:gridCol w:w="5293"/>
        <w:gridCol w:w="5016"/>
        <w:gridCol w:w="2582"/>
      </w:tblGrid>
      <w:tr w:rsidR="00953C7D" w:rsidRPr="000A3626" w14:paraId="048B4FAB" w14:textId="77777777" w:rsidTr="000A3626">
        <w:trPr>
          <w:trHeight w:val="340"/>
          <w:tblHeader/>
        </w:trPr>
        <w:tc>
          <w:tcPr>
            <w:tcW w:w="5000" w:type="pct"/>
            <w:gridSpan w:val="4"/>
            <w:shd w:val="clear" w:color="auto" w:fill="FFFFFF" w:themeFill="background1"/>
            <w:vAlign w:val="bottom"/>
          </w:tcPr>
          <w:p w14:paraId="2A01078C" w14:textId="5B6F9268" w:rsidR="00953C7D" w:rsidRPr="000A3626" w:rsidRDefault="00953C7D" w:rsidP="000A3626">
            <w:pPr>
              <w:keepNext/>
              <w:keepLines/>
              <w:spacing w:before="0" w:line="240" w:lineRule="auto"/>
              <w:jc w:val="left"/>
              <w:rPr>
                <w:rFonts w:asciiTheme="majorHAnsi" w:hAnsiTheme="majorHAnsi"/>
                <w:b/>
                <w:sz w:val="20"/>
                <w:szCs w:val="20"/>
              </w:rPr>
            </w:pPr>
            <w:bookmarkStart w:id="113" w:name="_Ref413163374"/>
            <w:bookmarkStart w:id="114" w:name="_Toc413848078"/>
            <w:bookmarkStart w:id="115" w:name="_Toc527990486"/>
            <w:r w:rsidRPr="000A3626">
              <w:rPr>
                <w:rFonts w:asciiTheme="majorHAnsi" w:hAnsiTheme="majorHAnsi"/>
                <w:b/>
                <w:sz w:val="20"/>
                <w:szCs w:val="20"/>
              </w:rPr>
              <w:lastRenderedPageBreak/>
              <w:t xml:space="preserve">Tabela </w:t>
            </w:r>
            <w:r w:rsidRPr="000A3626">
              <w:rPr>
                <w:rFonts w:asciiTheme="majorHAnsi" w:hAnsiTheme="majorHAnsi"/>
                <w:b/>
                <w:sz w:val="20"/>
                <w:szCs w:val="20"/>
              </w:rPr>
              <w:fldChar w:fldCharType="begin"/>
            </w:r>
            <w:r w:rsidRPr="000A3626">
              <w:rPr>
                <w:rFonts w:asciiTheme="majorHAnsi" w:hAnsiTheme="majorHAnsi"/>
                <w:b/>
                <w:sz w:val="20"/>
                <w:szCs w:val="20"/>
              </w:rPr>
              <w:instrText xml:space="preserve"> SEQ Tabela \* ARABIC </w:instrText>
            </w:r>
            <w:r w:rsidRPr="000A3626">
              <w:rPr>
                <w:rFonts w:asciiTheme="majorHAnsi" w:hAnsiTheme="majorHAnsi"/>
                <w:b/>
                <w:sz w:val="20"/>
                <w:szCs w:val="20"/>
              </w:rPr>
              <w:fldChar w:fldCharType="separate"/>
            </w:r>
            <w:r w:rsidR="00CD1E9E">
              <w:rPr>
                <w:rFonts w:asciiTheme="majorHAnsi" w:hAnsiTheme="majorHAnsi"/>
                <w:b/>
                <w:noProof/>
                <w:sz w:val="20"/>
                <w:szCs w:val="20"/>
              </w:rPr>
              <w:t>11</w:t>
            </w:r>
            <w:r w:rsidRPr="000A3626">
              <w:rPr>
                <w:rFonts w:asciiTheme="majorHAnsi" w:hAnsiTheme="majorHAnsi"/>
                <w:b/>
                <w:sz w:val="20"/>
                <w:szCs w:val="20"/>
              </w:rPr>
              <w:fldChar w:fldCharType="end"/>
            </w:r>
            <w:bookmarkEnd w:id="113"/>
            <w:r w:rsidRPr="000A3626">
              <w:rPr>
                <w:rFonts w:asciiTheme="majorHAnsi" w:hAnsiTheme="majorHAnsi"/>
                <w:b/>
                <w:sz w:val="20"/>
                <w:szCs w:val="20"/>
              </w:rPr>
              <w:t>: Notificações externas para agências ambientais.</w:t>
            </w:r>
            <w:bookmarkEnd w:id="114"/>
            <w:bookmarkEnd w:id="115"/>
          </w:p>
        </w:tc>
      </w:tr>
      <w:tr w:rsidR="00953C7D" w:rsidRPr="000A3626" w14:paraId="770D4BBD" w14:textId="77777777" w:rsidTr="000A3626">
        <w:trPr>
          <w:trHeight w:val="283"/>
          <w:tblHeader/>
        </w:trPr>
        <w:tc>
          <w:tcPr>
            <w:tcW w:w="2281" w:type="pct"/>
            <w:gridSpan w:val="2"/>
            <w:shd w:val="clear" w:color="auto" w:fill="1F497D" w:themeFill="text2"/>
            <w:vAlign w:val="center"/>
          </w:tcPr>
          <w:p w14:paraId="6F7C035F" w14:textId="77777777" w:rsidR="00953C7D" w:rsidRPr="000A3626" w:rsidRDefault="00953C7D" w:rsidP="000A3626">
            <w:pPr>
              <w:keepNext/>
              <w:keepLines/>
              <w:spacing w:before="0" w:line="240" w:lineRule="auto"/>
              <w:jc w:val="center"/>
              <w:rPr>
                <w:rFonts w:asciiTheme="majorHAnsi" w:hAnsiTheme="majorHAnsi"/>
                <w:b/>
                <w:color w:val="FFFFFF" w:themeColor="background1"/>
                <w:sz w:val="20"/>
                <w:szCs w:val="20"/>
              </w:rPr>
            </w:pPr>
            <w:r w:rsidRPr="000A3626">
              <w:rPr>
                <w:rFonts w:asciiTheme="majorHAnsi" w:hAnsiTheme="majorHAnsi"/>
                <w:b/>
                <w:color w:val="FFFFFF" w:themeColor="background1"/>
                <w:sz w:val="20"/>
                <w:szCs w:val="20"/>
              </w:rPr>
              <w:t>Comunicação</w:t>
            </w:r>
          </w:p>
        </w:tc>
        <w:tc>
          <w:tcPr>
            <w:tcW w:w="1795" w:type="pct"/>
            <w:vMerge w:val="restart"/>
            <w:shd w:val="clear" w:color="auto" w:fill="1F497D" w:themeFill="text2"/>
            <w:vAlign w:val="center"/>
          </w:tcPr>
          <w:p w14:paraId="039A52D2" w14:textId="77777777" w:rsidR="00953C7D" w:rsidRPr="000A3626" w:rsidRDefault="00953C7D" w:rsidP="000A3626">
            <w:pPr>
              <w:keepNext/>
              <w:keepLines/>
              <w:spacing w:before="0" w:line="240" w:lineRule="auto"/>
              <w:jc w:val="center"/>
              <w:rPr>
                <w:rFonts w:asciiTheme="majorHAnsi" w:hAnsiTheme="majorHAnsi"/>
                <w:b/>
                <w:color w:val="FFFFFF" w:themeColor="background1"/>
                <w:sz w:val="20"/>
                <w:szCs w:val="20"/>
              </w:rPr>
            </w:pPr>
            <w:r w:rsidRPr="000A3626">
              <w:rPr>
                <w:rFonts w:asciiTheme="majorHAnsi" w:hAnsiTheme="majorHAnsi"/>
                <w:b/>
                <w:color w:val="FFFFFF" w:themeColor="background1"/>
                <w:sz w:val="20"/>
                <w:szCs w:val="20"/>
              </w:rPr>
              <w:t>Autoridades a Serem Comunicadas</w:t>
            </w:r>
          </w:p>
        </w:tc>
        <w:tc>
          <w:tcPr>
            <w:tcW w:w="924" w:type="pct"/>
            <w:vMerge w:val="restart"/>
            <w:shd w:val="clear" w:color="auto" w:fill="1F497D" w:themeFill="text2"/>
            <w:vAlign w:val="center"/>
          </w:tcPr>
          <w:p w14:paraId="5267E6C7" w14:textId="77777777" w:rsidR="00953C7D" w:rsidRPr="000A3626" w:rsidRDefault="00953C7D" w:rsidP="000A3626">
            <w:pPr>
              <w:keepNext/>
              <w:keepLines/>
              <w:spacing w:before="0" w:line="240" w:lineRule="auto"/>
              <w:jc w:val="center"/>
              <w:rPr>
                <w:rFonts w:asciiTheme="majorHAnsi" w:hAnsiTheme="majorHAnsi"/>
                <w:b/>
                <w:color w:val="FFFFFF" w:themeColor="background1"/>
                <w:sz w:val="20"/>
                <w:szCs w:val="20"/>
              </w:rPr>
            </w:pPr>
            <w:r w:rsidRPr="000A3626">
              <w:rPr>
                <w:rFonts w:asciiTheme="majorHAnsi" w:hAnsiTheme="majorHAnsi"/>
                <w:b/>
                <w:color w:val="FFFFFF" w:themeColor="background1"/>
                <w:sz w:val="20"/>
                <w:szCs w:val="20"/>
              </w:rPr>
              <w:t>Prazo</w:t>
            </w:r>
          </w:p>
        </w:tc>
      </w:tr>
      <w:tr w:rsidR="00953C7D" w:rsidRPr="000A3626" w14:paraId="699379B2" w14:textId="77777777" w:rsidTr="000A3626">
        <w:trPr>
          <w:trHeight w:val="283"/>
          <w:tblHeader/>
        </w:trPr>
        <w:tc>
          <w:tcPr>
            <w:tcW w:w="387" w:type="pct"/>
            <w:shd w:val="clear" w:color="auto" w:fill="1F497D" w:themeFill="text2"/>
            <w:vAlign w:val="center"/>
          </w:tcPr>
          <w:p w14:paraId="541F7DA2" w14:textId="77777777" w:rsidR="00953C7D" w:rsidRPr="000A3626" w:rsidDel="00C60E6B" w:rsidRDefault="00953C7D" w:rsidP="000A3626">
            <w:pPr>
              <w:keepNext/>
              <w:keepLines/>
              <w:spacing w:before="0" w:line="240" w:lineRule="auto"/>
              <w:ind w:left="-142" w:right="-108"/>
              <w:jc w:val="center"/>
              <w:rPr>
                <w:rFonts w:asciiTheme="majorHAnsi" w:hAnsiTheme="majorHAnsi"/>
                <w:b/>
                <w:color w:val="FFFFFF" w:themeColor="background1"/>
                <w:sz w:val="20"/>
                <w:szCs w:val="20"/>
              </w:rPr>
            </w:pPr>
            <w:r w:rsidRPr="000A3626">
              <w:rPr>
                <w:rFonts w:asciiTheme="majorHAnsi" w:hAnsiTheme="majorHAnsi"/>
                <w:b/>
                <w:color w:val="FFFFFF" w:themeColor="background1"/>
                <w:sz w:val="20"/>
                <w:szCs w:val="20"/>
              </w:rPr>
              <w:t>Natureza</w:t>
            </w:r>
          </w:p>
        </w:tc>
        <w:tc>
          <w:tcPr>
            <w:tcW w:w="1894" w:type="pct"/>
            <w:shd w:val="clear" w:color="auto" w:fill="1F497D" w:themeFill="text2"/>
            <w:vAlign w:val="center"/>
          </w:tcPr>
          <w:p w14:paraId="57237FF3" w14:textId="77777777" w:rsidR="00953C7D" w:rsidRPr="000A3626" w:rsidDel="00C60E6B" w:rsidRDefault="00953C7D" w:rsidP="000A3626">
            <w:pPr>
              <w:keepNext/>
              <w:keepLines/>
              <w:spacing w:before="0" w:line="240" w:lineRule="auto"/>
              <w:jc w:val="center"/>
              <w:rPr>
                <w:rFonts w:asciiTheme="majorHAnsi" w:hAnsiTheme="majorHAnsi"/>
                <w:b/>
                <w:color w:val="FFFFFF" w:themeColor="background1"/>
                <w:sz w:val="20"/>
                <w:szCs w:val="20"/>
              </w:rPr>
            </w:pPr>
            <w:r w:rsidRPr="000A3626">
              <w:rPr>
                <w:rFonts w:asciiTheme="majorHAnsi" w:hAnsiTheme="majorHAnsi"/>
                <w:b/>
                <w:color w:val="FFFFFF" w:themeColor="background1"/>
                <w:sz w:val="20"/>
                <w:szCs w:val="20"/>
              </w:rPr>
              <w:t>Forma/Relatório</w:t>
            </w:r>
          </w:p>
        </w:tc>
        <w:tc>
          <w:tcPr>
            <w:tcW w:w="1795" w:type="pct"/>
            <w:vMerge/>
            <w:shd w:val="clear" w:color="auto" w:fill="1F497D" w:themeFill="text2"/>
            <w:vAlign w:val="center"/>
          </w:tcPr>
          <w:p w14:paraId="07F06DCA" w14:textId="77777777" w:rsidR="00953C7D" w:rsidRPr="000A3626" w:rsidRDefault="00953C7D" w:rsidP="000A3626">
            <w:pPr>
              <w:keepNext/>
              <w:keepLines/>
              <w:spacing w:before="0" w:line="240" w:lineRule="auto"/>
              <w:jc w:val="center"/>
              <w:rPr>
                <w:rFonts w:asciiTheme="majorHAnsi" w:hAnsiTheme="majorHAnsi"/>
                <w:b/>
                <w:color w:val="FFFFFF" w:themeColor="background1"/>
                <w:sz w:val="20"/>
                <w:szCs w:val="20"/>
              </w:rPr>
            </w:pPr>
          </w:p>
        </w:tc>
        <w:tc>
          <w:tcPr>
            <w:tcW w:w="924" w:type="pct"/>
            <w:vMerge/>
            <w:shd w:val="clear" w:color="auto" w:fill="1F497D" w:themeFill="text2"/>
          </w:tcPr>
          <w:p w14:paraId="2DB09010" w14:textId="77777777" w:rsidR="00953C7D" w:rsidRPr="000A3626" w:rsidRDefault="00953C7D" w:rsidP="000A3626">
            <w:pPr>
              <w:keepNext/>
              <w:keepLines/>
              <w:spacing w:before="0" w:line="240" w:lineRule="auto"/>
              <w:jc w:val="center"/>
              <w:rPr>
                <w:rFonts w:asciiTheme="majorHAnsi" w:hAnsiTheme="majorHAnsi"/>
                <w:b/>
                <w:color w:val="FFFFFF" w:themeColor="background1"/>
                <w:sz w:val="20"/>
                <w:szCs w:val="20"/>
              </w:rPr>
            </w:pPr>
          </w:p>
        </w:tc>
      </w:tr>
      <w:tr w:rsidR="00953C7D" w:rsidRPr="000A3626" w14:paraId="25EE0306" w14:textId="77777777" w:rsidTr="00953C7D">
        <w:trPr>
          <w:trHeight w:val="675"/>
        </w:trPr>
        <w:tc>
          <w:tcPr>
            <w:tcW w:w="387" w:type="pct"/>
            <w:vMerge w:val="restart"/>
            <w:shd w:val="clear" w:color="auto" w:fill="FF6600"/>
            <w:textDirection w:val="btLr"/>
            <w:vAlign w:val="center"/>
          </w:tcPr>
          <w:p w14:paraId="59B0913B" w14:textId="77777777" w:rsidR="00953C7D" w:rsidRPr="00F02324" w:rsidRDefault="00953C7D" w:rsidP="000A3626">
            <w:pPr>
              <w:pStyle w:val="itemx"/>
              <w:keepNext/>
              <w:numPr>
                <w:ilvl w:val="0"/>
                <w:numId w:val="0"/>
              </w:numPr>
              <w:tabs>
                <w:tab w:val="left" w:pos="1122"/>
              </w:tabs>
              <w:spacing w:before="0" w:after="0"/>
              <w:ind w:left="-284" w:right="113"/>
              <w:jc w:val="center"/>
              <w:rPr>
                <w:rFonts w:asciiTheme="majorHAnsi" w:hAnsiTheme="majorHAnsi" w:cs="Arial"/>
                <w:b/>
                <w:color w:val="FFFFFF" w:themeColor="background1"/>
                <w:lang w:val="pt-BR"/>
              </w:rPr>
            </w:pPr>
            <w:r w:rsidRPr="00F02324">
              <w:rPr>
                <w:rFonts w:asciiTheme="majorHAnsi" w:hAnsiTheme="majorHAnsi" w:cs="Arial"/>
                <w:b/>
                <w:color w:val="FFFFFF" w:themeColor="background1"/>
                <w:lang w:val="pt-BR"/>
              </w:rPr>
              <w:t>COMUNICAÇÃO INICIAL</w:t>
            </w:r>
          </w:p>
        </w:tc>
        <w:tc>
          <w:tcPr>
            <w:tcW w:w="1894" w:type="pct"/>
            <w:shd w:val="clear" w:color="auto" w:fill="FF6600"/>
            <w:vAlign w:val="center"/>
          </w:tcPr>
          <w:p w14:paraId="65C07007" w14:textId="77777777" w:rsidR="00953C7D" w:rsidRPr="00F02324" w:rsidRDefault="00953C7D" w:rsidP="000A3626">
            <w:pPr>
              <w:pStyle w:val="itemx"/>
              <w:keepNext/>
              <w:numPr>
                <w:ilvl w:val="0"/>
                <w:numId w:val="0"/>
              </w:numPr>
              <w:tabs>
                <w:tab w:val="left" w:pos="1122"/>
              </w:tabs>
              <w:spacing w:before="0" w:after="0"/>
              <w:jc w:val="left"/>
              <w:rPr>
                <w:rFonts w:asciiTheme="majorHAnsi" w:hAnsiTheme="majorHAnsi" w:cs="Arial"/>
                <w:color w:val="FFFFFF" w:themeColor="background1"/>
                <w:lang w:val="pt-BR"/>
              </w:rPr>
            </w:pPr>
            <w:r w:rsidRPr="00F02324">
              <w:rPr>
                <w:rFonts w:asciiTheme="majorHAnsi" w:hAnsiTheme="majorHAnsi" w:cs="Arial"/>
                <w:color w:val="FFFFFF" w:themeColor="background1"/>
                <w:lang w:val="pt-BR"/>
              </w:rPr>
              <w:t xml:space="preserve">Formulário </w:t>
            </w:r>
            <w:r w:rsidRPr="00F02324">
              <w:rPr>
                <w:rFonts w:asciiTheme="majorHAnsi" w:hAnsiTheme="majorHAnsi"/>
                <w:color w:val="FFFFFF" w:themeColor="background1"/>
                <w:lang w:val="pt-BR"/>
              </w:rPr>
              <w:t xml:space="preserve">de Comunicação Inicial de Incidentes </w:t>
            </w:r>
            <w:r w:rsidRPr="00F02324">
              <w:rPr>
                <w:rFonts w:asciiTheme="majorHAnsi" w:hAnsiTheme="majorHAnsi" w:cs="Arial"/>
                <w:color w:val="FFFFFF" w:themeColor="background1"/>
                <w:lang w:val="pt-BR"/>
              </w:rPr>
              <w:t xml:space="preserve">na plataforma do SIEMA </w:t>
            </w:r>
            <w:r w:rsidRPr="00F02324">
              <w:rPr>
                <w:rFonts w:asciiTheme="majorHAnsi" w:hAnsiTheme="majorHAnsi"/>
                <w:color w:val="FFFFFF" w:themeColor="background1"/>
                <w:lang w:val="pt-BR"/>
              </w:rPr>
              <w:t>(de acordo com a Lei Federal 9966/00, Art. 22 e regulamentado pelo Anexo II do Decreto Federal 4.136/02)</w:t>
            </w:r>
          </w:p>
        </w:tc>
        <w:tc>
          <w:tcPr>
            <w:tcW w:w="1795" w:type="pct"/>
            <w:shd w:val="clear" w:color="auto" w:fill="D9D9D9" w:themeFill="background1" w:themeFillShade="D9"/>
            <w:vAlign w:val="center"/>
          </w:tcPr>
          <w:p w14:paraId="2296B674" w14:textId="36B762E8" w:rsidR="00953C7D" w:rsidRPr="000A3626" w:rsidRDefault="00953C7D" w:rsidP="00FE3D31">
            <w:pPr>
              <w:pStyle w:val="xl40"/>
              <w:keepNext/>
              <w:pBdr>
                <w:top w:val="none" w:sz="0" w:space="0" w:color="auto"/>
                <w:bottom w:val="none" w:sz="0" w:space="0" w:color="auto"/>
                <w:right w:val="none" w:sz="0" w:space="0" w:color="auto"/>
              </w:pBdr>
              <w:tabs>
                <w:tab w:val="left" w:pos="1122"/>
              </w:tabs>
              <w:spacing w:before="0" w:beforeAutospacing="0" w:after="0" w:afterAutospacing="0"/>
              <w:rPr>
                <w:rFonts w:asciiTheme="majorHAnsi" w:hAnsiTheme="majorHAnsi" w:cstheme="majorHAnsi"/>
                <w:sz w:val="20"/>
                <w:szCs w:val="20"/>
                <w:lang w:val="pt-BR"/>
              </w:rPr>
            </w:pPr>
            <w:r w:rsidRPr="000A3626">
              <w:rPr>
                <w:rFonts w:asciiTheme="majorHAnsi" w:hAnsiTheme="majorHAnsi" w:cs="Arial"/>
                <w:sz w:val="20"/>
                <w:szCs w:val="20"/>
                <w:lang w:val="pt-BR"/>
              </w:rPr>
              <w:t>IBAMA (CGEMA &amp; C</w:t>
            </w:r>
            <w:r w:rsidR="00FE3D31">
              <w:rPr>
                <w:rFonts w:asciiTheme="majorHAnsi" w:hAnsiTheme="majorHAnsi" w:cs="Arial"/>
                <w:sz w:val="20"/>
                <w:szCs w:val="20"/>
                <w:lang w:val="pt-BR"/>
              </w:rPr>
              <w:t>OEXP</w:t>
            </w:r>
            <w:r w:rsidR="001D4B93" w:rsidRPr="00A70C70">
              <w:rPr>
                <w:rFonts w:asciiTheme="majorHAnsi" w:hAnsiTheme="majorHAnsi" w:cs="Arial"/>
                <w:sz w:val="20"/>
                <w:szCs w:val="20"/>
                <w:highlight w:val="darkGray"/>
                <w:lang w:val="pt-BR"/>
              </w:rPr>
              <w:t>/CGMAC</w:t>
            </w:r>
            <w:r w:rsidRPr="000A3626">
              <w:rPr>
                <w:rFonts w:asciiTheme="majorHAnsi" w:hAnsiTheme="majorHAnsi" w:cs="Arial"/>
                <w:sz w:val="20"/>
                <w:szCs w:val="20"/>
                <w:lang w:val="pt-BR"/>
              </w:rPr>
              <w:t>)</w:t>
            </w:r>
          </w:p>
        </w:tc>
        <w:tc>
          <w:tcPr>
            <w:tcW w:w="924" w:type="pct"/>
            <w:vMerge w:val="restart"/>
            <w:shd w:val="clear" w:color="auto" w:fill="D9D9D9" w:themeFill="background1" w:themeFillShade="D9"/>
            <w:vAlign w:val="center"/>
          </w:tcPr>
          <w:p w14:paraId="0AE247ED" w14:textId="77777777" w:rsidR="00953C7D" w:rsidRPr="000A3626" w:rsidRDefault="000A3626" w:rsidP="000A3626">
            <w:pPr>
              <w:pStyle w:val="xl40"/>
              <w:keepNext/>
              <w:pBdr>
                <w:top w:val="none" w:sz="0" w:space="0" w:color="auto"/>
                <w:bottom w:val="none" w:sz="0" w:space="0" w:color="auto"/>
                <w:right w:val="none" w:sz="0" w:space="0" w:color="auto"/>
              </w:pBdr>
              <w:tabs>
                <w:tab w:val="left" w:pos="1122"/>
              </w:tabs>
              <w:spacing w:before="0" w:beforeAutospacing="0" w:after="0" w:afterAutospacing="0"/>
              <w:jc w:val="center"/>
              <w:rPr>
                <w:rFonts w:asciiTheme="majorHAnsi" w:hAnsiTheme="majorHAnsi" w:cs="Arial"/>
                <w:b/>
                <w:sz w:val="20"/>
                <w:szCs w:val="20"/>
                <w:lang w:val="pt-BR"/>
              </w:rPr>
            </w:pPr>
            <w:r>
              <w:rPr>
                <w:rFonts w:asciiTheme="majorHAnsi" w:hAnsiTheme="majorHAnsi" w:cs="Arial"/>
                <w:b/>
                <w:sz w:val="20"/>
                <w:szCs w:val="20"/>
                <w:lang w:val="pt-BR"/>
              </w:rPr>
              <w:t>Imediato</w:t>
            </w:r>
            <w:r w:rsidR="00953C7D" w:rsidRPr="000A3626">
              <w:rPr>
                <w:rFonts w:asciiTheme="majorHAnsi" w:hAnsiTheme="majorHAnsi" w:cs="Arial"/>
                <w:b/>
                <w:sz w:val="20"/>
                <w:szCs w:val="20"/>
                <w:vertAlign w:val="superscript"/>
                <w:lang w:val="pt-BR"/>
              </w:rPr>
              <w:t>1</w:t>
            </w:r>
          </w:p>
        </w:tc>
      </w:tr>
      <w:tr w:rsidR="00953C7D" w:rsidRPr="000A3626" w14:paraId="09E7DC89" w14:textId="77777777" w:rsidTr="008300D5">
        <w:trPr>
          <w:cantSplit/>
          <w:trHeight w:val="213"/>
        </w:trPr>
        <w:tc>
          <w:tcPr>
            <w:tcW w:w="387" w:type="pct"/>
            <w:vMerge/>
            <w:shd w:val="clear" w:color="auto" w:fill="FF6600"/>
            <w:textDirection w:val="btLr"/>
            <w:vAlign w:val="center"/>
          </w:tcPr>
          <w:p w14:paraId="36F6D24D" w14:textId="77777777" w:rsidR="00953C7D" w:rsidRPr="000A3626" w:rsidRDefault="00953C7D" w:rsidP="000A3626">
            <w:pPr>
              <w:pStyle w:val="itemx"/>
              <w:keepNext/>
              <w:numPr>
                <w:ilvl w:val="0"/>
                <w:numId w:val="0"/>
              </w:numPr>
              <w:tabs>
                <w:tab w:val="left" w:pos="1122"/>
              </w:tabs>
              <w:spacing w:before="0" w:after="0"/>
              <w:ind w:left="-284" w:right="113"/>
              <w:jc w:val="center"/>
              <w:rPr>
                <w:rFonts w:asciiTheme="majorHAnsi" w:hAnsiTheme="majorHAnsi" w:cs="Arial"/>
                <w:b/>
                <w:lang w:val="pt-BR"/>
              </w:rPr>
            </w:pPr>
          </w:p>
        </w:tc>
        <w:tc>
          <w:tcPr>
            <w:tcW w:w="1894" w:type="pct"/>
            <w:vMerge w:val="restart"/>
            <w:shd w:val="clear" w:color="auto" w:fill="FF6600"/>
            <w:vAlign w:val="center"/>
          </w:tcPr>
          <w:p w14:paraId="35EE94A3" w14:textId="77777777" w:rsidR="00953C7D" w:rsidRPr="00FE3D31" w:rsidRDefault="00953C7D" w:rsidP="000A3626">
            <w:pPr>
              <w:pStyle w:val="itemx"/>
              <w:keepNext/>
              <w:tabs>
                <w:tab w:val="left" w:pos="1122"/>
              </w:tabs>
              <w:spacing w:before="0" w:after="0"/>
              <w:ind w:left="0"/>
              <w:jc w:val="left"/>
              <w:rPr>
                <w:rFonts w:asciiTheme="majorHAnsi" w:hAnsiTheme="majorHAnsi" w:cs="Arial"/>
                <w:color w:val="FFFFFF" w:themeColor="background1"/>
                <w:lang w:val="pt-BR"/>
              </w:rPr>
            </w:pPr>
            <w:r w:rsidRPr="00FE3D31">
              <w:rPr>
                <w:rFonts w:asciiTheme="majorHAnsi" w:hAnsiTheme="majorHAnsi"/>
                <w:color w:val="FFFFFF" w:themeColor="background1"/>
                <w:lang w:val="pt-BR"/>
              </w:rPr>
              <w:t>Formulário de Comunicação Inicial de Incidentes enviado via fax ou e-mail (de acordo com a Lei Federal 9966/00, Art. 22 e regulamentado pelo Anexo II do Decreto Federal 4.136/02)</w:t>
            </w:r>
          </w:p>
        </w:tc>
        <w:tc>
          <w:tcPr>
            <w:tcW w:w="1795" w:type="pct"/>
            <w:shd w:val="clear" w:color="auto" w:fill="D9D9D9" w:themeFill="background1" w:themeFillShade="D9"/>
            <w:vAlign w:val="center"/>
          </w:tcPr>
          <w:p w14:paraId="1CC901B1" w14:textId="4D4C21BA" w:rsidR="00953C7D" w:rsidRPr="000A3626" w:rsidRDefault="00953C7D" w:rsidP="00FE3D31">
            <w:pPr>
              <w:pStyle w:val="xl40"/>
              <w:keepNext/>
              <w:pBdr>
                <w:top w:val="none" w:sz="0" w:space="0" w:color="auto"/>
                <w:bottom w:val="none" w:sz="0" w:space="0" w:color="auto"/>
                <w:right w:val="none" w:sz="0" w:space="0" w:color="auto"/>
              </w:pBdr>
              <w:tabs>
                <w:tab w:val="left" w:pos="1122"/>
              </w:tabs>
              <w:spacing w:before="0" w:beforeAutospacing="0" w:after="0" w:afterAutospacing="0"/>
              <w:rPr>
                <w:rFonts w:asciiTheme="majorHAnsi" w:hAnsiTheme="majorHAnsi" w:cs="Arial"/>
                <w:sz w:val="20"/>
                <w:szCs w:val="20"/>
                <w:lang w:val="pt-BR"/>
              </w:rPr>
            </w:pPr>
            <w:r w:rsidRPr="000A3626">
              <w:rPr>
                <w:rFonts w:asciiTheme="majorHAnsi" w:hAnsiTheme="majorHAnsi" w:cs="Arial"/>
                <w:sz w:val="20"/>
                <w:szCs w:val="20"/>
                <w:lang w:val="pt-BR"/>
              </w:rPr>
              <w:t>IBAMA (CGEMA &amp; C</w:t>
            </w:r>
            <w:r w:rsidR="00FE3D31">
              <w:rPr>
                <w:rFonts w:asciiTheme="majorHAnsi" w:hAnsiTheme="majorHAnsi" w:cs="Arial"/>
                <w:sz w:val="20"/>
                <w:szCs w:val="20"/>
                <w:lang w:val="pt-BR"/>
              </w:rPr>
              <w:t>OEXP</w:t>
            </w:r>
            <w:r w:rsidR="001D4B93" w:rsidRPr="00A70C70">
              <w:rPr>
                <w:rFonts w:asciiTheme="majorHAnsi" w:hAnsiTheme="majorHAnsi" w:cs="Arial"/>
                <w:sz w:val="20"/>
                <w:szCs w:val="20"/>
                <w:highlight w:val="darkGray"/>
                <w:lang w:val="pt-BR"/>
              </w:rPr>
              <w:t>/CGMAC</w:t>
            </w:r>
            <w:r w:rsidRPr="000A3626">
              <w:rPr>
                <w:rFonts w:asciiTheme="majorHAnsi" w:hAnsiTheme="majorHAnsi" w:cs="Arial"/>
                <w:sz w:val="20"/>
                <w:szCs w:val="20"/>
                <w:lang w:val="pt-BR"/>
              </w:rPr>
              <w:t>) – se SIEMA inoperante</w:t>
            </w:r>
          </w:p>
        </w:tc>
        <w:tc>
          <w:tcPr>
            <w:tcW w:w="924" w:type="pct"/>
            <w:vMerge/>
            <w:shd w:val="clear" w:color="auto" w:fill="D9D9D9" w:themeFill="background1" w:themeFillShade="D9"/>
          </w:tcPr>
          <w:p w14:paraId="665299EC" w14:textId="77777777" w:rsidR="00953C7D" w:rsidRPr="000A3626" w:rsidRDefault="00953C7D" w:rsidP="000A3626">
            <w:pPr>
              <w:pStyle w:val="xl40"/>
              <w:keepNext/>
              <w:pBdr>
                <w:top w:val="none" w:sz="0" w:space="0" w:color="auto"/>
                <w:bottom w:val="none" w:sz="0" w:space="0" w:color="auto"/>
                <w:right w:val="none" w:sz="0" w:space="0" w:color="auto"/>
              </w:pBdr>
              <w:tabs>
                <w:tab w:val="left" w:pos="1122"/>
              </w:tabs>
              <w:spacing w:before="0" w:beforeAutospacing="0" w:after="0" w:afterAutospacing="0"/>
              <w:rPr>
                <w:rFonts w:asciiTheme="majorHAnsi" w:hAnsiTheme="majorHAnsi" w:cs="Arial"/>
                <w:sz w:val="20"/>
                <w:szCs w:val="20"/>
                <w:lang w:val="pt-BR"/>
              </w:rPr>
            </w:pPr>
          </w:p>
        </w:tc>
      </w:tr>
      <w:tr w:rsidR="00953C7D" w:rsidRPr="000A3626" w14:paraId="5F30068D" w14:textId="77777777" w:rsidTr="008300D5">
        <w:trPr>
          <w:cantSplit/>
          <w:trHeight w:val="293"/>
        </w:trPr>
        <w:tc>
          <w:tcPr>
            <w:tcW w:w="387" w:type="pct"/>
            <w:vMerge/>
            <w:shd w:val="clear" w:color="auto" w:fill="FF6600"/>
            <w:textDirection w:val="btLr"/>
            <w:vAlign w:val="center"/>
          </w:tcPr>
          <w:p w14:paraId="1F043988" w14:textId="77777777" w:rsidR="00953C7D" w:rsidRPr="000A3626" w:rsidRDefault="00953C7D" w:rsidP="000A3626">
            <w:pPr>
              <w:pStyle w:val="itemx"/>
              <w:keepNext/>
              <w:numPr>
                <w:ilvl w:val="0"/>
                <w:numId w:val="0"/>
              </w:numPr>
              <w:tabs>
                <w:tab w:val="left" w:pos="1122"/>
              </w:tabs>
              <w:spacing w:before="0" w:after="0"/>
              <w:ind w:left="113" w:right="113"/>
              <w:jc w:val="center"/>
              <w:rPr>
                <w:rFonts w:asciiTheme="majorHAnsi" w:hAnsiTheme="majorHAnsi" w:cs="Arial"/>
                <w:b/>
                <w:lang w:val="pt-BR"/>
              </w:rPr>
            </w:pPr>
          </w:p>
        </w:tc>
        <w:tc>
          <w:tcPr>
            <w:tcW w:w="1894" w:type="pct"/>
            <w:vMerge/>
            <w:shd w:val="clear" w:color="auto" w:fill="FF6600"/>
            <w:vAlign w:val="center"/>
          </w:tcPr>
          <w:p w14:paraId="001FCE02" w14:textId="77777777" w:rsidR="00953C7D" w:rsidRPr="00FE3D31" w:rsidRDefault="00953C7D" w:rsidP="000A3626">
            <w:pPr>
              <w:pStyle w:val="itemx"/>
              <w:keepNext/>
              <w:numPr>
                <w:ilvl w:val="0"/>
                <w:numId w:val="0"/>
              </w:numPr>
              <w:tabs>
                <w:tab w:val="left" w:pos="1122"/>
              </w:tabs>
              <w:spacing w:before="0" w:after="0"/>
              <w:jc w:val="left"/>
              <w:rPr>
                <w:rFonts w:asciiTheme="majorHAnsi" w:hAnsiTheme="majorHAnsi" w:cs="Arial"/>
                <w:color w:val="FFFFFF" w:themeColor="background1"/>
                <w:lang w:val="pt-BR"/>
              </w:rPr>
            </w:pPr>
          </w:p>
        </w:tc>
        <w:tc>
          <w:tcPr>
            <w:tcW w:w="1795" w:type="pct"/>
            <w:shd w:val="clear" w:color="auto" w:fill="D9D9D9" w:themeFill="background1" w:themeFillShade="D9"/>
            <w:vAlign w:val="center"/>
          </w:tcPr>
          <w:p w14:paraId="5F2ECDA9" w14:textId="77777777" w:rsidR="00953C7D" w:rsidRPr="000A3626" w:rsidRDefault="00953C7D" w:rsidP="000A3626">
            <w:pPr>
              <w:pStyle w:val="xl40"/>
              <w:keepNext/>
              <w:pBdr>
                <w:top w:val="none" w:sz="0" w:space="0" w:color="auto"/>
                <w:bottom w:val="none" w:sz="0" w:space="0" w:color="auto"/>
                <w:right w:val="none" w:sz="0" w:space="0" w:color="auto"/>
              </w:pBdr>
              <w:tabs>
                <w:tab w:val="left" w:pos="1122"/>
              </w:tabs>
              <w:spacing w:before="0" w:beforeAutospacing="0" w:after="0" w:afterAutospacing="0"/>
              <w:rPr>
                <w:rFonts w:asciiTheme="majorHAnsi" w:hAnsiTheme="majorHAnsi"/>
                <w:sz w:val="20"/>
                <w:szCs w:val="20"/>
                <w:lang w:val="pt-BR"/>
              </w:rPr>
            </w:pPr>
            <w:r w:rsidRPr="000A3626">
              <w:rPr>
                <w:rFonts w:asciiTheme="majorHAnsi" w:hAnsiTheme="majorHAnsi" w:cstheme="majorHAnsi"/>
                <w:sz w:val="20"/>
                <w:szCs w:val="20"/>
                <w:lang w:val="pt-BR"/>
              </w:rPr>
              <w:t>Capitania dos Portos de Macapá</w:t>
            </w:r>
          </w:p>
        </w:tc>
        <w:tc>
          <w:tcPr>
            <w:tcW w:w="924" w:type="pct"/>
            <w:vMerge/>
            <w:shd w:val="clear" w:color="auto" w:fill="D9D9D9" w:themeFill="background1" w:themeFillShade="D9"/>
          </w:tcPr>
          <w:p w14:paraId="2194A94F" w14:textId="77777777" w:rsidR="00953C7D" w:rsidRPr="000A3626" w:rsidRDefault="00953C7D" w:rsidP="000A3626">
            <w:pPr>
              <w:pStyle w:val="xl40"/>
              <w:keepNext/>
              <w:pBdr>
                <w:top w:val="none" w:sz="0" w:space="0" w:color="auto"/>
                <w:bottom w:val="none" w:sz="0" w:space="0" w:color="auto"/>
                <w:right w:val="none" w:sz="0" w:space="0" w:color="auto"/>
              </w:pBdr>
              <w:tabs>
                <w:tab w:val="left" w:pos="1122"/>
              </w:tabs>
              <w:spacing w:before="0" w:beforeAutospacing="0" w:after="0" w:afterAutospacing="0"/>
              <w:rPr>
                <w:rFonts w:asciiTheme="majorHAnsi" w:hAnsiTheme="majorHAnsi" w:cstheme="majorHAnsi"/>
                <w:sz w:val="20"/>
                <w:szCs w:val="20"/>
                <w:lang w:val="pt-BR"/>
              </w:rPr>
            </w:pPr>
          </w:p>
        </w:tc>
      </w:tr>
      <w:tr w:rsidR="00953C7D" w:rsidRPr="000A3626" w14:paraId="6A98F879" w14:textId="77777777" w:rsidTr="008300D5">
        <w:trPr>
          <w:cantSplit/>
          <w:trHeight w:val="365"/>
        </w:trPr>
        <w:tc>
          <w:tcPr>
            <w:tcW w:w="387" w:type="pct"/>
            <w:vMerge/>
            <w:shd w:val="clear" w:color="auto" w:fill="FF6600"/>
            <w:vAlign w:val="center"/>
          </w:tcPr>
          <w:p w14:paraId="50783AAB" w14:textId="77777777" w:rsidR="00953C7D" w:rsidRPr="000A3626" w:rsidRDefault="00953C7D" w:rsidP="000A3626">
            <w:pPr>
              <w:pStyle w:val="itemx"/>
              <w:keepNext/>
              <w:numPr>
                <w:ilvl w:val="0"/>
                <w:numId w:val="0"/>
              </w:numPr>
              <w:tabs>
                <w:tab w:val="left" w:pos="1122"/>
              </w:tabs>
              <w:spacing w:before="0" w:after="0"/>
              <w:jc w:val="center"/>
              <w:rPr>
                <w:rFonts w:asciiTheme="majorHAnsi" w:hAnsiTheme="majorHAnsi" w:cs="Arial"/>
                <w:lang w:val="pt-BR"/>
              </w:rPr>
            </w:pPr>
          </w:p>
        </w:tc>
        <w:tc>
          <w:tcPr>
            <w:tcW w:w="1894" w:type="pct"/>
            <w:vMerge/>
            <w:shd w:val="clear" w:color="auto" w:fill="FF6600"/>
            <w:vAlign w:val="center"/>
          </w:tcPr>
          <w:p w14:paraId="2F6F9E18" w14:textId="77777777" w:rsidR="00953C7D" w:rsidRPr="00FE3D31" w:rsidRDefault="00953C7D" w:rsidP="000A3626">
            <w:pPr>
              <w:pStyle w:val="itemx"/>
              <w:keepNext/>
              <w:numPr>
                <w:ilvl w:val="0"/>
                <w:numId w:val="0"/>
              </w:numPr>
              <w:tabs>
                <w:tab w:val="left" w:pos="1122"/>
              </w:tabs>
              <w:spacing w:before="0" w:after="0"/>
              <w:jc w:val="left"/>
              <w:rPr>
                <w:rFonts w:asciiTheme="majorHAnsi" w:hAnsiTheme="majorHAnsi" w:cs="Arial"/>
                <w:color w:val="FFFFFF" w:themeColor="background1"/>
                <w:lang w:val="pt-BR"/>
              </w:rPr>
            </w:pPr>
          </w:p>
        </w:tc>
        <w:tc>
          <w:tcPr>
            <w:tcW w:w="1795" w:type="pct"/>
            <w:shd w:val="clear" w:color="auto" w:fill="D9D9D9" w:themeFill="background1" w:themeFillShade="D9"/>
            <w:vAlign w:val="center"/>
          </w:tcPr>
          <w:p w14:paraId="6810CEBD" w14:textId="77777777" w:rsidR="00953C7D" w:rsidRPr="000A3626" w:rsidRDefault="00953C7D" w:rsidP="000A3626">
            <w:pPr>
              <w:pStyle w:val="xl40"/>
              <w:keepNext/>
              <w:pBdr>
                <w:top w:val="none" w:sz="0" w:space="0" w:color="auto"/>
                <w:bottom w:val="none" w:sz="0" w:space="0" w:color="auto"/>
                <w:right w:val="none" w:sz="0" w:space="0" w:color="auto"/>
              </w:pBdr>
              <w:tabs>
                <w:tab w:val="left" w:pos="1122"/>
              </w:tabs>
              <w:spacing w:before="0" w:beforeAutospacing="0" w:after="0" w:afterAutospacing="0"/>
              <w:rPr>
                <w:rFonts w:asciiTheme="majorHAnsi" w:hAnsiTheme="majorHAnsi" w:cs="Arial"/>
                <w:sz w:val="20"/>
                <w:szCs w:val="20"/>
                <w:lang w:val="pt-BR"/>
              </w:rPr>
            </w:pPr>
            <w:r w:rsidRPr="000A3626">
              <w:rPr>
                <w:rFonts w:asciiTheme="majorHAnsi" w:hAnsiTheme="majorHAnsi" w:cs="Arial"/>
                <w:sz w:val="20"/>
                <w:szCs w:val="20"/>
                <w:lang w:val="pt-BR"/>
              </w:rPr>
              <w:t>SEMA (Secretaria Estadual do Meio Ambiente do Estado do Amapá)</w:t>
            </w:r>
          </w:p>
        </w:tc>
        <w:tc>
          <w:tcPr>
            <w:tcW w:w="924" w:type="pct"/>
            <w:vMerge/>
            <w:shd w:val="clear" w:color="auto" w:fill="D9D9D9" w:themeFill="background1" w:themeFillShade="D9"/>
          </w:tcPr>
          <w:p w14:paraId="67D82890" w14:textId="77777777" w:rsidR="00953C7D" w:rsidRPr="000A3626" w:rsidRDefault="00953C7D" w:rsidP="000A3626">
            <w:pPr>
              <w:pStyle w:val="xl40"/>
              <w:keepNext/>
              <w:pBdr>
                <w:top w:val="none" w:sz="0" w:space="0" w:color="auto"/>
                <w:bottom w:val="none" w:sz="0" w:space="0" w:color="auto"/>
                <w:right w:val="none" w:sz="0" w:space="0" w:color="auto"/>
              </w:pBdr>
              <w:tabs>
                <w:tab w:val="left" w:pos="1122"/>
              </w:tabs>
              <w:spacing w:before="0" w:beforeAutospacing="0" w:after="0" w:afterAutospacing="0"/>
              <w:rPr>
                <w:rFonts w:asciiTheme="majorHAnsi" w:hAnsiTheme="majorHAnsi" w:cs="Arial"/>
                <w:sz w:val="20"/>
                <w:szCs w:val="20"/>
                <w:lang w:val="pt-BR"/>
              </w:rPr>
            </w:pPr>
          </w:p>
        </w:tc>
      </w:tr>
      <w:tr w:rsidR="00953C7D" w:rsidRPr="000A3626" w14:paraId="5BA09535" w14:textId="77777777" w:rsidTr="00953C7D">
        <w:trPr>
          <w:trHeight w:val="699"/>
        </w:trPr>
        <w:tc>
          <w:tcPr>
            <w:tcW w:w="387" w:type="pct"/>
            <w:vMerge/>
            <w:shd w:val="clear" w:color="auto" w:fill="FF6600"/>
            <w:vAlign w:val="center"/>
          </w:tcPr>
          <w:p w14:paraId="098123D6" w14:textId="77777777" w:rsidR="00953C7D" w:rsidRPr="000A3626" w:rsidRDefault="00953C7D" w:rsidP="000A3626">
            <w:pPr>
              <w:pStyle w:val="itemx"/>
              <w:keepNext/>
              <w:numPr>
                <w:ilvl w:val="0"/>
                <w:numId w:val="0"/>
              </w:numPr>
              <w:tabs>
                <w:tab w:val="left" w:pos="1122"/>
              </w:tabs>
              <w:spacing w:before="0" w:after="0"/>
              <w:jc w:val="center"/>
              <w:rPr>
                <w:rFonts w:asciiTheme="majorHAnsi" w:hAnsiTheme="majorHAnsi" w:cs="Arial"/>
                <w:lang w:val="pt-BR"/>
              </w:rPr>
            </w:pPr>
          </w:p>
        </w:tc>
        <w:tc>
          <w:tcPr>
            <w:tcW w:w="1894" w:type="pct"/>
            <w:shd w:val="clear" w:color="auto" w:fill="FF6600"/>
            <w:vAlign w:val="center"/>
          </w:tcPr>
          <w:p w14:paraId="3A486F1B" w14:textId="77777777" w:rsidR="00953C7D" w:rsidRPr="00FE3D31" w:rsidRDefault="00953C7D" w:rsidP="000A3626">
            <w:pPr>
              <w:pStyle w:val="itemx"/>
              <w:keepNext/>
              <w:numPr>
                <w:ilvl w:val="0"/>
                <w:numId w:val="0"/>
              </w:numPr>
              <w:tabs>
                <w:tab w:val="left" w:pos="1122"/>
              </w:tabs>
              <w:spacing w:before="0" w:after="0"/>
              <w:jc w:val="left"/>
              <w:rPr>
                <w:rFonts w:asciiTheme="majorHAnsi" w:hAnsiTheme="majorHAnsi" w:cs="Arial"/>
                <w:color w:val="FFFFFF" w:themeColor="background1"/>
                <w:lang w:val="pt-BR"/>
              </w:rPr>
            </w:pPr>
            <w:r w:rsidRPr="00FE3D31">
              <w:rPr>
                <w:rFonts w:asciiTheme="majorHAnsi" w:hAnsiTheme="majorHAnsi" w:cs="Arial"/>
                <w:color w:val="FFFFFF" w:themeColor="background1"/>
                <w:lang w:val="pt-BR"/>
              </w:rPr>
              <w:t>Formulário de Comunicação Inicial da ANP na plataforma do SISO (de acordo com a Lei Federal 9966/00, Art. 22 e Resolução ANP Nº 44/09, Art. 2 e Anexo I)</w:t>
            </w:r>
          </w:p>
        </w:tc>
        <w:tc>
          <w:tcPr>
            <w:tcW w:w="1795" w:type="pct"/>
            <w:shd w:val="clear" w:color="auto" w:fill="D9D9D9" w:themeFill="background1" w:themeFillShade="D9"/>
            <w:vAlign w:val="center"/>
          </w:tcPr>
          <w:p w14:paraId="07DB38A7" w14:textId="616897A8" w:rsidR="00953C7D" w:rsidRPr="000A3626" w:rsidRDefault="00953C7D" w:rsidP="000A3626">
            <w:pPr>
              <w:pStyle w:val="xl40"/>
              <w:keepNext/>
              <w:pBdr>
                <w:top w:val="none" w:sz="0" w:space="0" w:color="auto"/>
                <w:bottom w:val="none" w:sz="0" w:space="0" w:color="auto"/>
                <w:right w:val="none" w:sz="0" w:space="0" w:color="auto"/>
              </w:pBdr>
              <w:tabs>
                <w:tab w:val="left" w:pos="1122"/>
              </w:tabs>
              <w:spacing w:before="0" w:beforeAutospacing="0" w:after="0" w:afterAutospacing="0"/>
              <w:rPr>
                <w:rFonts w:asciiTheme="majorHAnsi" w:hAnsiTheme="majorHAnsi" w:cs="Arial"/>
                <w:sz w:val="20"/>
                <w:szCs w:val="20"/>
                <w:lang w:val="pt-BR"/>
              </w:rPr>
            </w:pPr>
            <w:r w:rsidRPr="000A3626">
              <w:rPr>
                <w:rFonts w:asciiTheme="majorHAnsi" w:hAnsiTheme="majorHAnsi" w:cs="Arial"/>
                <w:sz w:val="20"/>
                <w:szCs w:val="20"/>
                <w:lang w:val="pt-BR"/>
              </w:rPr>
              <w:t>ANP</w:t>
            </w:r>
            <w:r w:rsidR="00F02324">
              <w:rPr>
                <w:rFonts w:asciiTheme="majorHAnsi" w:hAnsiTheme="majorHAnsi" w:cs="Arial"/>
                <w:sz w:val="20"/>
                <w:szCs w:val="20"/>
                <w:lang w:val="pt-BR"/>
              </w:rPr>
              <w:t xml:space="preserve"> </w:t>
            </w:r>
            <w:r w:rsidR="00F02324" w:rsidRPr="00F02324">
              <w:rPr>
                <w:rFonts w:asciiTheme="majorHAnsi" w:hAnsiTheme="majorHAnsi" w:cs="Arial"/>
                <w:sz w:val="20"/>
                <w:szCs w:val="20"/>
                <w:vertAlign w:val="superscript"/>
                <w:lang w:val="pt-BR"/>
              </w:rPr>
              <w:t>2</w:t>
            </w:r>
          </w:p>
        </w:tc>
        <w:tc>
          <w:tcPr>
            <w:tcW w:w="924" w:type="pct"/>
            <w:vMerge/>
            <w:shd w:val="clear" w:color="auto" w:fill="D9D9D9" w:themeFill="background1" w:themeFillShade="D9"/>
          </w:tcPr>
          <w:p w14:paraId="001909FB" w14:textId="77777777" w:rsidR="00953C7D" w:rsidRPr="000A3626" w:rsidRDefault="00953C7D" w:rsidP="000A3626">
            <w:pPr>
              <w:pStyle w:val="xl40"/>
              <w:keepNext/>
              <w:pBdr>
                <w:top w:val="none" w:sz="0" w:space="0" w:color="auto"/>
                <w:bottom w:val="none" w:sz="0" w:space="0" w:color="auto"/>
                <w:right w:val="none" w:sz="0" w:space="0" w:color="auto"/>
              </w:pBdr>
              <w:tabs>
                <w:tab w:val="left" w:pos="1122"/>
              </w:tabs>
              <w:spacing w:before="0" w:beforeAutospacing="0" w:after="0" w:afterAutospacing="0"/>
              <w:rPr>
                <w:rFonts w:asciiTheme="majorHAnsi" w:hAnsiTheme="majorHAnsi" w:cs="Arial"/>
                <w:sz w:val="20"/>
                <w:szCs w:val="20"/>
                <w:lang w:val="pt-BR"/>
              </w:rPr>
            </w:pPr>
          </w:p>
        </w:tc>
      </w:tr>
      <w:tr w:rsidR="00953C7D" w:rsidRPr="000A3626" w14:paraId="66A811ED" w14:textId="77777777" w:rsidTr="00953C7D">
        <w:trPr>
          <w:trHeight w:val="842"/>
        </w:trPr>
        <w:tc>
          <w:tcPr>
            <w:tcW w:w="387" w:type="pct"/>
            <w:vMerge/>
            <w:shd w:val="clear" w:color="auto" w:fill="FF6600"/>
            <w:vAlign w:val="center"/>
          </w:tcPr>
          <w:p w14:paraId="3A8906D8" w14:textId="77777777" w:rsidR="00953C7D" w:rsidRPr="000A3626" w:rsidRDefault="00953C7D" w:rsidP="000A3626">
            <w:pPr>
              <w:pStyle w:val="itemx"/>
              <w:keepNext/>
              <w:numPr>
                <w:ilvl w:val="0"/>
                <w:numId w:val="0"/>
              </w:numPr>
              <w:tabs>
                <w:tab w:val="left" w:pos="1122"/>
              </w:tabs>
              <w:spacing w:before="0" w:after="0"/>
              <w:jc w:val="center"/>
              <w:rPr>
                <w:rFonts w:asciiTheme="majorHAnsi" w:hAnsiTheme="majorHAnsi" w:cs="Arial"/>
                <w:lang w:val="pt-BR"/>
              </w:rPr>
            </w:pPr>
          </w:p>
        </w:tc>
        <w:tc>
          <w:tcPr>
            <w:tcW w:w="1894" w:type="pct"/>
            <w:shd w:val="clear" w:color="auto" w:fill="FF6600"/>
            <w:vAlign w:val="center"/>
          </w:tcPr>
          <w:p w14:paraId="35D865DC" w14:textId="77777777" w:rsidR="00953C7D" w:rsidRPr="00FE3D31" w:rsidRDefault="00953C7D" w:rsidP="000A3626">
            <w:pPr>
              <w:pStyle w:val="itemx"/>
              <w:keepNext/>
              <w:numPr>
                <w:ilvl w:val="0"/>
                <w:numId w:val="0"/>
              </w:numPr>
              <w:tabs>
                <w:tab w:val="left" w:pos="1122"/>
              </w:tabs>
              <w:spacing w:before="0" w:after="0"/>
              <w:jc w:val="left"/>
              <w:rPr>
                <w:rFonts w:asciiTheme="majorHAnsi" w:hAnsiTheme="majorHAnsi" w:cs="Arial"/>
                <w:color w:val="FFFFFF" w:themeColor="background1"/>
                <w:lang w:val="pt-BR"/>
              </w:rPr>
            </w:pPr>
            <w:r w:rsidRPr="00FE3D31">
              <w:rPr>
                <w:rFonts w:asciiTheme="majorHAnsi" w:hAnsiTheme="majorHAnsi" w:cs="Arial"/>
                <w:color w:val="FFFFFF" w:themeColor="background1"/>
                <w:lang w:val="pt-BR"/>
              </w:rPr>
              <w:t xml:space="preserve">Formulário de Comunicação Inicial da ANP </w:t>
            </w:r>
            <w:r w:rsidRPr="00FE3D31">
              <w:rPr>
                <w:rFonts w:asciiTheme="majorHAnsi" w:hAnsiTheme="majorHAnsi"/>
                <w:color w:val="FFFFFF" w:themeColor="background1"/>
                <w:lang w:val="pt-BR"/>
              </w:rPr>
              <w:t>enviado via fax ou e-mail</w:t>
            </w:r>
            <w:r w:rsidRPr="00FE3D31" w:rsidDel="00B5103F">
              <w:rPr>
                <w:rFonts w:asciiTheme="majorHAnsi" w:hAnsiTheme="majorHAnsi" w:cs="Arial"/>
                <w:color w:val="FFFFFF" w:themeColor="background1"/>
                <w:lang w:val="pt-BR"/>
              </w:rPr>
              <w:t xml:space="preserve"> </w:t>
            </w:r>
            <w:r w:rsidRPr="00FE3D31">
              <w:rPr>
                <w:rFonts w:asciiTheme="majorHAnsi" w:hAnsiTheme="majorHAnsi" w:cs="Arial"/>
                <w:color w:val="FFFFFF" w:themeColor="background1"/>
                <w:lang w:val="pt-BR"/>
              </w:rPr>
              <w:t>(de acordo com a Lei Federal 9966/00, Art. 22 e Resolução ANP Nº 44/09, Art. 2 e Anexo I)</w:t>
            </w:r>
          </w:p>
        </w:tc>
        <w:tc>
          <w:tcPr>
            <w:tcW w:w="1795" w:type="pct"/>
            <w:shd w:val="clear" w:color="auto" w:fill="D9D9D9" w:themeFill="background1" w:themeFillShade="D9"/>
            <w:vAlign w:val="center"/>
          </w:tcPr>
          <w:p w14:paraId="49C87726" w14:textId="048F0025" w:rsidR="00953C7D" w:rsidRPr="000A3626" w:rsidRDefault="00953C7D" w:rsidP="000A3626">
            <w:pPr>
              <w:pStyle w:val="itemx"/>
              <w:keepNext/>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ANP</w:t>
            </w:r>
            <w:r w:rsidR="00F02324">
              <w:rPr>
                <w:rFonts w:asciiTheme="majorHAnsi" w:hAnsiTheme="majorHAnsi" w:cs="Arial"/>
                <w:lang w:val="pt-BR"/>
              </w:rPr>
              <w:t xml:space="preserve"> </w:t>
            </w:r>
            <w:r w:rsidR="00F02324" w:rsidRPr="00F02324">
              <w:rPr>
                <w:rFonts w:asciiTheme="majorHAnsi" w:hAnsiTheme="majorHAnsi" w:cs="Arial"/>
                <w:vertAlign w:val="superscript"/>
                <w:lang w:val="pt-BR"/>
              </w:rPr>
              <w:t>2</w:t>
            </w:r>
            <w:r w:rsidRPr="000A3626">
              <w:rPr>
                <w:rFonts w:asciiTheme="majorHAnsi" w:hAnsiTheme="majorHAnsi" w:cs="Arial"/>
                <w:lang w:val="pt-BR"/>
              </w:rPr>
              <w:t xml:space="preserve"> – se SISO inoperante</w:t>
            </w:r>
          </w:p>
        </w:tc>
        <w:tc>
          <w:tcPr>
            <w:tcW w:w="924" w:type="pct"/>
            <w:vMerge/>
            <w:shd w:val="clear" w:color="auto" w:fill="D9D9D9" w:themeFill="background1" w:themeFillShade="D9"/>
          </w:tcPr>
          <w:p w14:paraId="2A8FB88F" w14:textId="77777777" w:rsidR="00953C7D" w:rsidRPr="000A3626" w:rsidRDefault="00953C7D" w:rsidP="000A3626">
            <w:pPr>
              <w:pStyle w:val="itemx"/>
              <w:keepNext/>
              <w:numPr>
                <w:ilvl w:val="0"/>
                <w:numId w:val="0"/>
              </w:numPr>
              <w:tabs>
                <w:tab w:val="left" w:pos="1122"/>
              </w:tabs>
              <w:spacing w:before="0" w:after="0"/>
              <w:jc w:val="left"/>
              <w:rPr>
                <w:rFonts w:asciiTheme="majorHAnsi" w:hAnsiTheme="majorHAnsi" w:cs="Arial"/>
                <w:lang w:val="pt-BR"/>
              </w:rPr>
            </w:pPr>
          </w:p>
        </w:tc>
      </w:tr>
      <w:tr w:rsidR="00953C7D" w:rsidRPr="000A3626" w14:paraId="71BF6178" w14:textId="77777777" w:rsidTr="00953C7D">
        <w:trPr>
          <w:cantSplit/>
          <w:trHeight w:val="247"/>
        </w:trPr>
        <w:tc>
          <w:tcPr>
            <w:tcW w:w="387" w:type="pct"/>
            <w:vMerge w:val="restart"/>
            <w:shd w:val="clear" w:color="auto" w:fill="FF9900"/>
            <w:textDirection w:val="btLr"/>
            <w:vAlign w:val="center"/>
          </w:tcPr>
          <w:p w14:paraId="58C491FB" w14:textId="77777777" w:rsidR="00953C7D" w:rsidRPr="000A3626" w:rsidRDefault="00953C7D" w:rsidP="000A3626">
            <w:pPr>
              <w:pStyle w:val="itemx"/>
              <w:numPr>
                <w:ilvl w:val="0"/>
                <w:numId w:val="0"/>
              </w:numPr>
              <w:tabs>
                <w:tab w:val="left" w:pos="1122"/>
              </w:tabs>
              <w:spacing w:before="0" w:after="0"/>
              <w:ind w:left="113" w:right="113"/>
              <w:jc w:val="center"/>
              <w:rPr>
                <w:rFonts w:asciiTheme="majorHAnsi" w:hAnsiTheme="majorHAnsi" w:cs="Arial"/>
                <w:b/>
                <w:lang w:val="pt-BR"/>
              </w:rPr>
            </w:pPr>
            <w:r w:rsidRPr="000A3626">
              <w:rPr>
                <w:rFonts w:asciiTheme="majorHAnsi" w:hAnsiTheme="majorHAnsi" w:cs="Arial"/>
                <w:b/>
                <w:lang w:val="pt-BR"/>
              </w:rPr>
              <w:t>RELATÓRIO DE ACOMPANHAMENTO</w:t>
            </w:r>
          </w:p>
        </w:tc>
        <w:tc>
          <w:tcPr>
            <w:tcW w:w="1894" w:type="pct"/>
            <w:vMerge w:val="restart"/>
            <w:shd w:val="clear" w:color="auto" w:fill="FF9900"/>
            <w:vAlign w:val="center"/>
          </w:tcPr>
          <w:p w14:paraId="08211EB5" w14:textId="12C78DB7" w:rsidR="00953C7D" w:rsidRPr="000A3626" w:rsidRDefault="00953C7D" w:rsidP="000A3626">
            <w:pPr>
              <w:pStyle w:val="xl40"/>
              <w:pBdr>
                <w:top w:val="none" w:sz="0" w:space="0" w:color="auto"/>
                <w:bottom w:val="none" w:sz="0" w:space="0" w:color="auto"/>
                <w:right w:val="none" w:sz="0" w:space="0" w:color="auto"/>
              </w:pBdr>
              <w:tabs>
                <w:tab w:val="left" w:pos="1122"/>
              </w:tabs>
              <w:spacing w:before="0" w:beforeAutospacing="0" w:after="0" w:afterAutospacing="0"/>
              <w:rPr>
                <w:rFonts w:asciiTheme="majorHAnsi" w:hAnsiTheme="majorHAnsi" w:cs="Arial"/>
                <w:sz w:val="20"/>
                <w:szCs w:val="20"/>
                <w:lang w:val="pt-BR"/>
              </w:rPr>
            </w:pPr>
            <w:r w:rsidRPr="000A3626">
              <w:rPr>
                <w:rFonts w:asciiTheme="majorHAnsi" w:hAnsiTheme="majorHAnsi" w:cstheme="majorHAnsi"/>
                <w:sz w:val="20"/>
                <w:szCs w:val="20"/>
                <w:lang w:val="pt-BR"/>
              </w:rPr>
              <w:t>Relatório de Situação</w:t>
            </w:r>
            <w:r w:rsidR="00F02324">
              <w:rPr>
                <w:rFonts w:asciiTheme="majorHAnsi" w:hAnsiTheme="majorHAnsi" w:cs="Arial"/>
                <w:sz w:val="20"/>
                <w:szCs w:val="20"/>
                <w:vertAlign w:val="superscript"/>
                <w:lang w:val="pt-BR"/>
              </w:rPr>
              <w:t>3</w:t>
            </w:r>
            <w:r w:rsidRPr="000A3626">
              <w:rPr>
                <w:rFonts w:asciiTheme="majorHAnsi" w:hAnsiTheme="majorHAnsi" w:cs="Arial"/>
                <w:sz w:val="20"/>
                <w:szCs w:val="20"/>
                <w:lang w:val="pt-BR"/>
              </w:rPr>
              <w:t xml:space="preserve"> </w:t>
            </w:r>
            <w:r w:rsidR="000C4B02">
              <w:rPr>
                <w:rFonts w:asciiTheme="majorHAnsi" w:hAnsiTheme="majorHAnsi" w:cstheme="majorHAnsi"/>
                <w:sz w:val="20"/>
                <w:szCs w:val="20"/>
                <w:lang w:val="pt-BR"/>
              </w:rPr>
              <w:t>via fax ou e-mail</w:t>
            </w:r>
          </w:p>
        </w:tc>
        <w:tc>
          <w:tcPr>
            <w:tcW w:w="1795" w:type="pct"/>
            <w:shd w:val="clear" w:color="auto" w:fill="D9D9D9" w:themeFill="background1" w:themeFillShade="D9"/>
            <w:vAlign w:val="center"/>
          </w:tcPr>
          <w:p w14:paraId="79A3B508"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theme="majorHAnsi"/>
                <w:lang w:val="pt-BR"/>
              </w:rPr>
              <w:t>Capitania dos Portos de Macapá</w:t>
            </w:r>
          </w:p>
        </w:tc>
        <w:tc>
          <w:tcPr>
            <w:tcW w:w="924" w:type="pct"/>
            <w:vMerge w:val="restart"/>
            <w:shd w:val="clear" w:color="auto" w:fill="D9D9D9" w:themeFill="background1" w:themeFillShade="D9"/>
            <w:vAlign w:val="center"/>
          </w:tcPr>
          <w:p w14:paraId="1864E55A" w14:textId="59A07FB1" w:rsidR="00953C7D" w:rsidRPr="000A3626" w:rsidRDefault="000A3626" w:rsidP="000A3626">
            <w:pPr>
              <w:pStyle w:val="itemx"/>
              <w:numPr>
                <w:ilvl w:val="0"/>
                <w:numId w:val="0"/>
              </w:numPr>
              <w:tabs>
                <w:tab w:val="left" w:pos="1122"/>
              </w:tabs>
              <w:spacing w:before="0" w:after="0"/>
              <w:jc w:val="center"/>
              <w:rPr>
                <w:rFonts w:asciiTheme="majorHAnsi" w:hAnsiTheme="majorHAnsi" w:cstheme="majorHAnsi"/>
                <w:b/>
                <w:lang w:val="pt-BR"/>
              </w:rPr>
            </w:pPr>
            <w:r>
              <w:rPr>
                <w:rFonts w:asciiTheme="majorHAnsi" w:hAnsiTheme="majorHAnsi" w:cstheme="majorHAnsi"/>
                <w:b/>
                <w:lang w:val="pt-BR"/>
              </w:rPr>
              <w:t>Diariamente</w:t>
            </w:r>
            <w:r w:rsidR="00F02324">
              <w:rPr>
                <w:rFonts w:asciiTheme="majorHAnsi" w:hAnsiTheme="majorHAnsi" w:cstheme="majorHAnsi"/>
                <w:b/>
                <w:vertAlign w:val="superscript"/>
                <w:lang w:val="pt-BR"/>
              </w:rPr>
              <w:t>5</w:t>
            </w:r>
          </w:p>
        </w:tc>
      </w:tr>
      <w:tr w:rsidR="00953C7D" w:rsidRPr="000A3626" w14:paraId="16FEE6C6" w14:textId="77777777" w:rsidTr="00953C7D">
        <w:trPr>
          <w:cantSplit/>
          <w:trHeight w:val="269"/>
        </w:trPr>
        <w:tc>
          <w:tcPr>
            <w:tcW w:w="387" w:type="pct"/>
            <w:vMerge/>
            <w:shd w:val="clear" w:color="auto" w:fill="FF9900"/>
            <w:vAlign w:val="center"/>
          </w:tcPr>
          <w:p w14:paraId="560B2623" w14:textId="77777777" w:rsidR="00953C7D" w:rsidRPr="000A3626" w:rsidRDefault="00953C7D" w:rsidP="000A3626">
            <w:pPr>
              <w:pStyle w:val="itemx"/>
              <w:numPr>
                <w:ilvl w:val="0"/>
                <w:numId w:val="0"/>
              </w:numPr>
              <w:tabs>
                <w:tab w:val="left" w:pos="1122"/>
              </w:tabs>
              <w:spacing w:before="0" w:after="0"/>
              <w:jc w:val="center"/>
              <w:rPr>
                <w:rFonts w:asciiTheme="majorHAnsi" w:hAnsiTheme="majorHAnsi" w:cs="Arial"/>
                <w:lang w:val="pt-BR"/>
              </w:rPr>
            </w:pPr>
          </w:p>
        </w:tc>
        <w:tc>
          <w:tcPr>
            <w:tcW w:w="1894" w:type="pct"/>
            <w:vMerge/>
            <w:shd w:val="clear" w:color="auto" w:fill="FF9900"/>
            <w:vAlign w:val="center"/>
          </w:tcPr>
          <w:p w14:paraId="04C2FC23"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p>
        </w:tc>
        <w:tc>
          <w:tcPr>
            <w:tcW w:w="1795" w:type="pct"/>
            <w:shd w:val="clear" w:color="auto" w:fill="D9D9D9" w:themeFill="background1" w:themeFillShade="D9"/>
            <w:vAlign w:val="center"/>
          </w:tcPr>
          <w:p w14:paraId="474F8203" w14:textId="04E91BAA" w:rsidR="00953C7D" w:rsidRPr="000A3626" w:rsidRDefault="00953C7D" w:rsidP="00F02324">
            <w:pPr>
              <w:pStyle w:val="itemx"/>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IBAMA (CGEMA &amp; C</w:t>
            </w:r>
            <w:r w:rsidR="00F02324">
              <w:rPr>
                <w:rFonts w:asciiTheme="majorHAnsi" w:hAnsiTheme="majorHAnsi" w:cs="Arial"/>
                <w:lang w:val="pt-BR"/>
              </w:rPr>
              <w:t>OEXP</w:t>
            </w:r>
            <w:r w:rsidR="001D4B93" w:rsidRPr="00A70C70">
              <w:rPr>
                <w:rFonts w:asciiTheme="majorHAnsi" w:hAnsiTheme="majorHAnsi" w:cs="Arial"/>
                <w:highlight w:val="darkGray"/>
                <w:lang w:val="pt-BR"/>
              </w:rPr>
              <w:t>/CGMAC</w:t>
            </w:r>
            <w:r w:rsidRPr="000A3626">
              <w:rPr>
                <w:rFonts w:asciiTheme="majorHAnsi" w:hAnsiTheme="majorHAnsi" w:cs="Arial"/>
                <w:lang w:val="pt-BR"/>
              </w:rPr>
              <w:t>)</w:t>
            </w:r>
          </w:p>
        </w:tc>
        <w:tc>
          <w:tcPr>
            <w:tcW w:w="924" w:type="pct"/>
            <w:vMerge/>
            <w:shd w:val="clear" w:color="auto" w:fill="D9D9D9" w:themeFill="background1" w:themeFillShade="D9"/>
          </w:tcPr>
          <w:p w14:paraId="503B88E0"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p>
        </w:tc>
      </w:tr>
      <w:tr w:rsidR="00953C7D" w:rsidRPr="000A3626" w14:paraId="21061981" w14:textId="77777777" w:rsidTr="00953C7D">
        <w:trPr>
          <w:cantSplit/>
          <w:trHeight w:val="241"/>
        </w:trPr>
        <w:tc>
          <w:tcPr>
            <w:tcW w:w="387" w:type="pct"/>
            <w:vMerge/>
            <w:shd w:val="clear" w:color="auto" w:fill="FF9900"/>
            <w:vAlign w:val="center"/>
          </w:tcPr>
          <w:p w14:paraId="4BE7F4E6" w14:textId="77777777" w:rsidR="00953C7D" w:rsidRPr="000A3626" w:rsidRDefault="00953C7D" w:rsidP="000A3626">
            <w:pPr>
              <w:pStyle w:val="itemx"/>
              <w:numPr>
                <w:ilvl w:val="0"/>
                <w:numId w:val="0"/>
              </w:numPr>
              <w:tabs>
                <w:tab w:val="left" w:pos="1122"/>
              </w:tabs>
              <w:spacing w:before="0" w:after="0"/>
              <w:jc w:val="center"/>
              <w:rPr>
                <w:rFonts w:asciiTheme="majorHAnsi" w:hAnsiTheme="majorHAnsi" w:cs="Arial"/>
                <w:lang w:val="pt-BR"/>
              </w:rPr>
            </w:pPr>
          </w:p>
        </w:tc>
        <w:tc>
          <w:tcPr>
            <w:tcW w:w="1894" w:type="pct"/>
            <w:vMerge/>
            <w:shd w:val="clear" w:color="auto" w:fill="FF9900"/>
            <w:vAlign w:val="center"/>
          </w:tcPr>
          <w:p w14:paraId="1CAAF386"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p>
        </w:tc>
        <w:tc>
          <w:tcPr>
            <w:tcW w:w="1795" w:type="pct"/>
            <w:shd w:val="clear" w:color="auto" w:fill="D9D9D9" w:themeFill="background1" w:themeFillShade="D9"/>
            <w:vAlign w:val="center"/>
          </w:tcPr>
          <w:p w14:paraId="654D1898"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SEMA (Secretaria Estadual do Meio Ambiente do Estado do Amapá)</w:t>
            </w:r>
          </w:p>
        </w:tc>
        <w:tc>
          <w:tcPr>
            <w:tcW w:w="924" w:type="pct"/>
            <w:vMerge/>
            <w:shd w:val="clear" w:color="auto" w:fill="D9D9D9" w:themeFill="background1" w:themeFillShade="D9"/>
          </w:tcPr>
          <w:p w14:paraId="59B572E8"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p>
        </w:tc>
      </w:tr>
      <w:tr w:rsidR="00953C7D" w:rsidRPr="000A3626" w14:paraId="6219584B" w14:textId="77777777" w:rsidTr="00953C7D">
        <w:trPr>
          <w:cantSplit/>
          <w:trHeight w:val="1155"/>
        </w:trPr>
        <w:tc>
          <w:tcPr>
            <w:tcW w:w="387" w:type="pct"/>
            <w:vMerge/>
            <w:shd w:val="clear" w:color="auto" w:fill="FF9900"/>
            <w:vAlign w:val="center"/>
          </w:tcPr>
          <w:p w14:paraId="020D40EF" w14:textId="77777777" w:rsidR="00953C7D" w:rsidRPr="000A3626" w:rsidRDefault="00953C7D" w:rsidP="000A3626">
            <w:pPr>
              <w:pStyle w:val="itemx"/>
              <w:numPr>
                <w:ilvl w:val="0"/>
                <w:numId w:val="0"/>
              </w:numPr>
              <w:tabs>
                <w:tab w:val="left" w:pos="1122"/>
              </w:tabs>
              <w:spacing w:before="0" w:after="0"/>
              <w:jc w:val="center"/>
              <w:rPr>
                <w:rFonts w:asciiTheme="majorHAnsi" w:hAnsiTheme="majorHAnsi" w:cs="Arial"/>
                <w:lang w:val="pt-BR"/>
              </w:rPr>
            </w:pPr>
          </w:p>
        </w:tc>
        <w:tc>
          <w:tcPr>
            <w:tcW w:w="1894" w:type="pct"/>
            <w:vMerge/>
            <w:shd w:val="clear" w:color="auto" w:fill="FF9900"/>
            <w:vAlign w:val="center"/>
          </w:tcPr>
          <w:p w14:paraId="5180C6D9"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p>
        </w:tc>
        <w:tc>
          <w:tcPr>
            <w:tcW w:w="1795" w:type="pct"/>
            <w:shd w:val="clear" w:color="auto" w:fill="D9D9D9" w:themeFill="background1" w:themeFillShade="D9"/>
            <w:vAlign w:val="center"/>
          </w:tcPr>
          <w:p w14:paraId="54594B40" w14:textId="0C945823"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ANP</w:t>
            </w:r>
            <w:r w:rsidR="00F02324">
              <w:rPr>
                <w:rFonts w:asciiTheme="majorHAnsi" w:hAnsiTheme="majorHAnsi" w:cs="Arial"/>
                <w:lang w:val="pt-BR"/>
              </w:rPr>
              <w:t xml:space="preserve"> </w:t>
            </w:r>
            <w:r w:rsidR="00F02324" w:rsidRPr="00F02324">
              <w:rPr>
                <w:rFonts w:asciiTheme="majorHAnsi" w:hAnsiTheme="majorHAnsi" w:cs="Arial"/>
                <w:vertAlign w:val="superscript"/>
                <w:lang w:val="pt-BR"/>
              </w:rPr>
              <w:t>4</w:t>
            </w:r>
          </w:p>
        </w:tc>
        <w:tc>
          <w:tcPr>
            <w:tcW w:w="924" w:type="pct"/>
            <w:vMerge/>
            <w:shd w:val="clear" w:color="auto" w:fill="D9D9D9" w:themeFill="background1" w:themeFillShade="D9"/>
          </w:tcPr>
          <w:p w14:paraId="00A8AD9F"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p>
        </w:tc>
      </w:tr>
      <w:tr w:rsidR="00953C7D" w:rsidRPr="000A3626" w14:paraId="37FEA060" w14:textId="77777777" w:rsidTr="00953C7D">
        <w:trPr>
          <w:trHeight w:val="250"/>
        </w:trPr>
        <w:tc>
          <w:tcPr>
            <w:tcW w:w="387" w:type="pct"/>
            <w:vMerge w:val="restart"/>
            <w:shd w:val="clear" w:color="auto" w:fill="FFFF00"/>
            <w:textDirection w:val="btLr"/>
            <w:vAlign w:val="center"/>
          </w:tcPr>
          <w:p w14:paraId="015D238C" w14:textId="580679A7" w:rsidR="00953C7D" w:rsidRPr="000A3626" w:rsidRDefault="00953C7D" w:rsidP="000C4B02">
            <w:pPr>
              <w:pStyle w:val="itemx"/>
              <w:keepNext/>
              <w:keepLines/>
              <w:numPr>
                <w:ilvl w:val="0"/>
                <w:numId w:val="0"/>
              </w:numPr>
              <w:tabs>
                <w:tab w:val="left" w:pos="1122"/>
              </w:tabs>
              <w:spacing w:before="0" w:after="0"/>
              <w:ind w:left="113" w:right="113"/>
              <w:jc w:val="center"/>
              <w:rPr>
                <w:rFonts w:asciiTheme="majorHAnsi" w:hAnsiTheme="majorHAnsi" w:cs="Arial"/>
                <w:b/>
                <w:lang w:val="pt-BR"/>
              </w:rPr>
            </w:pPr>
            <w:r w:rsidRPr="000A3626">
              <w:rPr>
                <w:rFonts w:asciiTheme="majorHAnsi" w:hAnsiTheme="majorHAnsi" w:cs="Arial"/>
                <w:b/>
                <w:lang w:val="pt-BR"/>
              </w:rPr>
              <w:lastRenderedPageBreak/>
              <w:t>APLICAÇÃO</w:t>
            </w:r>
            <w:r w:rsidR="00F02324">
              <w:rPr>
                <w:rFonts w:asciiTheme="majorHAnsi" w:hAnsiTheme="majorHAnsi" w:cs="Arial"/>
                <w:b/>
                <w:lang w:val="pt-BR"/>
              </w:rPr>
              <w:t xml:space="preserve"> DE</w:t>
            </w:r>
            <w:r w:rsidR="00D913B3">
              <w:rPr>
                <w:rFonts w:asciiTheme="majorHAnsi" w:hAnsiTheme="majorHAnsi" w:cs="Arial"/>
                <w:b/>
                <w:lang w:val="pt-BR"/>
              </w:rPr>
              <w:t xml:space="preserve"> </w:t>
            </w:r>
            <w:r w:rsidRPr="000A3626">
              <w:rPr>
                <w:rFonts w:asciiTheme="majorHAnsi" w:hAnsiTheme="majorHAnsi" w:cs="Arial"/>
                <w:b/>
                <w:lang w:val="pt-BR"/>
              </w:rPr>
              <w:t>DISPERSANTE</w:t>
            </w:r>
          </w:p>
        </w:tc>
        <w:tc>
          <w:tcPr>
            <w:tcW w:w="1894" w:type="pct"/>
            <w:vMerge w:val="restart"/>
            <w:shd w:val="clear" w:color="auto" w:fill="FFFF00"/>
            <w:vAlign w:val="center"/>
          </w:tcPr>
          <w:p w14:paraId="6D2958D2" w14:textId="616E30A9" w:rsidR="00953C7D" w:rsidRPr="000A3626" w:rsidRDefault="00953C7D" w:rsidP="00F02324">
            <w:pPr>
              <w:pStyle w:val="itemx"/>
              <w:keepNext/>
              <w:keepLines/>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Comunicação da intenção formal de proceder com a estratégia de aplicação de Dispersão Química (de acordo com as definições do</w:t>
            </w:r>
            <w:r w:rsidR="00F02324">
              <w:rPr>
                <w:rFonts w:asciiTheme="majorHAnsi" w:hAnsiTheme="majorHAnsi" w:cs="Arial"/>
                <w:lang w:val="pt-BR"/>
              </w:rPr>
              <w:t xml:space="preserve"> Artigo 4 e em formulário conforme Anexo I da </w:t>
            </w:r>
            <w:r w:rsidRPr="000A3626">
              <w:rPr>
                <w:rFonts w:asciiTheme="majorHAnsi" w:hAnsiTheme="majorHAnsi" w:cs="Arial"/>
                <w:lang w:val="pt-BR"/>
              </w:rPr>
              <w:t>Resolução CONAMA N</w:t>
            </w:r>
            <w:r w:rsidRPr="000A3626">
              <w:rPr>
                <w:rFonts w:asciiTheme="majorHAnsi" w:hAnsiTheme="majorHAnsi" w:cs="Arial"/>
                <w:vertAlign w:val="superscript"/>
                <w:lang w:val="pt-BR"/>
              </w:rPr>
              <w:t>o</w:t>
            </w:r>
            <w:r w:rsidRPr="000A3626">
              <w:rPr>
                <w:rFonts w:asciiTheme="majorHAnsi" w:hAnsiTheme="majorHAnsi" w:cs="Arial"/>
                <w:lang w:val="pt-BR"/>
              </w:rPr>
              <w:t xml:space="preserve">. </w:t>
            </w:r>
            <w:r w:rsidR="00F02324">
              <w:rPr>
                <w:rFonts w:asciiTheme="majorHAnsi" w:hAnsiTheme="majorHAnsi" w:cs="Arial"/>
                <w:lang w:val="pt-BR"/>
              </w:rPr>
              <w:t>472</w:t>
            </w:r>
            <w:r w:rsidRPr="000A3626">
              <w:rPr>
                <w:rFonts w:asciiTheme="majorHAnsi" w:hAnsiTheme="majorHAnsi" w:cs="Arial"/>
                <w:lang w:val="pt-BR"/>
              </w:rPr>
              <w:t>/</w:t>
            </w:r>
            <w:r w:rsidR="00F02324">
              <w:rPr>
                <w:rFonts w:asciiTheme="majorHAnsi" w:hAnsiTheme="majorHAnsi" w:cs="Arial"/>
                <w:lang w:val="pt-BR"/>
              </w:rPr>
              <w:t>15</w:t>
            </w:r>
            <w:r w:rsidRPr="000A3626">
              <w:rPr>
                <w:rFonts w:asciiTheme="majorHAnsi" w:hAnsiTheme="majorHAnsi" w:cs="Arial"/>
                <w:lang w:val="pt-BR"/>
              </w:rPr>
              <w:t>)</w:t>
            </w:r>
          </w:p>
        </w:tc>
        <w:tc>
          <w:tcPr>
            <w:tcW w:w="1795" w:type="pct"/>
            <w:shd w:val="clear" w:color="auto" w:fill="D9D9D9" w:themeFill="background1" w:themeFillShade="D9"/>
            <w:vAlign w:val="center"/>
          </w:tcPr>
          <w:p w14:paraId="66415B83" w14:textId="653D8BB1" w:rsidR="00953C7D" w:rsidRPr="000A3626" w:rsidRDefault="00953C7D" w:rsidP="00F02324">
            <w:pPr>
              <w:pStyle w:val="itemx"/>
              <w:keepNext/>
              <w:keepLines/>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IBAMA (CGEMA e C</w:t>
            </w:r>
            <w:r w:rsidR="00F02324">
              <w:rPr>
                <w:rFonts w:asciiTheme="majorHAnsi" w:hAnsiTheme="majorHAnsi" w:cs="Arial"/>
                <w:lang w:val="pt-BR"/>
              </w:rPr>
              <w:t>OEXP</w:t>
            </w:r>
            <w:r w:rsidR="001D4B93" w:rsidRPr="00A70C70">
              <w:rPr>
                <w:rFonts w:asciiTheme="majorHAnsi" w:hAnsiTheme="majorHAnsi" w:cs="Arial"/>
                <w:highlight w:val="darkGray"/>
                <w:lang w:val="pt-BR"/>
              </w:rPr>
              <w:t>/CGMAC</w:t>
            </w:r>
            <w:r w:rsidRPr="000A3626">
              <w:rPr>
                <w:rFonts w:asciiTheme="majorHAnsi" w:hAnsiTheme="majorHAnsi" w:cs="Arial"/>
                <w:lang w:val="pt-BR"/>
              </w:rPr>
              <w:t>)</w:t>
            </w:r>
          </w:p>
        </w:tc>
        <w:tc>
          <w:tcPr>
            <w:tcW w:w="924" w:type="pct"/>
            <w:vMerge w:val="restart"/>
            <w:shd w:val="clear" w:color="auto" w:fill="D9D9D9" w:themeFill="background1" w:themeFillShade="D9"/>
            <w:vAlign w:val="center"/>
          </w:tcPr>
          <w:p w14:paraId="74609344" w14:textId="04FBB8D9" w:rsidR="00953C7D" w:rsidRPr="000A3626" w:rsidRDefault="000A3626" w:rsidP="000A3626">
            <w:pPr>
              <w:pStyle w:val="itemx"/>
              <w:keepNext/>
              <w:keepLines/>
              <w:numPr>
                <w:ilvl w:val="0"/>
                <w:numId w:val="0"/>
              </w:numPr>
              <w:tabs>
                <w:tab w:val="left" w:pos="1122"/>
              </w:tabs>
              <w:spacing w:before="0" w:after="0"/>
              <w:jc w:val="center"/>
              <w:rPr>
                <w:rFonts w:asciiTheme="majorHAnsi" w:hAnsiTheme="majorHAnsi" w:cs="Arial"/>
                <w:b/>
                <w:lang w:val="pt-BR"/>
              </w:rPr>
            </w:pPr>
            <w:r>
              <w:rPr>
                <w:rFonts w:asciiTheme="majorHAnsi" w:hAnsiTheme="majorHAnsi" w:cs="Arial"/>
                <w:b/>
                <w:lang w:val="pt-BR"/>
              </w:rPr>
              <w:t>Antes do início da operação</w:t>
            </w:r>
            <w:r w:rsidR="00F02324">
              <w:rPr>
                <w:rFonts w:asciiTheme="majorHAnsi" w:hAnsiTheme="majorHAnsi" w:cs="Arial"/>
                <w:b/>
                <w:vertAlign w:val="superscript"/>
                <w:lang w:val="pt-BR"/>
              </w:rPr>
              <w:t>6</w:t>
            </w:r>
          </w:p>
        </w:tc>
      </w:tr>
      <w:tr w:rsidR="00953C7D" w:rsidRPr="000A3626" w14:paraId="48707F37" w14:textId="77777777" w:rsidTr="00953C7D">
        <w:trPr>
          <w:trHeight w:val="353"/>
        </w:trPr>
        <w:tc>
          <w:tcPr>
            <w:tcW w:w="387" w:type="pct"/>
            <w:vMerge/>
            <w:shd w:val="clear" w:color="auto" w:fill="FFFF00"/>
            <w:vAlign w:val="center"/>
          </w:tcPr>
          <w:p w14:paraId="3E5B4257" w14:textId="77777777" w:rsidR="00953C7D" w:rsidRPr="000A3626" w:rsidRDefault="00953C7D" w:rsidP="000A3626">
            <w:pPr>
              <w:pStyle w:val="itemx"/>
              <w:keepNext/>
              <w:keepLines/>
              <w:tabs>
                <w:tab w:val="left" w:pos="1122"/>
              </w:tabs>
              <w:spacing w:before="0" w:after="0"/>
              <w:ind w:left="113" w:right="113"/>
              <w:jc w:val="center"/>
              <w:rPr>
                <w:rFonts w:asciiTheme="majorHAnsi" w:hAnsiTheme="majorHAnsi" w:cs="Arial"/>
                <w:lang w:val="pt-BR"/>
              </w:rPr>
            </w:pPr>
          </w:p>
        </w:tc>
        <w:tc>
          <w:tcPr>
            <w:tcW w:w="1894" w:type="pct"/>
            <w:vMerge/>
            <w:shd w:val="clear" w:color="auto" w:fill="FFFF00"/>
            <w:vAlign w:val="center"/>
          </w:tcPr>
          <w:p w14:paraId="4E0CD7AD" w14:textId="77777777" w:rsidR="00953C7D" w:rsidRPr="000A3626" w:rsidRDefault="00953C7D" w:rsidP="000A3626">
            <w:pPr>
              <w:pStyle w:val="itemx"/>
              <w:keepNext/>
              <w:keepLines/>
              <w:numPr>
                <w:ilvl w:val="0"/>
                <w:numId w:val="0"/>
              </w:numPr>
              <w:tabs>
                <w:tab w:val="left" w:pos="1122"/>
              </w:tabs>
              <w:spacing w:before="0" w:after="0"/>
              <w:jc w:val="left"/>
              <w:rPr>
                <w:rFonts w:asciiTheme="majorHAnsi" w:hAnsiTheme="majorHAnsi" w:cs="Arial"/>
                <w:lang w:val="pt-BR"/>
              </w:rPr>
            </w:pPr>
          </w:p>
        </w:tc>
        <w:tc>
          <w:tcPr>
            <w:tcW w:w="1795" w:type="pct"/>
            <w:shd w:val="clear" w:color="auto" w:fill="D9D9D9" w:themeFill="background1" w:themeFillShade="D9"/>
            <w:vAlign w:val="center"/>
          </w:tcPr>
          <w:p w14:paraId="5DBADA0B" w14:textId="77777777" w:rsidR="00953C7D" w:rsidRPr="000A3626" w:rsidRDefault="00953C7D" w:rsidP="000A3626">
            <w:pPr>
              <w:pStyle w:val="itemx"/>
              <w:keepNext/>
              <w:keepLines/>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SEMA (Secretaria Estadual do Meio Ambiente do Estado do Amapá)</w:t>
            </w:r>
          </w:p>
        </w:tc>
        <w:tc>
          <w:tcPr>
            <w:tcW w:w="924" w:type="pct"/>
            <w:vMerge/>
            <w:shd w:val="clear" w:color="auto" w:fill="D9D9D9" w:themeFill="background1" w:themeFillShade="D9"/>
          </w:tcPr>
          <w:p w14:paraId="644BBBCC" w14:textId="77777777" w:rsidR="00953C7D" w:rsidRPr="000A3626" w:rsidRDefault="00953C7D" w:rsidP="000A3626">
            <w:pPr>
              <w:pStyle w:val="itemx"/>
              <w:keepNext/>
              <w:keepLines/>
              <w:numPr>
                <w:ilvl w:val="0"/>
                <w:numId w:val="0"/>
              </w:numPr>
              <w:tabs>
                <w:tab w:val="left" w:pos="1122"/>
              </w:tabs>
              <w:spacing w:before="0" w:after="0"/>
              <w:jc w:val="left"/>
              <w:rPr>
                <w:rFonts w:asciiTheme="majorHAnsi" w:hAnsiTheme="majorHAnsi" w:cs="Arial"/>
                <w:lang w:val="pt-BR"/>
              </w:rPr>
            </w:pPr>
          </w:p>
        </w:tc>
      </w:tr>
      <w:tr w:rsidR="00953C7D" w:rsidRPr="000A3626" w14:paraId="55AB1AB0" w14:textId="77777777" w:rsidTr="00953C7D">
        <w:trPr>
          <w:trHeight w:val="267"/>
        </w:trPr>
        <w:tc>
          <w:tcPr>
            <w:tcW w:w="387" w:type="pct"/>
            <w:vMerge/>
            <w:shd w:val="clear" w:color="auto" w:fill="FFFF00"/>
            <w:textDirection w:val="btLr"/>
            <w:vAlign w:val="center"/>
          </w:tcPr>
          <w:p w14:paraId="1ECD2F5C" w14:textId="77777777" w:rsidR="00953C7D" w:rsidRPr="000A3626" w:rsidRDefault="00953C7D" w:rsidP="000A3626">
            <w:pPr>
              <w:pStyle w:val="itemx"/>
              <w:keepNext/>
              <w:keepLines/>
              <w:numPr>
                <w:ilvl w:val="0"/>
                <w:numId w:val="0"/>
              </w:numPr>
              <w:tabs>
                <w:tab w:val="left" w:pos="1122"/>
              </w:tabs>
              <w:spacing w:before="0" w:after="0"/>
              <w:ind w:left="113" w:right="113"/>
              <w:jc w:val="center"/>
              <w:rPr>
                <w:rFonts w:asciiTheme="majorHAnsi" w:hAnsiTheme="majorHAnsi" w:cs="Arial"/>
                <w:lang w:val="pt-BR"/>
              </w:rPr>
            </w:pPr>
          </w:p>
        </w:tc>
        <w:tc>
          <w:tcPr>
            <w:tcW w:w="1894" w:type="pct"/>
            <w:vMerge w:val="restart"/>
            <w:shd w:val="clear" w:color="auto" w:fill="FFFF00"/>
            <w:vAlign w:val="center"/>
          </w:tcPr>
          <w:p w14:paraId="409E8FC0" w14:textId="63D400F8" w:rsidR="00953C7D" w:rsidRPr="000A3626" w:rsidRDefault="00953C7D" w:rsidP="00F02324">
            <w:pPr>
              <w:pStyle w:val="itemx"/>
              <w:keepNext/>
              <w:keepLines/>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 xml:space="preserve">Relatório de Aplicação de Dispersante Químico (de acordo com as definições do </w:t>
            </w:r>
            <w:r w:rsidR="00F02324">
              <w:rPr>
                <w:rFonts w:asciiTheme="majorHAnsi" w:hAnsiTheme="majorHAnsi" w:cs="Arial"/>
                <w:lang w:val="pt-BR"/>
              </w:rPr>
              <w:t>Artigo 15 e Anexo IV</w:t>
            </w:r>
            <w:r w:rsidR="000C4B02">
              <w:rPr>
                <w:rFonts w:asciiTheme="majorHAnsi" w:hAnsiTheme="majorHAnsi" w:cs="Arial"/>
                <w:lang w:val="pt-BR"/>
              </w:rPr>
              <w:t xml:space="preserve"> da Resolução CONAMA Nº </w:t>
            </w:r>
            <w:r w:rsidR="00F02324">
              <w:rPr>
                <w:rFonts w:asciiTheme="majorHAnsi" w:hAnsiTheme="majorHAnsi" w:cs="Arial"/>
                <w:lang w:val="pt-BR"/>
              </w:rPr>
              <w:t>472</w:t>
            </w:r>
            <w:r w:rsidR="000C4B02">
              <w:rPr>
                <w:rFonts w:asciiTheme="majorHAnsi" w:hAnsiTheme="majorHAnsi" w:cs="Arial"/>
                <w:lang w:val="pt-BR"/>
              </w:rPr>
              <w:t>/</w:t>
            </w:r>
            <w:r w:rsidR="00F02324">
              <w:rPr>
                <w:rFonts w:asciiTheme="majorHAnsi" w:hAnsiTheme="majorHAnsi" w:cs="Arial"/>
                <w:lang w:val="pt-BR"/>
              </w:rPr>
              <w:t>15</w:t>
            </w:r>
            <w:r w:rsidR="000C4B02">
              <w:rPr>
                <w:rFonts w:asciiTheme="majorHAnsi" w:hAnsiTheme="majorHAnsi" w:cs="Arial"/>
                <w:lang w:val="pt-BR"/>
              </w:rPr>
              <w:t>)</w:t>
            </w:r>
          </w:p>
        </w:tc>
        <w:tc>
          <w:tcPr>
            <w:tcW w:w="1795" w:type="pct"/>
            <w:shd w:val="clear" w:color="auto" w:fill="D9D9D9" w:themeFill="background1" w:themeFillShade="D9"/>
            <w:vAlign w:val="center"/>
          </w:tcPr>
          <w:p w14:paraId="1DFD7C7D" w14:textId="2EA52E8F" w:rsidR="00953C7D" w:rsidRPr="000A3626" w:rsidRDefault="00953C7D" w:rsidP="00F02324">
            <w:pPr>
              <w:pStyle w:val="itemx"/>
              <w:keepNext/>
              <w:keepLines/>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IBAMA (CGEMA &amp; C</w:t>
            </w:r>
            <w:r w:rsidR="00F02324">
              <w:rPr>
                <w:rFonts w:asciiTheme="majorHAnsi" w:hAnsiTheme="majorHAnsi" w:cs="Arial"/>
                <w:lang w:val="pt-BR"/>
              </w:rPr>
              <w:t>OEXP</w:t>
            </w:r>
            <w:r w:rsidR="001D4B93" w:rsidRPr="00A70C70">
              <w:rPr>
                <w:rFonts w:asciiTheme="majorHAnsi" w:hAnsiTheme="majorHAnsi" w:cs="Arial"/>
                <w:highlight w:val="darkGray"/>
                <w:lang w:val="pt-BR"/>
              </w:rPr>
              <w:t>/CGMAC</w:t>
            </w:r>
            <w:r w:rsidRPr="000A3626">
              <w:rPr>
                <w:rFonts w:asciiTheme="majorHAnsi" w:hAnsiTheme="majorHAnsi" w:cs="Arial"/>
                <w:lang w:val="pt-BR"/>
              </w:rPr>
              <w:t>)</w:t>
            </w:r>
          </w:p>
        </w:tc>
        <w:tc>
          <w:tcPr>
            <w:tcW w:w="924" w:type="pct"/>
            <w:vMerge w:val="restart"/>
            <w:shd w:val="clear" w:color="auto" w:fill="D9D9D9" w:themeFill="background1" w:themeFillShade="D9"/>
            <w:vAlign w:val="center"/>
          </w:tcPr>
          <w:p w14:paraId="209D82AE" w14:textId="77777777" w:rsidR="00953C7D" w:rsidRPr="000A3626" w:rsidRDefault="00953C7D" w:rsidP="000A3626">
            <w:pPr>
              <w:pStyle w:val="itemx"/>
              <w:keepNext/>
              <w:keepLines/>
              <w:numPr>
                <w:ilvl w:val="0"/>
                <w:numId w:val="0"/>
              </w:numPr>
              <w:tabs>
                <w:tab w:val="left" w:pos="1122"/>
              </w:tabs>
              <w:spacing w:before="0" w:after="0"/>
              <w:jc w:val="center"/>
              <w:rPr>
                <w:rFonts w:asciiTheme="majorHAnsi" w:hAnsiTheme="majorHAnsi" w:cstheme="majorHAnsi"/>
                <w:b/>
                <w:lang w:val="pt-BR"/>
              </w:rPr>
            </w:pPr>
            <w:r w:rsidRPr="000A3626">
              <w:rPr>
                <w:rFonts w:asciiTheme="majorHAnsi" w:hAnsiTheme="majorHAnsi" w:cstheme="majorHAnsi"/>
                <w:b/>
                <w:lang w:val="pt-BR"/>
              </w:rPr>
              <w:t>No prazo de 15 dias após o término da operação de aplicação de dispersante</w:t>
            </w:r>
          </w:p>
        </w:tc>
      </w:tr>
      <w:tr w:rsidR="00953C7D" w:rsidRPr="000A3626" w14:paraId="0B69887B" w14:textId="77777777" w:rsidTr="00953C7D">
        <w:trPr>
          <w:trHeight w:val="339"/>
        </w:trPr>
        <w:tc>
          <w:tcPr>
            <w:tcW w:w="387" w:type="pct"/>
            <w:vMerge/>
            <w:shd w:val="clear" w:color="auto" w:fill="FFFF00"/>
            <w:vAlign w:val="center"/>
          </w:tcPr>
          <w:p w14:paraId="202BA4BC" w14:textId="77777777" w:rsidR="00953C7D" w:rsidRPr="000A3626" w:rsidRDefault="00953C7D" w:rsidP="000A3626">
            <w:pPr>
              <w:pStyle w:val="itemx"/>
              <w:keepNext/>
              <w:keepLines/>
              <w:numPr>
                <w:ilvl w:val="0"/>
                <w:numId w:val="0"/>
              </w:numPr>
              <w:tabs>
                <w:tab w:val="left" w:pos="1122"/>
              </w:tabs>
              <w:spacing w:before="0" w:after="0"/>
              <w:jc w:val="center"/>
              <w:rPr>
                <w:rFonts w:asciiTheme="majorHAnsi" w:hAnsiTheme="majorHAnsi" w:cs="Arial"/>
                <w:lang w:val="pt-BR"/>
              </w:rPr>
            </w:pPr>
          </w:p>
        </w:tc>
        <w:tc>
          <w:tcPr>
            <w:tcW w:w="1894" w:type="pct"/>
            <w:vMerge/>
            <w:shd w:val="clear" w:color="auto" w:fill="FFFF00"/>
            <w:vAlign w:val="center"/>
          </w:tcPr>
          <w:p w14:paraId="455B8F1F" w14:textId="77777777" w:rsidR="00953C7D" w:rsidRPr="000A3626" w:rsidRDefault="00953C7D" w:rsidP="000A3626">
            <w:pPr>
              <w:pStyle w:val="itemx"/>
              <w:keepNext/>
              <w:keepLines/>
              <w:numPr>
                <w:ilvl w:val="0"/>
                <w:numId w:val="0"/>
              </w:numPr>
              <w:tabs>
                <w:tab w:val="left" w:pos="1122"/>
              </w:tabs>
              <w:spacing w:before="0" w:after="0"/>
              <w:jc w:val="left"/>
              <w:rPr>
                <w:rFonts w:asciiTheme="majorHAnsi" w:hAnsiTheme="majorHAnsi" w:cs="Arial"/>
                <w:lang w:val="pt-BR"/>
              </w:rPr>
            </w:pPr>
          </w:p>
        </w:tc>
        <w:tc>
          <w:tcPr>
            <w:tcW w:w="1795" w:type="pct"/>
            <w:shd w:val="clear" w:color="auto" w:fill="D9D9D9" w:themeFill="background1" w:themeFillShade="D9"/>
            <w:vAlign w:val="center"/>
          </w:tcPr>
          <w:p w14:paraId="648E7565" w14:textId="77777777" w:rsidR="00953C7D" w:rsidRPr="000A3626" w:rsidRDefault="00953C7D" w:rsidP="000A3626">
            <w:pPr>
              <w:pStyle w:val="itemx"/>
              <w:keepNext/>
              <w:keepLines/>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SEMA (Secretaria Estadual do Meio Ambiente do Estado do Amapá)</w:t>
            </w:r>
          </w:p>
        </w:tc>
        <w:tc>
          <w:tcPr>
            <w:tcW w:w="924" w:type="pct"/>
            <w:vMerge/>
            <w:shd w:val="clear" w:color="auto" w:fill="D9D9D9" w:themeFill="background1" w:themeFillShade="D9"/>
            <w:vAlign w:val="center"/>
          </w:tcPr>
          <w:p w14:paraId="483A9B6D" w14:textId="77777777" w:rsidR="00953C7D" w:rsidRPr="000A3626" w:rsidRDefault="00953C7D" w:rsidP="000A3626">
            <w:pPr>
              <w:pStyle w:val="itemx"/>
              <w:keepNext/>
              <w:keepLines/>
              <w:numPr>
                <w:ilvl w:val="0"/>
                <w:numId w:val="0"/>
              </w:numPr>
              <w:tabs>
                <w:tab w:val="left" w:pos="1122"/>
              </w:tabs>
              <w:spacing w:before="0" w:after="0"/>
              <w:jc w:val="center"/>
              <w:rPr>
                <w:rFonts w:asciiTheme="majorHAnsi" w:hAnsiTheme="majorHAnsi" w:cstheme="majorHAnsi"/>
                <w:b/>
                <w:lang w:val="pt-BR"/>
              </w:rPr>
            </w:pPr>
          </w:p>
        </w:tc>
      </w:tr>
      <w:tr w:rsidR="00953C7D" w:rsidRPr="000A3626" w14:paraId="2C8D07E6" w14:textId="77777777" w:rsidTr="00953C7D">
        <w:trPr>
          <w:trHeight w:val="261"/>
        </w:trPr>
        <w:tc>
          <w:tcPr>
            <w:tcW w:w="387" w:type="pct"/>
            <w:vMerge/>
            <w:shd w:val="clear" w:color="auto" w:fill="FFFF00"/>
            <w:vAlign w:val="center"/>
          </w:tcPr>
          <w:p w14:paraId="6AA58F07" w14:textId="77777777" w:rsidR="00953C7D" w:rsidRPr="000A3626" w:rsidRDefault="00953C7D" w:rsidP="000A3626">
            <w:pPr>
              <w:pStyle w:val="itemx"/>
              <w:keepNext/>
              <w:keepLines/>
              <w:numPr>
                <w:ilvl w:val="0"/>
                <w:numId w:val="0"/>
              </w:numPr>
              <w:tabs>
                <w:tab w:val="left" w:pos="1122"/>
              </w:tabs>
              <w:spacing w:before="0" w:after="0"/>
              <w:jc w:val="center"/>
              <w:rPr>
                <w:rFonts w:asciiTheme="majorHAnsi" w:hAnsiTheme="majorHAnsi" w:cs="Arial"/>
                <w:lang w:val="pt-BR"/>
              </w:rPr>
            </w:pPr>
          </w:p>
        </w:tc>
        <w:tc>
          <w:tcPr>
            <w:tcW w:w="1894" w:type="pct"/>
            <w:vMerge w:val="restart"/>
            <w:shd w:val="clear" w:color="auto" w:fill="FFFF00"/>
            <w:vAlign w:val="center"/>
          </w:tcPr>
          <w:p w14:paraId="6C6CF028" w14:textId="490680C9" w:rsidR="00953C7D" w:rsidRPr="000A3626" w:rsidRDefault="00953C7D" w:rsidP="00F02324">
            <w:pPr>
              <w:pStyle w:val="itemx"/>
              <w:keepNext/>
              <w:keepLines/>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 xml:space="preserve">Relatório Final (de acordo com as definições </w:t>
            </w:r>
            <w:r w:rsidR="00F02324">
              <w:rPr>
                <w:rFonts w:asciiTheme="majorHAnsi" w:hAnsiTheme="majorHAnsi" w:cs="Arial"/>
                <w:lang w:val="pt-BR"/>
              </w:rPr>
              <w:t xml:space="preserve">do Artigo 16, que remete ao 15 e Anexo IV, </w:t>
            </w:r>
            <w:r w:rsidRPr="000A3626">
              <w:rPr>
                <w:rFonts w:asciiTheme="majorHAnsi" w:hAnsiTheme="majorHAnsi" w:cs="Arial"/>
                <w:lang w:val="pt-BR"/>
              </w:rPr>
              <w:t>da Resolução CONAMA N</w:t>
            </w:r>
            <w:r w:rsidR="00F02324">
              <w:rPr>
                <w:rFonts w:asciiTheme="majorHAnsi" w:hAnsiTheme="majorHAnsi" w:cs="Arial"/>
                <w:lang w:val="pt-BR"/>
              </w:rPr>
              <w:t>º</w:t>
            </w:r>
            <w:r w:rsidRPr="000A3626">
              <w:rPr>
                <w:rFonts w:asciiTheme="majorHAnsi" w:hAnsiTheme="majorHAnsi" w:cs="Arial"/>
                <w:lang w:val="pt-BR"/>
              </w:rPr>
              <w:t xml:space="preserve"> </w:t>
            </w:r>
            <w:r w:rsidR="00F02324">
              <w:rPr>
                <w:rFonts w:asciiTheme="majorHAnsi" w:hAnsiTheme="majorHAnsi" w:cs="Arial"/>
                <w:lang w:val="pt-BR"/>
              </w:rPr>
              <w:t>472</w:t>
            </w:r>
            <w:r w:rsidRPr="000A3626">
              <w:rPr>
                <w:rFonts w:asciiTheme="majorHAnsi" w:hAnsiTheme="majorHAnsi" w:cs="Arial"/>
                <w:lang w:val="pt-BR"/>
              </w:rPr>
              <w:t>/</w:t>
            </w:r>
            <w:r w:rsidR="00F02324">
              <w:rPr>
                <w:rFonts w:asciiTheme="majorHAnsi" w:hAnsiTheme="majorHAnsi" w:cs="Arial"/>
                <w:lang w:val="pt-BR"/>
              </w:rPr>
              <w:t>15</w:t>
            </w:r>
            <w:r w:rsidRPr="000A3626">
              <w:rPr>
                <w:rFonts w:asciiTheme="majorHAnsi" w:hAnsiTheme="majorHAnsi" w:cs="Arial"/>
                <w:lang w:val="pt-BR"/>
              </w:rPr>
              <w:t>)</w:t>
            </w:r>
          </w:p>
        </w:tc>
        <w:tc>
          <w:tcPr>
            <w:tcW w:w="1795" w:type="pct"/>
            <w:shd w:val="clear" w:color="auto" w:fill="D9D9D9" w:themeFill="background1" w:themeFillShade="D9"/>
            <w:vAlign w:val="center"/>
          </w:tcPr>
          <w:p w14:paraId="2A462EF6" w14:textId="5528C851" w:rsidR="00953C7D" w:rsidRPr="000A3626" w:rsidRDefault="00953C7D" w:rsidP="00F02324">
            <w:pPr>
              <w:pStyle w:val="itemx"/>
              <w:keepNext/>
              <w:keepLines/>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IBAMA (CGEMA &amp; C</w:t>
            </w:r>
            <w:r w:rsidR="00F02324">
              <w:rPr>
                <w:rFonts w:asciiTheme="majorHAnsi" w:hAnsiTheme="majorHAnsi" w:cs="Arial"/>
                <w:lang w:val="pt-BR"/>
              </w:rPr>
              <w:t>OEXP</w:t>
            </w:r>
            <w:r w:rsidR="001D4B93" w:rsidRPr="00A70C70">
              <w:rPr>
                <w:rFonts w:asciiTheme="majorHAnsi" w:hAnsiTheme="majorHAnsi" w:cs="Arial"/>
                <w:highlight w:val="darkGray"/>
                <w:lang w:val="pt-BR"/>
              </w:rPr>
              <w:t>/CGMAC</w:t>
            </w:r>
            <w:r w:rsidRPr="000A3626">
              <w:rPr>
                <w:rFonts w:asciiTheme="majorHAnsi" w:hAnsiTheme="majorHAnsi" w:cs="Arial"/>
                <w:lang w:val="pt-BR"/>
              </w:rPr>
              <w:t>)</w:t>
            </w:r>
          </w:p>
        </w:tc>
        <w:tc>
          <w:tcPr>
            <w:tcW w:w="924" w:type="pct"/>
            <w:vMerge w:val="restart"/>
            <w:shd w:val="clear" w:color="auto" w:fill="D9D9D9" w:themeFill="background1" w:themeFillShade="D9"/>
            <w:vAlign w:val="center"/>
          </w:tcPr>
          <w:p w14:paraId="618453BB" w14:textId="77777777" w:rsidR="00953C7D" w:rsidRPr="000A3626" w:rsidRDefault="00953C7D" w:rsidP="000A3626">
            <w:pPr>
              <w:pStyle w:val="itemx"/>
              <w:keepNext/>
              <w:keepLines/>
              <w:numPr>
                <w:ilvl w:val="0"/>
                <w:numId w:val="0"/>
              </w:numPr>
              <w:tabs>
                <w:tab w:val="left" w:pos="1122"/>
              </w:tabs>
              <w:spacing w:before="0" w:after="0"/>
              <w:jc w:val="center"/>
              <w:rPr>
                <w:rFonts w:asciiTheme="majorHAnsi" w:hAnsiTheme="majorHAnsi" w:cstheme="majorHAnsi"/>
                <w:b/>
                <w:lang w:val="pt-BR"/>
              </w:rPr>
            </w:pPr>
            <w:r w:rsidRPr="000A3626">
              <w:rPr>
                <w:rFonts w:asciiTheme="majorHAnsi" w:hAnsiTheme="majorHAnsi" w:cstheme="majorHAnsi"/>
                <w:b/>
                <w:lang w:val="pt-BR"/>
              </w:rPr>
              <w:t>No prazo de 90 dias após o término da operação de aplicação de dispersante</w:t>
            </w:r>
          </w:p>
        </w:tc>
      </w:tr>
      <w:tr w:rsidR="00953C7D" w:rsidRPr="000A3626" w14:paraId="4B768E0E" w14:textId="77777777" w:rsidTr="00953C7D">
        <w:trPr>
          <w:trHeight w:val="237"/>
        </w:trPr>
        <w:tc>
          <w:tcPr>
            <w:tcW w:w="387" w:type="pct"/>
            <w:vMerge/>
            <w:shd w:val="clear" w:color="auto" w:fill="FFFF00"/>
            <w:vAlign w:val="center"/>
          </w:tcPr>
          <w:p w14:paraId="3974C9AA" w14:textId="77777777" w:rsidR="00953C7D" w:rsidRPr="000A3626" w:rsidRDefault="00953C7D" w:rsidP="000A3626">
            <w:pPr>
              <w:pStyle w:val="itemx"/>
              <w:numPr>
                <w:ilvl w:val="0"/>
                <w:numId w:val="0"/>
              </w:numPr>
              <w:tabs>
                <w:tab w:val="left" w:pos="1122"/>
              </w:tabs>
              <w:spacing w:before="0" w:after="0"/>
              <w:jc w:val="center"/>
              <w:rPr>
                <w:rFonts w:asciiTheme="majorHAnsi" w:hAnsiTheme="majorHAnsi" w:cs="Arial"/>
                <w:lang w:val="pt-BR"/>
              </w:rPr>
            </w:pPr>
          </w:p>
        </w:tc>
        <w:tc>
          <w:tcPr>
            <w:tcW w:w="1894" w:type="pct"/>
            <w:vMerge/>
            <w:shd w:val="clear" w:color="auto" w:fill="FFFF00"/>
            <w:vAlign w:val="center"/>
          </w:tcPr>
          <w:p w14:paraId="506940B2"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p>
        </w:tc>
        <w:tc>
          <w:tcPr>
            <w:tcW w:w="1795" w:type="pct"/>
            <w:shd w:val="clear" w:color="auto" w:fill="D9D9D9" w:themeFill="background1" w:themeFillShade="D9"/>
            <w:vAlign w:val="center"/>
          </w:tcPr>
          <w:p w14:paraId="70E3C082"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SEMA (Secretaria Estadual do Meio Ambiente do Estado do Amapá)</w:t>
            </w:r>
          </w:p>
        </w:tc>
        <w:tc>
          <w:tcPr>
            <w:tcW w:w="924" w:type="pct"/>
            <w:vMerge/>
            <w:shd w:val="clear" w:color="auto" w:fill="D9D9D9" w:themeFill="background1" w:themeFillShade="D9"/>
          </w:tcPr>
          <w:p w14:paraId="6C5D1EE1"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p>
        </w:tc>
      </w:tr>
      <w:tr w:rsidR="00953C7D" w:rsidRPr="000A3626" w14:paraId="55E33C76" w14:textId="77777777" w:rsidTr="00953C7D">
        <w:trPr>
          <w:trHeight w:val="764"/>
        </w:trPr>
        <w:tc>
          <w:tcPr>
            <w:tcW w:w="5000" w:type="pct"/>
            <w:gridSpan w:val="4"/>
            <w:shd w:val="clear" w:color="auto" w:fill="FFFFFF" w:themeFill="background1"/>
            <w:vAlign w:val="center"/>
          </w:tcPr>
          <w:p w14:paraId="5F122FB3" w14:textId="77777777" w:rsidR="00F02324" w:rsidRPr="00A70C70" w:rsidRDefault="000A3626" w:rsidP="00F02324">
            <w:pPr>
              <w:pStyle w:val="itemx"/>
              <w:numPr>
                <w:ilvl w:val="0"/>
                <w:numId w:val="0"/>
              </w:numPr>
              <w:tabs>
                <w:tab w:val="left" w:pos="1170"/>
              </w:tabs>
              <w:spacing w:before="0" w:after="0"/>
              <w:ind w:left="900" w:hanging="900"/>
              <w:rPr>
                <w:rFonts w:asciiTheme="majorHAnsi" w:hAnsiTheme="majorHAnsi" w:cs="Arial"/>
                <w:highlight w:val="lightGray"/>
                <w:lang w:val="pt-BR"/>
              </w:rPr>
            </w:pPr>
            <w:r w:rsidRPr="000A3626">
              <w:rPr>
                <w:rFonts w:asciiTheme="majorHAnsi" w:hAnsiTheme="majorHAnsi" w:cs="Arial"/>
                <w:b/>
                <w:lang w:val="pt-BR"/>
              </w:rPr>
              <w:t>Legenda:</w:t>
            </w:r>
            <w:r>
              <w:rPr>
                <w:rFonts w:asciiTheme="majorHAnsi" w:hAnsiTheme="majorHAnsi" w:cs="Arial"/>
                <w:lang w:val="pt-BR"/>
              </w:rPr>
              <w:t xml:space="preserve"> </w:t>
            </w:r>
            <w:r w:rsidR="00953C7D" w:rsidRPr="00A70C70">
              <w:rPr>
                <w:rFonts w:asciiTheme="majorHAnsi" w:hAnsiTheme="majorHAnsi" w:cs="Arial"/>
                <w:highlight w:val="lightGray"/>
                <w:vertAlign w:val="superscript"/>
                <w:lang w:val="pt-BR"/>
              </w:rPr>
              <w:t>1</w:t>
            </w:r>
            <w:r w:rsidR="00953C7D" w:rsidRPr="00A70C70">
              <w:rPr>
                <w:rFonts w:asciiTheme="majorHAnsi" w:hAnsiTheme="majorHAnsi" w:cs="Arial"/>
                <w:highlight w:val="lightGray"/>
                <w:lang w:val="pt-BR"/>
              </w:rPr>
              <w:t xml:space="preserve"> Considerado como o prazo necessário para coletar informações iniciais confiáveis (principalmente as do formulário/Relatório Geral do Incidente) e recolher as aprovações para sua liberação,</w:t>
            </w:r>
            <w:r w:rsidR="000C4B02" w:rsidRPr="00A70C70">
              <w:rPr>
                <w:rFonts w:asciiTheme="majorHAnsi" w:hAnsiTheme="majorHAnsi" w:cs="Arial"/>
                <w:highlight w:val="lightGray"/>
                <w:lang w:val="pt-BR"/>
              </w:rPr>
              <w:t xml:space="preserve"> conforme procedimento definido; </w:t>
            </w:r>
          </w:p>
          <w:p w14:paraId="60A96EF2" w14:textId="57B1B227" w:rsidR="00F02324" w:rsidRPr="00A70C70" w:rsidRDefault="00F02324" w:rsidP="00F02324">
            <w:pPr>
              <w:pStyle w:val="itemx"/>
              <w:numPr>
                <w:ilvl w:val="0"/>
                <w:numId w:val="0"/>
              </w:numPr>
              <w:tabs>
                <w:tab w:val="left" w:pos="1170"/>
              </w:tabs>
              <w:spacing w:before="0" w:after="0"/>
              <w:ind w:left="900"/>
              <w:rPr>
                <w:rFonts w:asciiTheme="majorHAnsi" w:hAnsiTheme="majorHAnsi" w:cs="Arial"/>
                <w:highlight w:val="lightGray"/>
                <w:lang w:val="pt-BR"/>
              </w:rPr>
            </w:pPr>
            <w:r w:rsidRPr="00A70C70">
              <w:rPr>
                <w:rFonts w:asciiTheme="majorHAnsi" w:hAnsiTheme="majorHAnsi" w:cs="Arial"/>
                <w:highlight w:val="lightGray"/>
                <w:vertAlign w:val="superscript"/>
                <w:lang w:val="pt-BR"/>
              </w:rPr>
              <w:t>2</w:t>
            </w:r>
            <w:r w:rsidRPr="00A70C70">
              <w:rPr>
                <w:rFonts w:asciiTheme="majorHAnsi" w:hAnsiTheme="majorHAnsi" w:cs="Arial"/>
                <w:highlight w:val="lightGray"/>
                <w:lang w:val="pt-BR"/>
              </w:rPr>
              <w:t xml:space="preserve"> De acordo com a natureza do incidente, o prazo de comunicação é classificado, e informações necessárias, determinadas conforme expresso na versão 3 do Manual de Comunicação de Incidentes de Exploração e Produção de Petróleo e Gás Natural (MCI), da SSM/ANP.</w:t>
            </w:r>
          </w:p>
          <w:p w14:paraId="3205E219" w14:textId="03275BDB" w:rsidR="00F02324" w:rsidRPr="00A70C70" w:rsidRDefault="00F02324" w:rsidP="00F02324">
            <w:pPr>
              <w:pStyle w:val="itemx"/>
              <w:numPr>
                <w:ilvl w:val="0"/>
                <w:numId w:val="0"/>
              </w:numPr>
              <w:tabs>
                <w:tab w:val="left" w:pos="900"/>
              </w:tabs>
              <w:spacing w:before="0" w:after="0"/>
              <w:ind w:left="900"/>
              <w:rPr>
                <w:rFonts w:asciiTheme="majorHAnsi" w:hAnsiTheme="majorHAnsi" w:cstheme="majorHAnsi"/>
                <w:highlight w:val="lightGray"/>
                <w:lang w:val="pt-BR"/>
              </w:rPr>
            </w:pPr>
            <w:r w:rsidRPr="00A70C70">
              <w:rPr>
                <w:rFonts w:asciiTheme="majorHAnsi" w:hAnsiTheme="majorHAnsi" w:cs="Arial"/>
                <w:highlight w:val="lightGray"/>
                <w:vertAlign w:val="superscript"/>
                <w:lang w:val="pt-BR"/>
              </w:rPr>
              <w:t>3</w:t>
            </w:r>
            <w:r w:rsidR="00953C7D" w:rsidRPr="00A70C70">
              <w:rPr>
                <w:rFonts w:asciiTheme="majorHAnsi" w:hAnsiTheme="majorHAnsi" w:cs="Arial"/>
                <w:highlight w:val="lightGray"/>
                <w:lang w:val="pt-BR"/>
              </w:rPr>
              <w:t xml:space="preserve"> Para </w:t>
            </w:r>
            <w:r w:rsidR="00953C7D" w:rsidRPr="00A70C70">
              <w:rPr>
                <w:rFonts w:asciiTheme="majorHAnsi" w:hAnsiTheme="majorHAnsi" w:cstheme="majorHAnsi"/>
                <w:highlight w:val="lightGray"/>
                <w:lang w:val="pt-BR"/>
              </w:rPr>
              <w:t>eventos incidentais que causem derramamentos com descargas iguais ou superiores às Descargas Médias (Tiers 2 e 3) de ól</w:t>
            </w:r>
            <w:r w:rsidR="000C4B02" w:rsidRPr="00A70C70">
              <w:rPr>
                <w:rFonts w:asciiTheme="majorHAnsi" w:hAnsiTheme="majorHAnsi" w:cstheme="majorHAnsi"/>
                <w:highlight w:val="lightGray"/>
                <w:lang w:val="pt-BR"/>
              </w:rPr>
              <w:t xml:space="preserve">eo ou fluido de base não aquosa; </w:t>
            </w:r>
          </w:p>
          <w:p w14:paraId="0E94A5BD" w14:textId="77777777" w:rsidR="00F02324" w:rsidRPr="00A70C70" w:rsidRDefault="00F02324" w:rsidP="00F02324">
            <w:pPr>
              <w:pStyle w:val="itemx"/>
              <w:numPr>
                <w:ilvl w:val="0"/>
                <w:numId w:val="0"/>
              </w:numPr>
              <w:tabs>
                <w:tab w:val="left" w:pos="1122"/>
              </w:tabs>
              <w:spacing w:before="0" w:after="0"/>
              <w:ind w:left="851"/>
              <w:rPr>
                <w:rFonts w:asciiTheme="majorHAnsi" w:hAnsiTheme="majorHAnsi" w:cs="Arial"/>
                <w:highlight w:val="lightGray"/>
                <w:lang w:val="pt-BR"/>
              </w:rPr>
            </w:pPr>
            <w:r w:rsidRPr="00A70C70">
              <w:rPr>
                <w:rFonts w:asciiTheme="majorHAnsi" w:hAnsiTheme="majorHAnsi" w:cs="Arial"/>
                <w:highlight w:val="lightGray"/>
                <w:vertAlign w:val="superscript"/>
                <w:lang w:val="pt-BR"/>
              </w:rPr>
              <w:t>4</w:t>
            </w:r>
            <w:r w:rsidRPr="00A70C70">
              <w:rPr>
                <w:rFonts w:asciiTheme="majorHAnsi" w:hAnsiTheme="majorHAnsi" w:cs="Arial"/>
                <w:highlight w:val="lightGray"/>
                <w:lang w:val="pt-BR"/>
              </w:rPr>
              <w:t xml:space="preserve"> Conforme descrito MCI, as atualizações de um cenário acidental a ANP devem ser enviadas a cada 12 horas até o final do incidente. Caso surja uma informação considerada relevante, esta deverá ser enviada de imediato, não sendo necessário aguardar o prazo estipulado para atualização. É entendimento da BP Energy, que esta comunicação extra não interfere na periodicidade definida anteriormente para as atualizações. </w:t>
            </w:r>
          </w:p>
          <w:p w14:paraId="26AED95F" w14:textId="77777777" w:rsidR="00F02324" w:rsidRPr="00A70C70" w:rsidRDefault="00F02324" w:rsidP="00F02324">
            <w:pPr>
              <w:pStyle w:val="itemx"/>
              <w:numPr>
                <w:ilvl w:val="0"/>
                <w:numId w:val="0"/>
              </w:numPr>
              <w:tabs>
                <w:tab w:val="left" w:pos="900"/>
              </w:tabs>
              <w:spacing w:before="0" w:after="0"/>
              <w:ind w:left="900"/>
              <w:rPr>
                <w:rFonts w:asciiTheme="majorHAnsi" w:hAnsiTheme="majorHAnsi" w:cs="Arial"/>
                <w:highlight w:val="lightGray"/>
                <w:lang w:val="pt-BR"/>
              </w:rPr>
            </w:pPr>
            <w:r w:rsidRPr="00A70C70">
              <w:rPr>
                <w:rFonts w:asciiTheme="majorHAnsi" w:hAnsiTheme="majorHAnsi" w:cs="Arial"/>
                <w:highlight w:val="lightGray"/>
                <w:vertAlign w:val="superscript"/>
                <w:lang w:val="pt-BR"/>
              </w:rPr>
              <w:t>5</w:t>
            </w:r>
            <w:r w:rsidR="00953C7D" w:rsidRPr="00A70C70">
              <w:rPr>
                <w:rFonts w:asciiTheme="majorHAnsi" w:hAnsiTheme="majorHAnsi" w:cs="Arial"/>
                <w:highlight w:val="lightGray"/>
                <w:lang w:val="pt-BR"/>
              </w:rPr>
              <w:t xml:space="preserve"> Emitido diariamente, começando nas primeiras 72 horas a partir da ocorrência do incidente. A frequência de emissão pode ser revista se o evento diminuir sua magnitude e se aprovado p</w:t>
            </w:r>
            <w:r w:rsidR="000C4B02" w:rsidRPr="00A70C70">
              <w:rPr>
                <w:rFonts w:asciiTheme="majorHAnsi" w:hAnsiTheme="majorHAnsi" w:cs="Arial"/>
                <w:highlight w:val="lightGray"/>
                <w:lang w:val="pt-BR"/>
              </w:rPr>
              <w:t xml:space="preserve">elas autoridades destinatárias; </w:t>
            </w:r>
          </w:p>
          <w:p w14:paraId="395AB063" w14:textId="572E6022" w:rsidR="001D4B93" w:rsidRDefault="00F02324" w:rsidP="00A70C70">
            <w:pPr>
              <w:pStyle w:val="itemx"/>
              <w:numPr>
                <w:ilvl w:val="0"/>
                <w:numId w:val="0"/>
              </w:numPr>
              <w:tabs>
                <w:tab w:val="left" w:pos="900"/>
              </w:tabs>
              <w:spacing w:before="0" w:after="0"/>
              <w:ind w:left="900"/>
              <w:rPr>
                <w:rFonts w:asciiTheme="majorHAnsi" w:hAnsiTheme="majorHAnsi" w:cs="Arial"/>
                <w:lang w:val="pt-BR"/>
              </w:rPr>
            </w:pPr>
            <w:r w:rsidRPr="00A70C70">
              <w:rPr>
                <w:rFonts w:asciiTheme="majorHAnsi" w:hAnsiTheme="majorHAnsi" w:cs="Arial"/>
                <w:highlight w:val="lightGray"/>
                <w:vertAlign w:val="superscript"/>
                <w:lang w:val="pt-BR"/>
              </w:rPr>
              <w:t>6</w:t>
            </w:r>
            <w:r w:rsidR="00953C7D" w:rsidRPr="00A70C70">
              <w:rPr>
                <w:rFonts w:asciiTheme="majorHAnsi" w:hAnsiTheme="majorHAnsi" w:cs="Arial"/>
                <w:highlight w:val="lightGray"/>
                <w:lang w:val="pt-BR"/>
              </w:rPr>
              <w:t xml:space="preserve"> Feito com antecedência, para dar a oportunidade às agências ambientais competentes de tomar todas as medidas necessárias para acompanhar e/ou monitorar esta operação d</w:t>
            </w:r>
            <w:r w:rsidR="000C4B02" w:rsidRPr="00A70C70">
              <w:rPr>
                <w:rFonts w:asciiTheme="majorHAnsi" w:hAnsiTheme="majorHAnsi" w:cs="Arial"/>
                <w:highlight w:val="lightGray"/>
                <w:lang w:val="pt-BR"/>
              </w:rPr>
              <w:t>e aplicação;</w:t>
            </w:r>
          </w:p>
          <w:p w14:paraId="3600C06F" w14:textId="4C8C31AE" w:rsidR="001D4B93" w:rsidRPr="000A3626" w:rsidRDefault="001D4B93" w:rsidP="00F02324">
            <w:pPr>
              <w:pStyle w:val="itemx"/>
              <w:numPr>
                <w:ilvl w:val="0"/>
                <w:numId w:val="0"/>
              </w:numPr>
              <w:tabs>
                <w:tab w:val="left" w:pos="0"/>
              </w:tabs>
              <w:spacing w:before="0" w:after="0"/>
              <w:ind w:firstLine="900"/>
              <w:rPr>
                <w:rFonts w:asciiTheme="majorHAnsi" w:hAnsiTheme="majorHAnsi" w:cs="Arial"/>
                <w:lang w:val="pt-BR"/>
              </w:rPr>
            </w:pPr>
          </w:p>
        </w:tc>
      </w:tr>
    </w:tbl>
    <w:p w14:paraId="223EED04" w14:textId="77777777" w:rsidR="00953C7D" w:rsidRDefault="00953C7D" w:rsidP="00953C7D">
      <w:pPr>
        <w:pStyle w:val="tier1Itext"/>
      </w:pP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1082"/>
        <w:gridCol w:w="5293"/>
        <w:gridCol w:w="5016"/>
        <w:gridCol w:w="2582"/>
      </w:tblGrid>
      <w:tr w:rsidR="0071188B" w:rsidRPr="000A3626" w14:paraId="3217DA75" w14:textId="77777777" w:rsidTr="00A86E83">
        <w:trPr>
          <w:trHeight w:val="340"/>
          <w:tblHeader/>
        </w:trPr>
        <w:tc>
          <w:tcPr>
            <w:tcW w:w="5000" w:type="pct"/>
            <w:gridSpan w:val="4"/>
            <w:shd w:val="clear" w:color="auto" w:fill="FFFFFF" w:themeFill="background1"/>
            <w:vAlign w:val="bottom"/>
          </w:tcPr>
          <w:p w14:paraId="1DC53891" w14:textId="21D83E0B" w:rsidR="0071188B" w:rsidRPr="000A3626" w:rsidRDefault="0071188B" w:rsidP="00A86E83">
            <w:pPr>
              <w:keepNext/>
              <w:keepLines/>
              <w:spacing w:before="0" w:line="240" w:lineRule="auto"/>
              <w:jc w:val="left"/>
              <w:rPr>
                <w:rFonts w:asciiTheme="majorHAnsi" w:hAnsiTheme="majorHAnsi"/>
                <w:b/>
                <w:sz w:val="20"/>
                <w:szCs w:val="20"/>
              </w:rPr>
            </w:pPr>
            <w:bookmarkStart w:id="116" w:name="_Hlk527720429"/>
            <w:bookmarkStart w:id="117" w:name="_Toc527990487"/>
            <w:r w:rsidRPr="00A70C70">
              <w:rPr>
                <w:rFonts w:asciiTheme="majorHAnsi" w:hAnsiTheme="majorHAnsi"/>
                <w:b/>
                <w:sz w:val="20"/>
                <w:szCs w:val="20"/>
                <w:highlight w:val="lightGray"/>
              </w:rPr>
              <w:lastRenderedPageBreak/>
              <w:t xml:space="preserve">Tabela </w:t>
            </w:r>
            <w:r w:rsidR="00DC6B16" w:rsidRPr="00A70C70">
              <w:rPr>
                <w:rFonts w:asciiTheme="majorHAnsi" w:hAnsiTheme="majorHAnsi"/>
                <w:b/>
                <w:sz w:val="20"/>
                <w:szCs w:val="20"/>
                <w:highlight w:val="lightGray"/>
              </w:rPr>
              <w:fldChar w:fldCharType="begin"/>
            </w:r>
            <w:r w:rsidR="00DC6B16" w:rsidRPr="00A70C70">
              <w:rPr>
                <w:rFonts w:asciiTheme="majorHAnsi" w:hAnsiTheme="majorHAnsi"/>
                <w:b/>
                <w:sz w:val="20"/>
                <w:szCs w:val="20"/>
                <w:highlight w:val="lightGray"/>
              </w:rPr>
              <w:instrText xml:space="preserve"> SEQ Tabela \* ARABIC </w:instrText>
            </w:r>
            <w:r w:rsidR="00DC6B16" w:rsidRPr="00A70C70">
              <w:rPr>
                <w:rFonts w:asciiTheme="majorHAnsi" w:hAnsiTheme="majorHAnsi"/>
                <w:b/>
                <w:sz w:val="20"/>
                <w:szCs w:val="20"/>
                <w:highlight w:val="lightGray"/>
              </w:rPr>
              <w:fldChar w:fldCharType="separate"/>
            </w:r>
            <w:r w:rsidR="00CD1E9E" w:rsidRPr="00A70C70">
              <w:rPr>
                <w:rFonts w:asciiTheme="majorHAnsi" w:hAnsiTheme="majorHAnsi"/>
                <w:b/>
                <w:noProof/>
                <w:sz w:val="20"/>
                <w:szCs w:val="20"/>
                <w:highlight w:val="lightGray"/>
              </w:rPr>
              <w:t>12</w:t>
            </w:r>
            <w:r w:rsidR="00DC6B16" w:rsidRPr="00A70C70">
              <w:rPr>
                <w:rFonts w:asciiTheme="majorHAnsi" w:hAnsiTheme="majorHAnsi"/>
                <w:b/>
                <w:sz w:val="20"/>
                <w:szCs w:val="20"/>
                <w:highlight w:val="lightGray"/>
              </w:rPr>
              <w:fldChar w:fldCharType="end"/>
            </w:r>
            <w:bookmarkEnd w:id="116"/>
            <w:r w:rsidRPr="00A70C70">
              <w:rPr>
                <w:rFonts w:asciiTheme="majorHAnsi" w:hAnsiTheme="majorHAnsi"/>
                <w:b/>
                <w:sz w:val="20"/>
                <w:szCs w:val="20"/>
                <w:highlight w:val="lightGray"/>
              </w:rPr>
              <w:t xml:space="preserve"> (Continuação): Notificações externas para agências ambientais.</w:t>
            </w:r>
            <w:bookmarkEnd w:id="117"/>
          </w:p>
        </w:tc>
      </w:tr>
      <w:tr w:rsidR="0071188B" w:rsidRPr="000A3626" w14:paraId="1B1AC28A" w14:textId="77777777" w:rsidTr="00A86E83">
        <w:trPr>
          <w:trHeight w:val="283"/>
          <w:tblHeader/>
        </w:trPr>
        <w:tc>
          <w:tcPr>
            <w:tcW w:w="2281" w:type="pct"/>
            <w:gridSpan w:val="2"/>
            <w:shd w:val="clear" w:color="auto" w:fill="1F497D" w:themeFill="text2"/>
            <w:vAlign w:val="center"/>
          </w:tcPr>
          <w:p w14:paraId="582494CB" w14:textId="77777777" w:rsidR="0071188B" w:rsidRPr="000A3626" w:rsidRDefault="0071188B" w:rsidP="00A86E83">
            <w:pPr>
              <w:keepNext/>
              <w:keepLines/>
              <w:spacing w:before="0" w:line="240" w:lineRule="auto"/>
              <w:jc w:val="center"/>
              <w:rPr>
                <w:rFonts w:asciiTheme="majorHAnsi" w:hAnsiTheme="majorHAnsi"/>
                <w:b/>
                <w:color w:val="FFFFFF" w:themeColor="background1"/>
                <w:sz w:val="20"/>
                <w:szCs w:val="20"/>
              </w:rPr>
            </w:pPr>
            <w:r w:rsidRPr="00A70C70">
              <w:rPr>
                <w:rFonts w:asciiTheme="majorHAnsi" w:hAnsiTheme="majorHAnsi"/>
                <w:b/>
                <w:color w:val="FFFFFF" w:themeColor="background1"/>
                <w:sz w:val="20"/>
                <w:szCs w:val="20"/>
                <w:highlight w:val="darkGray"/>
              </w:rPr>
              <w:t>Comunicação</w:t>
            </w:r>
          </w:p>
        </w:tc>
        <w:tc>
          <w:tcPr>
            <w:tcW w:w="1795" w:type="pct"/>
            <w:vMerge w:val="restart"/>
            <w:shd w:val="clear" w:color="auto" w:fill="1F497D" w:themeFill="text2"/>
            <w:vAlign w:val="center"/>
          </w:tcPr>
          <w:p w14:paraId="0E6D04DE" w14:textId="77777777" w:rsidR="0071188B" w:rsidRPr="000A3626" w:rsidRDefault="0071188B" w:rsidP="00A86E83">
            <w:pPr>
              <w:keepNext/>
              <w:keepLines/>
              <w:spacing w:before="0" w:line="240" w:lineRule="auto"/>
              <w:jc w:val="center"/>
              <w:rPr>
                <w:rFonts w:asciiTheme="majorHAnsi" w:hAnsiTheme="majorHAnsi"/>
                <w:b/>
                <w:color w:val="FFFFFF" w:themeColor="background1"/>
                <w:sz w:val="20"/>
                <w:szCs w:val="20"/>
              </w:rPr>
            </w:pPr>
            <w:r w:rsidRPr="00A70C70">
              <w:rPr>
                <w:rFonts w:asciiTheme="majorHAnsi" w:hAnsiTheme="majorHAnsi"/>
                <w:b/>
                <w:color w:val="FFFFFF" w:themeColor="background1"/>
                <w:sz w:val="20"/>
                <w:szCs w:val="20"/>
                <w:highlight w:val="darkGray"/>
              </w:rPr>
              <w:t>Autoridades a Serem Comunicadas</w:t>
            </w:r>
          </w:p>
        </w:tc>
        <w:tc>
          <w:tcPr>
            <w:tcW w:w="924" w:type="pct"/>
            <w:vMerge w:val="restart"/>
            <w:shd w:val="clear" w:color="auto" w:fill="1F497D" w:themeFill="text2"/>
            <w:vAlign w:val="center"/>
          </w:tcPr>
          <w:p w14:paraId="07607951" w14:textId="77777777" w:rsidR="0071188B" w:rsidRPr="000A3626" w:rsidRDefault="0071188B" w:rsidP="00A86E83">
            <w:pPr>
              <w:keepNext/>
              <w:keepLines/>
              <w:spacing w:before="0" w:line="240" w:lineRule="auto"/>
              <w:jc w:val="center"/>
              <w:rPr>
                <w:rFonts w:asciiTheme="majorHAnsi" w:hAnsiTheme="majorHAnsi"/>
                <w:b/>
                <w:color w:val="FFFFFF" w:themeColor="background1"/>
                <w:sz w:val="20"/>
                <w:szCs w:val="20"/>
              </w:rPr>
            </w:pPr>
            <w:r w:rsidRPr="00A70C70">
              <w:rPr>
                <w:rFonts w:asciiTheme="majorHAnsi" w:hAnsiTheme="majorHAnsi"/>
                <w:b/>
                <w:color w:val="FFFFFF" w:themeColor="background1"/>
                <w:sz w:val="20"/>
                <w:szCs w:val="20"/>
                <w:highlight w:val="darkGray"/>
              </w:rPr>
              <w:t>Prazo</w:t>
            </w:r>
          </w:p>
        </w:tc>
      </w:tr>
      <w:tr w:rsidR="0071188B" w:rsidRPr="000A3626" w14:paraId="06FBB28F" w14:textId="77777777" w:rsidTr="00A86E83">
        <w:trPr>
          <w:trHeight w:val="283"/>
          <w:tblHeader/>
        </w:trPr>
        <w:tc>
          <w:tcPr>
            <w:tcW w:w="387" w:type="pct"/>
            <w:shd w:val="clear" w:color="auto" w:fill="1F497D" w:themeFill="text2"/>
            <w:vAlign w:val="center"/>
          </w:tcPr>
          <w:p w14:paraId="6CA5DEC1" w14:textId="77777777" w:rsidR="0071188B" w:rsidRPr="000A3626" w:rsidDel="00C60E6B" w:rsidRDefault="0071188B" w:rsidP="00A86E83">
            <w:pPr>
              <w:keepNext/>
              <w:keepLines/>
              <w:spacing w:before="0" w:line="240" w:lineRule="auto"/>
              <w:ind w:left="-142" w:right="-108"/>
              <w:jc w:val="center"/>
              <w:rPr>
                <w:rFonts w:asciiTheme="majorHAnsi" w:hAnsiTheme="majorHAnsi"/>
                <w:b/>
                <w:color w:val="FFFFFF" w:themeColor="background1"/>
                <w:sz w:val="20"/>
                <w:szCs w:val="20"/>
              </w:rPr>
            </w:pPr>
            <w:r w:rsidRPr="00A70C70">
              <w:rPr>
                <w:rFonts w:asciiTheme="majorHAnsi" w:hAnsiTheme="majorHAnsi"/>
                <w:b/>
                <w:color w:val="FFFFFF" w:themeColor="background1"/>
                <w:sz w:val="20"/>
                <w:szCs w:val="20"/>
                <w:highlight w:val="darkGray"/>
              </w:rPr>
              <w:t>Natureza</w:t>
            </w:r>
          </w:p>
        </w:tc>
        <w:tc>
          <w:tcPr>
            <w:tcW w:w="1894" w:type="pct"/>
            <w:shd w:val="clear" w:color="auto" w:fill="1F497D" w:themeFill="text2"/>
            <w:vAlign w:val="center"/>
          </w:tcPr>
          <w:p w14:paraId="325F7BEA" w14:textId="77777777" w:rsidR="0071188B" w:rsidRPr="000A3626" w:rsidDel="00C60E6B" w:rsidRDefault="0071188B" w:rsidP="00A86E83">
            <w:pPr>
              <w:keepNext/>
              <w:keepLines/>
              <w:spacing w:before="0" w:line="240" w:lineRule="auto"/>
              <w:jc w:val="center"/>
              <w:rPr>
                <w:rFonts w:asciiTheme="majorHAnsi" w:hAnsiTheme="majorHAnsi"/>
                <w:b/>
                <w:color w:val="FFFFFF" w:themeColor="background1"/>
                <w:sz w:val="20"/>
                <w:szCs w:val="20"/>
              </w:rPr>
            </w:pPr>
            <w:r w:rsidRPr="00A70C70">
              <w:rPr>
                <w:rFonts w:asciiTheme="majorHAnsi" w:hAnsiTheme="majorHAnsi"/>
                <w:b/>
                <w:color w:val="FFFFFF" w:themeColor="background1"/>
                <w:sz w:val="20"/>
                <w:szCs w:val="20"/>
                <w:highlight w:val="darkGray"/>
              </w:rPr>
              <w:t>Forma/Relatório</w:t>
            </w:r>
          </w:p>
        </w:tc>
        <w:tc>
          <w:tcPr>
            <w:tcW w:w="1795" w:type="pct"/>
            <w:vMerge/>
            <w:shd w:val="clear" w:color="auto" w:fill="1F497D" w:themeFill="text2"/>
            <w:vAlign w:val="center"/>
          </w:tcPr>
          <w:p w14:paraId="142185C5" w14:textId="77777777" w:rsidR="0071188B" w:rsidRPr="000A3626" w:rsidRDefault="0071188B" w:rsidP="00A86E83">
            <w:pPr>
              <w:keepNext/>
              <w:keepLines/>
              <w:spacing w:before="0" w:line="240" w:lineRule="auto"/>
              <w:jc w:val="center"/>
              <w:rPr>
                <w:rFonts w:asciiTheme="majorHAnsi" w:hAnsiTheme="majorHAnsi"/>
                <w:b/>
                <w:color w:val="FFFFFF" w:themeColor="background1"/>
                <w:sz w:val="20"/>
                <w:szCs w:val="20"/>
              </w:rPr>
            </w:pPr>
          </w:p>
        </w:tc>
        <w:tc>
          <w:tcPr>
            <w:tcW w:w="924" w:type="pct"/>
            <w:vMerge/>
            <w:shd w:val="clear" w:color="auto" w:fill="1F497D" w:themeFill="text2"/>
          </w:tcPr>
          <w:p w14:paraId="65158E29" w14:textId="77777777" w:rsidR="0071188B" w:rsidRPr="000A3626" w:rsidRDefault="0071188B" w:rsidP="00A86E83">
            <w:pPr>
              <w:keepNext/>
              <w:keepLines/>
              <w:spacing w:before="0" w:line="240" w:lineRule="auto"/>
              <w:jc w:val="center"/>
              <w:rPr>
                <w:rFonts w:asciiTheme="majorHAnsi" w:hAnsiTheme="majorHAnsi"/>
                <w:b/>
                <w:color w:val="FFFFFF" w:themeColor="background1"/>
                <w:sz w:val="20"/>
                <w:szCs w:val="20"/>
              </w:rPr>
            </w:pPr>
          </w:p>
        </w:tc>
      </w:tr>
      <w:tr w:rsidR="0071188B" w:rsidRPr="000A3626" w14:paraId="3DAFB890" w14:textId="77777777" w:rsidTr="00A86E83">
        <w:trPr>
          <w:trHeight w:val="247"/>
        </w:trPr>
        <w:tc>
          <w:tcPr>
            <w:tcW w:w="387" w:type="pct"/>
            <w:vMerge w:val="restart"/>
            <w:shd w:val="clear" w:color="auto" w:fill="99CC00"/>
            <w:textDirection w:val="btLr"/>
            <w:vAlign w:val="center"/>
          </w:tcPr>
          <w:p w14:paraId="2986222A" w14:textId="77777777" w:rsidR="0071188B" w:rsidRPr="000A3626" w:rsidRDefault="0071188B" w:rsidP="00A86E83">
            <w:pPr>
              <w:pStyle w:val="itemx"/>
              <w:keepNext/>
              <w:numPr>
                <w:ilvl w:val="0"/>
                <w:numId w:val="0"/>
              </w:numPr>
              <w:pBdr>
                <w:top w:val="none" w:sz="0" w:space="2" w:color="FFFF00" w:shadow="1"/>
                <w:left w:val="none" w:sz="0" w:space="2" w:color="FFFF00" w:shadow="1"/>
                <w:bottom w:val="none" w:sz="0" w:space="2" w:color="FFFF00" w:shadow="1"/>
                <w:right w:val="none" w:sz="0" w:space="2" w:color="FFFF00" w:shadow="1"/>
              </w:pBdr>
              <w:tabs>
                <w:tab w:val="left" w:pos="1122"/>
              </w:tabs>
              <w:spacing w:before="0" w:after="0"/>
              <w:ind w:left="113" w:right="113"/>
              <w:jc w:val="center"/>
              <w:rPr>
                <w:rFonts w:asciiTheme="majorHAnsi" w:hAnsiTheme="majorHAnsi" w:cs="Arial"/>
                <w:b/>
                <w:lang w:val="pt-BR"/>
              </w:rPr>
            </w:pPr>
            <w:r w:rsidRPr="000A3626">
              <w:rPr>
                <w:rFonts w:asciiTheme="majorHAnsi" w:hAnsiTheme="majorHAnsi" w:cs="Arial"/>
                <w:b/>
                <w:lang w:val="pt-BR"/>
              </w:rPr>
              <w:t>RELATÓRIOS FINAIS</w:t>
            </w:r>
          </w:p>
        </w:tc>
        <w:tc>
          <w:tcPr>
            <w:tcW w:w="1894" w:type="pct"/>
            <w:vMerge w:val="restart"/>
            <w:shd w:val="clear" w:color="auto" w:fill="99CC00"/>
            <w:vAlign w:val="center"/>
          </w:tcPr>
          <w:p w14:paraId="19D970DD" w14:textId="77777777" w:rsidR="0071188B" w:rsidRPr="000A3626" w:rsidRDefault="0071188B" w:rsidP="00A86E83">
            <w:pPr>
              <w:pStyle w:val="itemx"/>
              <w:keepNext/>
              <w:numPr>
                <w:ilvl w:val="0"/>
                <w:numId w:val="0"/>
              </w:numPr>
              <w:tabs>
                <w:tab w:val="left" w:pos="1122"/>
              </w:tabs>
              <w:spacing w:before="0" w:after="0"/>
              <w:rPr>
                <w:rFonts w:asciiTheme="majorHAnsi" w:hAnsiTheme="majorHAnsi" w:cs="Arial"/>
                <w:lang w:val="pt-BR"/>
              </w:rPr>
            </w:pPr>
            <w:r w:rsidRPr="000A3626">
              <w:rPr>
                <w:rFonts w:asciiTheme="majorHAnsi" w:hAnsiTheme="majorHAnsi" w:cs="Arial"/>
                <w:lang w:val="pt-BR"/>
              </w:rPr>
              <w:t>Intenção Formal de Finalização das Operações de Resposta</w:t>
            </w:r>
          </w:p>
        </w:tc>
        <w:tc>
          <w:tcPr>
            <w:tcW w:w="1795" w:type="pct"/>
            <w:shd w:val="clear" w:color="auto" w:fill="D9D9D9" w:themeFill="background1" w:themeFillShade="D9"/>
            <w:vAlign w:val="center"/>
          </w:tcPr>
          <w:p w14:paraId="45CB8C53" w14:textId="77777777" w:rsidR="0071188B" w:rsidRPr="000A3626" w:rsidRDefault="0071188B" w:rsidP="00A86E83">
            <w:pPr>
              <w:pStyle w:val="itemx"/>
              <w:keepNext/>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theme="majorHAnsi"/>
                <w:lang w:val="pt-BR"/>
              </w:rPr>
              <w:t>Capitania dos Portos de Macapá</w:t>
            </w:r>
          </w:p>
        </w:tc>
        <w:tc>
          <w:tcPr>
            <w:tcW w:w="924" w:type="pct"/>
            <w:vMerge w:val="restart"/>
            <w:shd w:val="clear" w:color="auto" w:fill="D9D9D9" w:themeFill="background1" w:themeFillShade="D9"/>
            <w:vAlign w:val="center"/>
          </w:tcPr>
          <w:p w14:paraId="2CD33547" w14:textId="13C0C438" w:rsidR="0071188B" w:rsidRPr="000A3626" w:rsidRDefault="0071188B" w:rsidP="00A86E83">
            <w:pPr>
              <w:pStyle w:val="itemx"/>
              <w:numPr>
                <w:ilvl w:val="0"/>
                <w:numId w:val="0"/>
              </w:numPr>
              <w:tabs>
                <w:tab w:val="left" w:pos="1122"/>
              </w:tabs>
              <w:spacing w:before="0" w:after="0"/>
              <w:jc w:val="center"/>
              <w:rPr>
                <w:rFonts w:asciiTheme="majorHAnsi" w:hAnsiTheme="majorHAnsi" w:cstheme="majorHAnsi"/>
                <w:lang w:val="pt-BR"/>
              </w:rPr>
            </w:pPr>
            <w:r w:rsidRPr="000A3626">
              <w:rPr>
                <w:rFonts w:asciiTheme="majorHAnsi" w:hAnsiTheme="majorHAnsi" w:cstheme="majorHAnsi"/>
                <w:b/>
                <w:lang w:val="pt-BR"/>
              </w:rPr>
              <w:t xml:space="preserve">Anterior ao final das operações com base nos critérios apresentados no </w:t>
            </w:r>
            <w:r>
              <w:rPr>
                <w:rFonts w:asciiTheme="majorHAnsi" w:hAnsiTheme="majorHAnsi" w:cstheme="majorHAnsi"/>
                <w:b/>
                <w:lang w:val="pt-BR"/>
              </w:rPr>
              <w:t xml:space="preserve">Capítulo </w:t>
            </w:r>
            <w:r w:rsidRPr="000A3626">
              <w:rPr>
                <w:rFonts w:asciiTheme="majorHAnsi" w:hAnsiTheme="majorHAnsi" w:cstheme="majorHAnsi"/>
                <w:b/>
                <w:lang w:val="pt-BR"/>
              </w:rPr>
              <w:fldChar w:fldCharType="begin"/>
            </w:r>
            <w:r w:rsidRPr="000A3626">
              <w:rPr>
                <w:rFonts w:asciiTheme="majorHAnsi" w:hAnsiTheme="majorHAnsi" w:cstheme="majorHAnsi"/>
                <w:b/>
                <w:lang w:val="pt-BR"/>
              </w:rPr>
              <w:instrText xml:space="preserve"> REF _Ref414455170 \r \h  \* MERGEFORMAT </w:instrText>
            </w:r>
            <w:r w:rsidRPr="000A3626">
              <w:rPr>
                <w:rFonts w:asciiTheme="majorHAnsi" w:hAnsiTheme="majorHAnsi" w:cstheme="majorHAnsi"/>
                <w:b/>
                <w:lang w:val="pt-BR"/>
              </w:rPr>
            </w:r>
            <w:r w:rsidRPr="000A3626">
              <w:rPr>
                <w:rFonts w:asciiTheme="majorHAnsi" w:hAnsiTheme="majorHAnsi" w:cstheme="majorHAnsi"/>
                <w:b/>
                <w:lang w:val="pt-BR"/>
              </w:rPr>
              <w:fldChar w:fldCharType="separate"/>
            </w:r>
            <w:r w:rsidR="00A50E67">
              <w:rPr>
                <w:rFonts w:asciiTheme="majorHAnsi" w:hAnsiTheme="majorHAnsi" w:cstheme="majorHAnsi"/>
                <w:b/>
                <w:lang w:val="pt-BR"/>
              </w:rPr>
              <w:t>10</w:t>
            </w:r>
            <w:r w:rsidRPr="000A3626">
              <w:rPr>
                <w:rFonts w:asciiTheme="majorHAnsi" w:hAnsiTheme="majorHAnsi" w:cstheme="majorHAnsi"/>
                <w:b/>
                <w:lang w:val="pt-BR"/>
              </w:rPr>
              <w:fldChar w:fldCharType="end"/>
            </w:r>
            <w:r>
              <w:rPr>
                <w:rFonts w:asciiTheme="majorHAnsi" w:hAnsiTheme="majorHAnsi" w:cstheme="majorHAnsi"/>
                <w:b/>
                <w:lang w:val="pt-BR"/>
              </w:rPr>
              <w:t xml:space="preserve"> deste Plano</w:t>
            </w:r>
          </w:p>
        </w:tc>
      </w:tr>
      <w:tr w:rsidR="0071188B" w:rsidRPr="000A3626" w14:paraId="54CF3D8F" w14:textId="77777777" w:rsidTr="00A86E83">
        <w:trPr>
          <w:trHeight w:val="247"/>
        </w:trPr>
        <w:tc>
          <w:tcPr>
            <w:tcW w:w="387" w:type="pct"/>
            <w:vMerge/>
            <w:shd w:val="clear" w:color="auto" w:fill="99CC00"/>
            <w:textDirection w:val="btLr"/>
            <w:vAlign w:val="center"/>
          </w:tcPr>
          <w:p w14:paraId="19484900" w14:textId="77777777" w:rsidR="0071188B" w:rsidRPr="000A3626" w:rsidRDefault="0071188B" w:rsidP="00A86E83">
            <w:pPr>
              <w:pStyle w:val="itemx"/>
              <w:tabs>
                <w:tab w:val="left" w:pos="1122"/>
              </w:tabs>
              <w:spacing w:before="0" w:after="0"/>
              <w:ind w:left="113" w:right="113"/>
              <w:jc w:val="left"/>
              <w:rPr>
                <w:rFonts w:asciiTheme="majorHAnsi" w:hAnsiTheme="majorHAnsi" w:cs="Arial"/>
                <w:b/>
                <w:lang w:val="pt-BR"/>
              </w:rPr>
            </w:pPr>
          </w:p>
        </w:tc>
        <w:tc>
          <w:tcPr>
            <w:tcW w:w="1894" w:type="pct"/>
            <w:vMerge/>
            <w:shd w:val="clear" w:color="auto" w:fill="99CC00"/>
            <w:vAlign w:val="center"/>
          </w:tcPr>
          <w:p w14:paraId="052552EE" w14:textId="77777777" w:rsidR="0071188B" w:rsidRPr="000A3626" w:rsidRDefault="0071188B" w:rsidP="00A86E83">
            <w:pPr>
              <w:pStyle w:val="itemx"/>
              <w:numPr>
                <w:ilvl w:val="0"/>
                <w:numId w:val="0"/>
              </w:numPr>
              <w:tabs>
                <w:tab w:val="left" w:pos="1122"/>
              </w:tabs>
              <w:spacing w:before="0" w:after="0"/>
              <w:jc w:val="left"/>
              <w:rPr>
                <w:rFonts w:asciiTheme="majorHAnsi" w:hAnsiTheme="majorHAnsi" w:cs="Arial"/>
                <w:lang w:val="pt-BR"/>
              </w:rPr>
            </w:pPr>
          </w:p>
        </w:tc>
        <w:tc>
          <w:tcPr>
            <w:tcW w:w="1795" w:type="pct"/>
            <w:shd w:val="clear" w:color="auto" w:fill="D9D9D9" w:themeFill="background1" w:themeFillShade="D9"/>
            <w:vAlign w:val="center"/>
          </w:tcPr>
          <w:p w14:paraId="03EB2458" w14:textId="77777777" w:rsidR="0071188B" w:rsidRPr="000A3626" w:rsidRDefault="0071188B" w:rsidP="00A86E83">
            <w:pPr>
              <w:pStyle w:val="itemx"/>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IBAMA (CGEMA &amp; C</w:t>
            </w:r>
            <w:r>
              <w:rPr>
                <w:rFonts w:asciiTheme="majorHAnsi" w:hAnsiTheme="majorHAnsi" w:cs="Arial"/>
                <w:lang w:val="pt-BR"/>
              </w:rPr>
              <w:t>OEXP</w:t>
            </w:r>
            <w:r w:rsidRPr="00A70C70">
              <w:rPr>
                <w:rFonts w:asciiTheme="majorHAnsi" w:hAnsiTheme="majorHAnsi" w:cs="Arial"/>
                <w:highlight w:val="darkGray"/>
                <w:lang w:val="pt-BR"/>
              </w:rPr>
              <w:t>/CGMAC</w:t>
            </w:r>
            <w:r w:rsidRPr="000A3626">
              <w:rPr>
                <w:rFonts w:asciiTheme="majorHAnsi" w:hAnsiTheme="majorHAnsi" w:cs="Arial"/>
                <w:lang w:val="pt-BR"/>
              </w:rPr>
              <w:t>)</w:t>
            </w:r>
          </w:p>
        </w:tc>
        <w:tc>
          <w:tcPr>
            <w:tcW w:w="924" w:type="pct"/>
            <w:vMerge/>
            <w:shd w:val="clear" w:color="auto" w:fill="D9D9D9" w:themeFill="background1" w:themeFillShade="D9"/>
          </w:tcPr>
          <w:p w14:paraId="6EDDFA10" w14:textId="77777777" w:rsidR="0071188B" w:rsidRPr="000A3626" w:rsidRDefault="0071188B" w:rsidP="00A86E83">
            <w:pPr>
              <w:pStyle w:val="itemx"/>
              <w:numPr>
                <w:ilvl w:val="0"/>
                <w:numId w:val="0"/>
              </w:numPr>
              <w:tabs>
                <w:tab w:val="left" w:pos="1122"/>
              </w:tabs>
              <w:spacing w:before="0" w:after="0"/>
              <w:jc w:val="left"/>
              <w:rPr>
                <w:rFonts w:asciiTheme="majorHAnsi" w:hAnsiTheme="majorHAnsi" w:cs="Arial"/>
                <w:lang w:val="pt-BR"/>
              </w:rPr>
            </w:pPr>
          </w:p>
        </w:tc>
      </w:tr>
      <w:tr w:rsidR="0071188B" w:rsidRPr="000A3626" w14:paraId="193DEF28" w14:textId="77777777" w:rsidTr="00A86E83">
        <w:trPr>
          <w:trHeight w:val="247"/>
        </w:trPr>
        <w:tc>
          <w:tcPr>
            <w:tcW w:w="387" w:type="pct"/>
            <w:vMerge/>
            <w:shd w:val="clear" w:color="auto" w:fill="99CC00"/>
            <w:textDirection w:val="btLr"/>
            <w:vAlign w:val="center"/>
          </w:tcPr>
          <w:p w14:paraId="2D7979A2" w14:textId="77777777" w:rsidR="0071188B" w:rsidRPr="000A3626" w:rsidRDefault="0071188B" w:rsidP="00A86E83">
            <w:pPr>
              <w:pStyle w:val="itemx"/>
              <w:tabs>
                <w:tab w:val="left" w:pos="1122"/>
              </w:tabs>
              <w:spacing w:before="0" w:after="0"/>
              <w:ind w:left="113" w:right="113"/>
              <w:jc w:val="left"/>
              <w:rPr>
                <w:rFonts w:asciiTheme="majorHAnsi" w:hAnsiTheme="majorHAnsi" w:cs="Arial"/>
                <w:b/>
                <w:lang w:val="pt-BR"/>
              </w:rPr>
            </w:pPr>
          </w:p>
        </w:tc>
        <w:tc>
          <w:tcPr>
            <w:tcW w:w="1894" w:type="pct"/>
            <w:vMerge/>
            <w:shd w:val="clear" w:color="auto" w:fill="99CC00"/>
            <w:vAlign w:val="center"/>
          </w:tcPr>
          <w:p w14:paraId="283BF7CC" w14:textId="77777777" w:rsidR="0071188B" w:rsidRPr="000A3626" w:rsidRDefault="0071188B" w:rsidP="00A86E83">
            <w:pPr>
              <w:pStyle w:val="itemx"/>
              <w:numPr>
                <w:ilvl w:val="0"/>
                <w:numId w:val="0"/>
              </w:numPr>
              <w:tabs>
                <w:tab w:val="left" w:pos="1122"/>
              </w:tabs>
              <w:spacing w:before="0" w:after="0"/>
              <w:jc w:val="left"/>
              <w:rPr>
                <w:rFonts w:asciiTheme="majorHAnsi" w:hAnsiTheme="majorHAnsi" w:cs="Arial"/>
                <w:lang w:val="pt-BR"/>
              </w:rPr>
            </w:pPr>
          </w:p>
        </w:tc>
        <w:tc>
          <w:tcPr>
            <w:tcW w:w="1795" w:type="pct"/>
            <w:shd w:val="clear" w:color="auto" w:fill="D9D9D9" w:themeFill="background1" w:themeFillShade="D9"/>
            <w:vAlign w:val="center"/>
          </w:tcPr>
          <w:p w14:paraId="1F9E0C93" w14:textId="77777777" w:rsidR="0071188B" w:rsidRPr="000A3626" w:rsidRDefault="0071188B" w:rsidP="00A86E83">
            <w:pPr>
              <w:pStyle w:val="itemx"/>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SEMA (Secretaria Estadual do Meio Ambiente do Estado do Amapá)</w:t>
            </w:r>
          </w:p>
        </w:tc>
        <w:tc>
          <w:tcPr>
            <w:tcW w:w="924" w:type="pct"/>
            <w:vMerge/>
            <w:shd w:val="clear" w:color="auto" w:fill="D9D9D9" w:themeFill="background1" w:themeFillShade="D9"/>
          </w:tcPr>
          <w:p w14:paraId="0D55377A" w14:textId="77777777" w:rsidR="0071188B" w:rsidRPr="000A3626" w:rsidRDefault="0071188B" w:rsidP="00A86E83">
            <w:pPr>
              <w:pStyle w:val="itemx"/>
              <w:numPr>
                <w:ilvl w:val="0"/>
                <w:numId w:val="0"/>
              </w:numPr>
              <w:tabs>
                <w:tab w:val="left" w:pos="1122"/>
              </w:tabs>
              <w:spacing w:before="0" w:after="0"/>
              <w:jc w:val="left"/>
              <w:rPr>
                <w:rFonts w:asciiTheme="majorHAnsi" w:hAnsiTheme="majorHAnsi" w:cs="Arial"/>
                <w:lang w:val="pt-BR"/>
              </w:rPr>
            </w:pPr>
          </w:p>
        </w:tc>
      </w:tr>
      <w:tr w:rsidR="0071188B" w:rsidRPr="000A3626" w14:paraId="5D27014C" w14:textId="77777777" w:rsidTr="00A86E83">
        <w:trPr>
          <w:trHeight w:val="176"/>
        </w:trPr>
        <w:tc>
          <w:tcPr>
            <w:tcW w:w="387" w:type="pct"/>
            <w:vMerge/>
            <w:shd w:val="clear" w:color="auto" w:fill="99CC00"/>
            <w:textDirection w:val="btLr"/>
            <w:vAlign w:val="center"/>
          </w:tcPr>
          <w:p w14:paraId="780C8EF8" w14:textId="77777777" w:rsidR="0071188B" w:rsidRPr="000A3626" w:rsidRDefault="0071188B" w:rsidP="00A86E83">
            <w:pPr>
              <w:pStyle w:val="itemx"/>
              <w:tabs>
                <w:tab w:val="left" w:pos="1122"/>
              </w:tabs>
              <w:spacing w:before="0" w:after="0"/>
              <w:ind w:left="113" w:right="113"/>
              <w:jc w:val="left"/>
              <w:rPr>
                <w:rFonts w:asciiTheme="majorHAnsi" w:hAnsiTheme="majorHAnsi" w:cs="Arial"/>
                <w:b/>
                <w:lang w:val="pt-BR"/>
              </w:rPr>
            </w:pPr>
          </w:p>
        </w:tc>
        <w:tc>
          <w:tcPr>
            <w:tcW w:w="1894" w:type="pct"/>
            <w:vMerge/>
            <w:shd w:val="clear" w:color="auto" w:fill="99CC00"/>
            <w:vAlign w:val="center"/>
          </w:tcPr>
          <w:p w14:paraId="14D5BE33" w14:textId="77777777" w:rsidR="0071188B" w:rsidRPr="000A3626" w:rsidRDefault="0071188B" w:rsidP="00A86E83">
            <w:pPr>
              <w:pStyle w:val="itemx"/>
              <w:numPr>
                <w:ilvl w:val="0"/>
                <w:numId w:val="0"/>
              </w:numPr>
              <w:tabs>
                <w:tab w:val="left" w:pos="1122"/>
              </w:tabs>
              <w:spacing w:before="0" w:after="0"/>
              <w:jc w:val="left"/>
              <w:rPr>
                <w:rFonts w:asciiTheme="majorHAnsi" w:hAnsiTheme="majorHAnsi" w:cs="Arial"/>
                <w:lang w:val="pt-BR"/>
              </w:rPr>
            </w:pPr>
          </w:p>
        </w:tc>
        <w:tc>
          <w:tcPr>
            <w:tcW w:w="1795" w:type="pct"/>
            <w:shd w:val="clear" w:color="auto" w:fill="D9D9D9" w:themeFill="background1" w:themeFillShade="D9"/>
            <w:vAlign w:val="center"/>
          </w:tcPr>
          <w:p w14:paraId="66EE78FA" w14:textId="77777777" w:rsidR="0071188B" w:rsidRPr="000A3626" w:rsidRDefault="0071188B" w:rsidP="00A86E83">
            <w:pPr>
              <w:pStyle w:val="itemx"/>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ANP</w:t>
            </w:r>
          </w:p>
        </w:tc>
        <w:tc>
          <w:tcPr>
            <w:tcW w:w="924" w:type="pct"/>
            <w:vMerge/>
            <w:shd w:val="clear" w:color="auto" w:fill="D9D9D9" w:themeFill="background1" w:themeFillShade="D9"/>
          </w:tcPr>
          <w:p w14:paraId="65A3EF7A" w14:textId="77777777" w:rsidR="0071188B" w:rsidRPr="000A3626" w:rsidRDefault="0071188B" w:rsidP="00A86E83">
            <w:pPr>
              <w:pStyle w:val="itemx"/>
              <w:numPr>
                <w:ilvl w:val="0"/>
                <w:numId w:val="0"/>
              </w:numPr>
              <w:tabs>
                <w:tab w:val="left" w:pos="1122"/>
              </w:tabs>
              <w:spacing w:before="0" w:after="0"/>
              <w:jc w:val="left"/>
              <w:rPr>
                <w:rFonts w:asciiTheme="majorHAnsi" w:hAnsiTheme="majorHAnsi" w:cs="Arial"/>
                <w:lang w:val="pt-BR"/>
              </w:rPr>
            </w:pPr>
          </w:p>
        </w:tc>
      </w:tr>
      <w:tr w:rsidR="0071188B" w:rsidRPr="000A3626" w14:paraId="120B5ECF" w14:textId="77777777" w:rsidTr="00A86E83">
        <w:trPr>
          <w:trHeight w:val="247"/>
        </w:trPr>
        <w:tc>
          <w:tcPr>
            <w:tcW w:w="387" w:type="pct"/>
            <w:vMerge/>
            <w:shd w:val="clear" w:color="auto" w:fill="99CC00"/>
            <w:textDirection w:val="btLr"/>
            <w:vAlign w:val="center"/>
          </w:tcPr>
          <w:p w14:paraId="3C69A29E" w14:textId="77777777" w:rsidR="0071188B" w:rsidRPr="000A3626" w:rsidRDefault="0071188B" w:rsidP="00A86E83">
            <w:pPr>
              <w:pStyle w:val="itemx"/>
              <w:numPr>
                <w:ilvl w:val="0"/>
                <w:numId w:val="0"/>
              </w:numPr>
              <w:tabs>
                <w:tab w:val="left" w:pos="1122"/>
              </w:tabs>
              <w:spacing w:before="0" w:after="0"/>
              <w:ind w:left="113" w:right="113"/>
              <w:jc w:val="left"/>
              <w:rPr>
                <w:rFonts w:asciiTheme="majorHAnsi" w:hAnsiTheme="majorHAnsi" w:cs="Arial"/>
                <w:b/>
                <w:lang w:val="pt-BR"/>
              </w:rPr>
            </w:pPr>
          </w:p>
        </w:tc>
        <w:tc>
          <w:tcPr>
            <w:tcW w:w="1894" w:type="pct"/>
            <w:vMerge w:val="restart"/>
            <w:shd w:val="clear" w:color="auto" w:fill="99CC00"/>
            <w:vAlign w:val="center"/>
          </w:tcPr>
          <w:p w14:paraId="3B90515A" w14:textId="77777777" w:rsidR="0071188B" w:rsidRPr="000A3626" w:rsidRDefault="0071188B" w:rsidP="00A86E83">
            <w:pPr>
              <w:pStyle w:val="itemx"/>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 xml:space="preserve">Relatório final de avaliação com a análise crítica do desempenho do PEI (de acordo com a Resolução Conama nº 398/08, Art. 7 º - parágrafo único) </w:t>
            </w:r>
          </w:p>
        </w:tc>
        <w:tc>
          <w:tcPr>
            <w:tcW w:w="1795" w:type="pct"/>
            <w:shd w:val="clear" w:color="auto" w:fill="D9D9D9" w:themeFill="background1" w:themeFillShade="D9"/>
            <w:vAlign w:val="center"/>
          </w:tcPr>
          <w:p w14:paraId="2A8DCE40" w14:textId="77777777" w:rsidR="0071188B" w:rsidRPr="000A3626" w:rsidRDefault="0071188B" w:rsidP="00A86E83">
            <w:pPr>
              <w:pStyle w:val="itemx"/>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IBAMA (CGEMA &amp; C</w:t>
            </w:r>
            <w:r>
              <w:rPr>
                <w:rFonts w:asciiTheme="majorHAnsi" w:hAnsiTheme="majorHAnsi" w:cs="Arial"/>
                <w:lang w:val="pt-BR"/>
              </w:rPr>
              <w:t>OEXP</w:t>
            </w:r>
            <w:r w:rsidRPr="00A70C70">
              <w:rPr>
                <w:rFonts w:asciiTheme="majorHAnsi" w:hAnsiTheme="majorHAnsi" w:cs="Arial"/>
                <w:highlight w:val="darkGray"/>
                <w:lang w:val="pt-BR"/>
              </w:rPr>
              <w:t>/CGMAC</w:t>
            </w:r>
            <w:r w:rsidRPr="000A3626">
              <w:rPr>
                <w:rFonts w:asciiTheme="majorHAnsi" w:hAnsiTheme="majorHAnsi" w:cs="Arial"/>
                <w:lang w:val="pt-BR"/>
              </w:rPr>
              <w:t>)</w:t>
            </w:r>
          </w:p>
        </w:tc>
        <w:tc>
          <w:tcPr>
            <w:tcW w:w="924" w:type="pct"/>
            <w:vMerge w:val="restart"/>
            <w:shd w:val="clear" w:color="auto" w:fill="D9D9D9" w:themeFill="background1" w:themeFillShade="D9"/>
            <w:vAlign w:val="center"/>
          </w:tcPr>
          <w:p w14:paraId="1D2E3DF3" w14:textId="77777777" w:rsidR="0071188B" w:rsidRPr="000A3626" w:rsidRDefault="0071188B" w:rsidP="00A86E83">
            <w:pPr>
              <w:pStyle w:val="itemx"/>
              <w:numPr>
                <w:ilvl w:val="0"/>
                <w:numId w:val="0"/>
              </w:numPr>
              <w:tabs>
                <w:tab w:val="left" w:pos="1122"/>
              </w:tabs>
              <w:spacing w:before="0" w:after="0"/>
              <w:jc w:val="center"/>
              <w:rPr>
                <w:rFonts w:asciiTheme="majorHAnsi" w:hAnsiTheme="majorHAnsi" w:cs="Arial"/>
                <w:lang w:val="pt-BR"/>
              </w:rPr>
            </w:pPr>
            <w:r w:rsidRPr="000A3626">
              <w:rPr>
                <w:rFonts w:asciiTheme="majorHAnsi" w:hAnsiTheme="majorHAnsi" w:cstheme="majorHAnsi"/>
                <w:b/>
                <w:lang w:val="pt-BR"/>
              </w:rPr>
              <w:t>Em até 30 dias após o final das ações de resposta</w:t>
            </w:r>
          </w:p>
        </w:tc>
      </w:tr>
      <w:tr w:rsidR="0071188B" w:rsidRPr="000A3626" w14:paraId="3A2A16A6" w14:textId="77777777" w:rsidTr="00A86E83">
        <w:trPr>
          <w:trHeight w:val="247"/>
        </w:trPr>
        <w:tc>
          <w:tcPr>
            <w:tcW w:w="387" w:type="pct"/>
            <w:vMerge/>
            <w:shd w:val="clear" w:color="auto" w:fill="99CC00"/>
            <w:vAlign w:val="center"/>
          </w:tcPr>
          <w:p w14:paraId="5940E245" w14:textId="77777777" w:rsidR="0071188B" w:rsidRPr="000A3626" w:rsidRDefault="0071188B" w:rsidP="00A86E83">
            <w:pPr>
              <w:pStyle w:val="itemx"/>
              <w:numPr>
                <w:ilvl w:val="0"/>
                <w:numId w:val="0"/>
              </w:numPr>
              <w:tabs>
                <w:tab w:val="left" w:pos="1122"/>
              </w:tabs>
              <w:spacing w:before="0" w:after="0"/>
              <w:jc w:val="left"/>
              <w:rPr>
                <w:rFonts w:asciiTheme="majorHAnsi" w:hAnsiTheme="majorHAnsi" w:cs="Arial"/>
                <w:lang w:val="pt-BR"/>
              </w:rPr>
            </w:pPr>
          </w:p>
        </w:tc>
        <w:tc>
          <w:tcPr>
            <w:tcW w:w="1894" w:type="pct"/>
            <w:vMerge/>
            <w:shd w:val="clear" w:color="auto" w:fill="99CC00"/>
            <w:vAlign w:val="center"/>
          </w:tcPr>
          <w:p w14:paraId="29355E50" w14:textId="77777777" w:rsidR="0071188B" w:rsidRPr="000A3626" w:rsidRDefault="0071188B" w:rsidP="00A86E83">
            <w:pPr>
              <w:pStyle w:val="itemx"/>
              <w:numPr>
                <w:ilvl w:val="0"/>
                <w:numId w:val="0"/>
              </w:numPr>
              <w:tabs>
                <w:tab w:val="left" w:pos="1122"/>
              </w:tabs>
              <w:spacing w:before="0" w:after="0"/>
              <w:jc w:val="left"/>
              <w:rPr>
                <w:rFonts w:asciiTheme="majorHAnsi" w:hAnsiTheme="majorHAnsi" w:cs="Arial"/>
                <w:lang w:val="pt-BR"/>
              </w:rPr>
            </w:pPr>
          </w:p>
        </w:tc>
        <w:tc>
          <w:tcPr>
            <w:tcW w:w="1795" w:type="pct"/>
            <w:shd w:val="clear" w:color="auto" w:fill="D9D9D9" w:themeFill="background1" w:themeFillShade="D9"/>
            <w:vAlign w:val="center"/>
          </w:tcPr>
          <w:p w14:paraId="7F6FF674" w14:textId="77777777" w:rsidR="0071188B" w:rsidRPr="000A3626" w:rsidRDefault="0071188B" w:rsidP="00A86E83">
            <w:pPr>
              <w:pStyle w:val="itemx"/>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SEMA (Secretaria Estadual do Meio Ambiente do Estado do Amapá)</w:t>
            </w:r>
          </w:p>
        </w:tc>
        <w:tc>
          <w:tcPr>
            <w:tcW w:w="924" w:type="pct"/>
            <w:vMerge/>
            <w:shd w:val="clear" w:color="auto" w:fill="D9D9D9" w:themeFill="background1" w:themeFillShade="D9"/>
          </w:tcPr>
          <w:p w14:paraId="054EC6B7" w14:textId="77777777" w:rsidR="0071188B" w:rsidRPr="000A3626" w:rsidRDefault="0071188B" w:rsidP="00A86E83">
            <w:pPr>
              <w:pStyle w:val="itemx"/>
              <w:numPr>
                <w:ilvl w:val="0"/>
                <w:numId w:val="0"/>
              </w:numPr>
              <w:tabs>
                <w:tab w:val="left" w:pos="1122"/>
              </w:tabs>
              <w:spacing w:before="0" w:after="0"/>
              <w:jc w:val="left"/>
              <w:rPr>
                <w:rFonts w:asciiTheme="majorHAnsi" w:hAnsiTheme="majorHAnsi" w:cs="Arial"/>
                <w:lang w:val="pt-BR"/>
              </w:rPr>
            </w:pPr>
          </w:p>
        </w:tc>
      </w:tr>
      <w:tr w:rsidR="0071188B" w:rsidRPr="000A3626" w14:paraId="06AD87DD" w14:textId="77777777" w:rsidTr="00A86E83">
        <w:trPr>
          <w:trHeight w:val="281"/>
        </w:trPr>
        <w:tc>
          <w:tcPr>
            <w:tcW w:w="387" w:type="pct"/>
            <w:vMerge/>
            <w:shd w:val="clear" w:color="auto" w:fill="99CC00"/>
            <w:vAlign w:val="center"/>
          </w:tcPr>
          <w:p w14:paraId="7BB3B2AC" w14:textId="77777777" w:rsidR="0071188B" w:rsidRPr="000A3626" w:rsidRDefault="0071188B" w:rsidP="00A86E83">
            <w:pPr>
              <w:pStyle w:val="itemx"/>
              <w:numPr>
                <w:ilvl w:val="0"/>
                <w:numId w:val="0"/>
              </w:numPr>
              <w:tabs>
                <w:tab w:val="left" w:pos="1122"/>
              </w:tabs>
              <w:spacing w:before="0" w:after="0"/>
              <w:jc w:val="left"/>
              <w:rPr>
                <w:rFonts w:asciiTheme="majorHAnsi" w:hAnsiTheme="majorHAnsi" w:cs="Arial"/>
                <w:lang w:val="pt-BR"/>
              </w:rPr>
            </w:pPr>
          </w:p>
        </w:tc>
        <w:tc>
          <w:tcPr>
            <w:tcW w:w="1894" w:type="pct"/>
            <w:shd w:val="clear" w:color="auto" w:fill="99CC00"/>
            <w:vAlign w:val="center"/>
          </w:tcPr>
          <w:p w14:paraId="37DA5E8E" w14:textId="77777777" w:rsidR="0071188B" w:rsidRPr="000A3626" w:rsidRDefault="0071188B" w:rsidP="00A86E83">
            <w:pPr>
              <w:pStyle w:val="itemx"/>
              <w:keepNext/>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Relatório Detalhado do Incidente na plataforma do SISO (de acordo com a Resolução ANP Nº 44/09, Art. 3 e Anexo II)</w:t>
            </w:r>
          </w:p>
        </w:tc>
        <w:tc>
          <w:tcPr>
            <w:tcW w:w="1795" w:type="pct"/>
            <w:shd w:val="clear" w:color="auto" w:fill="D9D9D9" w:themeFill="background1" w:themeFillShade="D9"/>
            <w:vAlign w:val="center"/>
          </w:tcPr>
          <w:p w14:paraId="4F6A40FB" w14:textId="77777777" w:rsidR="0071188B" w:rsidRPr="000A3626" w:rsidRDefault="0071188B" w:rsidP="00A86E83">
            <w:pPr>
              <w:pStyle w:val="itemx"/>
              <w:keepNext/>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ANP</w:t>
            </w:r>
          </w:p>
        </w:tc>
        <w:tc>
          <w:tcPr>
            <w:tcW w:w="924" w:type="pct"/>
            <w:vMerge w:val="restart"/>
            <w:shd w:val="clear" w:color="auto" w:fill="D9D9D9" w:themeFill="background1" w:themeFillShade="D9"/>
            <w:vAlign w:val="center"/>
          </w:tcPr>
          <w:p w14:paraId="3A4BBD64" w14:textId="77777777" w:rsidR="0071188B" w:rsidRPr="000A3626" w:rsidRDefault="0071188B" w:rsidP="00A86E83">
            <w:pPr>
              <w:pStyle w:val="itemx"/>
              <w:keepNext/>
              <w:numPr>
                <w:ilvl w:val="0"/>
                <w:numId w:val="0"/>
              </w:numPr>
              <w:tabs>
                <w:tab w:val="left" w:pos="1122"/>
              </w:tabs>
              <w:spacing w:before="0" w:after="0"/>
              <w:jc w:val="center"/>
              <w:rPr>
                <w:rFonts w:asciiTheme="majorHAnsi" w:hAnsiTheme="majorHAnsi" w:cs="Arial"/>
                <w:lang w:val="pt-BR"/>
              </w:rPr>
            </w:pPr>
            <w:r w:rsidRPr="000A3626">
              <w:rPr>
                <w:rFonts w:asciiTheme="majorHAnsi" w:hAnsiTheme="majorHAnsi" w:cstheme="majorHAnsi"/>
                <w:b/>
                <w:lang w:val="pt-BR"/>
              </w:rPr>
              <w:t xml:space="preserve">Em até 30 dias </w:t>
            </w:r>
            <w:r>
              <w:rPr>
                <w:rFonts w:asciiTheme="majorHAnsi" w:hAnsiTheme="majorHAnsi" w:cstheme="majorHAnsi"/>
                <w:b/>
                <w:lang w:val="pt-BR"/>
              </w:rPr>
              <w:t>a partir da comunicação inicial</w:t>
            </w:r>
            <w:r>
              <w:rPr>
                <w:rFonts w:asciiTheme="majorHAnsi" w:hAnsiTheme="majorHAnsi" w:cstheme="majorHAnsi"/>
                <w:b/>
                <w:vertAlign w:val="superscript"/>
                <w:lang w:val="pt-BR"/>
              </w:rPr>
              <w:t>7</w:t>
            </w:r>
          </w:p>
        </w:tc>
      </w:tr>
      <w:tr w:rsidR="0071188B" w:rsidRPr="000A3626" w14:paraId="1DEE94F6" w14:textId="77777777" w:rsidTr="00A86E83">
        <w:trPr>
          <w:trHeight w:val="396"/>
        </w:trPr>
        <w:tc>
          <w:tcPr>
            <w:tcW w:w="387" w:type="pct"/>
            <w:vMerge/>
            <w:shd w:val="clear" w:color="auto" w:fill="99CC00"/>
            <w:vAlign w:val="center"/>
          </w:tcPr>
          <w:p w14:paraId="4A41D74A" w14:textId="77777777" w:rsidR="0071188B" w:rsidRPr="000A3626" w:rsidRDefault="0071188B" w:rsidP="00A86E83">
            <w:pPr>
              <w:pStyle w:val="itemx"/>
              <w:numPr>
                <w:ilvl w:val="0"/>
                <w:numId w:val="0"/>
              </w:numPr>
              <w:tabs>
                <w:tab w:val="left" w:pos="1122"/>
              </w:tabs>
              <w:spacing w:before="0" w:after="0"/>
              <w:jc w:val="left"/>
              <w:rPr>
                <w:rFonts w:asciiTheme="majorHAnsi" w:hAnsiTheme="majorHAnsi" w:cs="Arial"/>
                <w:b/>
                <w:lang w:val="pt-BR"/>
              </w:rPr>
            </w:pPr>
          </w:p>
        </w:tc>
        <w:tc>
          <w:tcPr>
            <w:tcW w:w="1894" w:type="pct"/>
            <w:shd w:val="clear" w:color="auto" w:fill="99CC00"/>
            <w:vAlign w:val="center"/>
          </w:tcPr>
          <w:p w14:paraId="5AED1FF3" w14:textId="77777777" w:rsidR="0071188B" w:rsidRPr="000A3626" w:rsidRDefault="0071188B" w:rsidP="00A86E83">
            <w:pPr>
              <w:pStyle w:val="itemx"/>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Relatório Detalhado do Incidente (de acordo com a Resolução ANP Nº 44/09, Art. 3 e Anexo II)</w:t>
            </w:r>
          </w:p>
        </w:tc>
        <w:tc>
          <w:tcPr>
            <w:tcW w:w="1795" w:type="pct"/>
            <w:shd w:val="clear" w:color="auto" w:fill="D9D9D9" w:themeFill="background1" w:themeFillShade="D9"/>
            <w:vAlign w:val="center"/>
          </w:tcPr>
          <w:p w14:paraId="55EFA6F6" w14:textId="77777777" w:rsidR="0071188B" w:rsidRPr="000A3626" w:rsidRDefault="0071188B" w:rsidP="00A86E83">
            <w:pPr>
              <w:pStyle w:val="itemx"/>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ANP – se SISO inoperante</w:t>
            </w:r>
          </w:p>
        </w:tc>
        <w:tc>
          <w:tcPr>
            <w:tcW w:w="924" w:type="pct"/>
            <w:vMerge/>
            <w:shd w:val="clear" w:color="auto" w:fill="D9D9D9" w:themeFill="background1" w:themeFillShade="D9"/>
          </w:tcPr>
          <w:p w14:paraId="65E5049B" w14:textId="77777777" w:rsidR="0071188B" w:rsidRPr="000A3626" w:rsidRDefault="0071188B" w:rsidP="00A86E83">
            <w:pPr>
              <w:pStyle w:val="itemx"/>
              <w:numPr>
                <w:ilvl w:val="0"/>
                <w:numId w:val="0"/>
              </w:numPr>
              <w:tabs>
                <w:tab w:val="left" w:pos="1122"/>
              </w:tabs>
              <w:spacing w:before="0" w:after="0"/>
              <w:jc w:val="left"/>
              <w:rPr>
                <w:rFonts w:asciiTheme="majorHAnsi" w:hAnsiTheme="majorHAnsi" w:cs="Arial"/>
                <w:lang w:val="pt-BR"/>
              </w:rPr>
            </w:pPr>
          </w:p>
        </w:tc>
      </w:tr>
      <w:tr w:rsidR="0071188B" w:rsidRPr="000A3626" w14:paraId="738B8CFC" w14:textId="77777777" w:rsidTr="00A86E83">
        <w:trPr>
          <w:trHeight w:val="764"/>
        </w:trPr>
        <w:tc>
          <w:tcPr>
            <w:tcW w:w="5000" w:type="pct"/>
            <w:gridSpan w:val="4"/>
            <w:shd w:val="clear" w:color="auto" w:fill="FFFFFF" w:themeFill="background1"/>
            <w:vAlign w:val="center"/>
          </w:tcPr>
          <w:p w14:paraId="431F1B53" w14:textId="04EDC153" w:rsidR="0071188B" w:rsidRDefault="0071188B" w:rsidP="0071188B">
            <w:pPr>
              <w:pStyle w:val="itemx"/>
              <w:numPr>
                <w:ilvl w:val="0"/>
                <w:numId w:val="0"/>
              </w:numPr>
              <w:tabs>
                <w:tab w:val="left" w:pos="1170"/>
              </w:tabs>
              <w:spacing w:before="0" w:after="0"/>
              <w:ind w:left="900" w:hanging="900"/>
              <w:rPr>
                <w:rFonts w:asciiTheme="majorHAnsi" w:hAnsiTheme="majorHAnsi" w:cs="Arial"/>
                <w:lang w:val="pt-BR"/>
              </w:rPr>
            </w:pPr>
            <w:r w:rsidRPr="00A70C70">
              <w:rPr>
                <w:rFonts w:asciiTheme="majorHAnsi" w:hAnsiTheme="majorHAnsi" w:cs="Arial"/>
                <w:b/>
                <w:highlight w:val="lightGray"/>
                <w:lang w:val="pt-BR"/>
              </w:rPr>
              <w:t>Legenda:</w:t>
            </w:r>
            <w:r>
              <w:rPr>
                <w:rFonts w:asciiTheme="majorHAnsi" w:hAnsiTheme="majorHAnsi" w:cs="Arial"/>
                <w:lang w:val="pt-BR"/>
              </w:rPr>
              <w:t xml:space="preserve"> </w:t>
            </w:r>
            <w:r>
              <w:rPr>
                <w:rFonts w:asciiTheme="majorHAnsi" w:hAnsiTheme="majorHAnsi" w:cs="Arial"/>
                <w:vertAlign w:val="superscript"/>
                <w:lang w:val="pt-BR"/>
              </w:rPr>
              <w:t>7</w:t>
            </w:r>
            <w:r w:rsidRPr="000A3626">
              <w:rPr>
                <w:rFonts w:asciiTheme="majorHAnsi" w:hAnsiTheme="majorHAnsi" w:cs="Arial"/>
                <w:lang w:val="pt-BR"/>
              </w:rPr>
              <w:t xml:space="preserve"> Uma prorrogação pode ser concedida pela ANP com base na requisição formal com suporte técnico pela BP Energy.</w:t>
            </w:r>
          </w:p>
          <w:p w14:paraId="1B680ECE" w14:textId="77777777" w:rsidR="0071188B" w:rsidRDefault="0071188B" w:rsidP="00A86E83">
            <w:pPr>
              <w:pStyle w:val="itemx"/>
              <w:numPr>
                <w:ilvl w:val="0"/>
                <w:numId w:val="0"/>
              </w:numPr>
              <w:tabs>
                <w:tab w:val="left" w:pos="0"/>
              </w:tabs>
              <w:spacing w:before="0" w:after="0"/>
              <w:ind w:firstLine="900"/>
              <w:rPr>
                <w:rFonts w:asciiTheme="majorHAnsi" w:hAnsiTheme="majorHAnsi" w:cs="Arial"/>
                <w:lang w:val="pt-BR"/>
              </w:rPr>
            </w:pPr>
          </w:p>
          <w:p w14:paraId="020CAB8A" w14:textId="77777777" w:rsidR="0071188B" w:rsidRDefault="0071188B" w:rsidP="00A86E83">
            <w:pPr>
              <w:pStyle w:val="itemx"/>
              <w:numPr>
                <w:ilvl w:val="0"/>
                <w:numId w:val="0"/>
              </w:numPr>
              <w:tabs>
                <w:tab w:val="left" w:pos="0"/>
              </w:tabs>
              <w:spacing w:before="0" w:after="0"/>
              <w:ind w:firstLine="900"/>
              <w:rPr>
                <w:rFonts w:asciiTheme="majorHAnsi" w:hAnsiTheme="majorHAnsi" w:cs="Arial"/>
                <w:lang w:val="pt-BR"/>
              </w:rPr>
            </w:pPr>
          </w:p>
          <w:p w14:paraId="3B1D712D" w14:textId="77777777" w:rsidR="0071188B" w:rsidRPr="000A3626" w:rsidRDefault="0071188B" w:rsidP="00A86E83">
            <w:pPr>
              <w:pStyle w:val="itemx"/>
              <w:numPr>
                <w:ilvl w:val="0"/>
                <w:numId w:val="0"/>
              </w:numPr>
              <w:tabs>
                <w:tab w:val="left" w:pos="0"/>
              </w:tabs>
              <w:spacing w:before="0" w:after="0"/>
              <w:ind w:firstLine="900"/>
              <w:rPr>
                <w:rFonts w:asciiTheme="majorHAnsi" w:hAnsiTheme="majorHAnsi" w:cs="Arial"/>
                <w:lang w:val="pt-BR"/>
              </w:rPr>
            </w:pPr>
          </w:p>
        </w:tc>
      </w:tr>
    </w:tbl>
    <w:p w14:paraId="44EFE8F0" w14:textId="77777777" w:rsidR="0071188B" w:rsidRDefault="0071188B" w:rsidP="00953C7D">
      <w:pPr>
        <w:pStyle w:val="tier1Itext"/>
      </w:pPr>
    </w:p>
    <w:p w14:paraId="1177D317" w14:textId="77777777" w:rsidR="0071188B" w:rsidRDefault="0071188B" w:rsidP="00953C7D">
      <w:pPr>
        <w:pStyle w:val="tier1Itext"/>
      </w:pPr>
    </w:p>
    <w:p w14:paraId="6FB480F0" w14:textId="77777777" w:rsidR="0071188B" w:rsidRDefault="0071188B" w:rsidP="00953C7D">
      <w:pPr>
        <w:pStyle w:val="tier1Itext"/>
      </w:pPr>
    </w:p>
    <w:p w14:paraId="35248764" w14:textId="77777777" w:rsidR="0071188B" w:rsidRDefault="0071188B" w:rsidP="00953C7D">
      <w:pPr>
        <w:pStyle w:val="tier1Itext"/>
      </w:pPr>
    </w:p>
    <w:p w14:paraId="0993686A" w14:textId="7AC365C7" w:rsidR="0071188B" w:rsidRDefault="0071188B" w:rsidP="00953C7D">
      <w:pPr>
        <w:pStyle w:val="tier1Itext"/>
        <w:sectPr w:rsidR="0071188B" w:rsidSect="00656D39">
          <w:headerReference w:type="even" r:id="rId35"/>
          <w:headerReference w:type="default" r:id="rId36"/>
          <w:footerReference w:type="even" r:id="rId37"/>
          <w:footerReference w:type="default" r:id="rId38"/>
          <w:headerReference w:type="first" r:id="rId39"/>
          <w:footerReference w:type="first" r:id="rId40"/>
          <w:pgSz w:w="16839" w:h="11907" w:orient="landscape" w:code="9"/>
          <w:pgMar w:top="1418" w:right="1418" w:bottom="1418" w:left="1418" w:header="170" w:footer="0" w:gutter="0"/>
          <w:cols w:space="720"/>
          <w:docGrid w:linePitch="360"/>
        </w:sectPr>
      </w:pPr>
    </w:p>
    <w:p w14:paraId="77197369" w14:textId="756C4585" w:rsidR="00953C7D" w:rsidRDefault="00953C7D" w:rsidP="001222DA">
      <w:pPr>
        <w:pStyle w:val="tier1Itext"/>
      </w:pPr>
      <w:r>
        <w:lastRenderedPageBreak/>
        <w:t>O</w:t>
      </w:r>
      <w:r w:rsidR="00FA49B6">
        <w:t>s</w:t>
      </w:r>
      <w:r>
        <w:t xml:space="preserve"> </w:t>
      </w:r>
      <w:r w:rsidR="00ED19C7" w:rsidRPr="00ED19C7">
        <w:rPr>
          <w:b/>
        </w:rPr>
        <w:t>APÊNDICE</w:t>
      </w:r>
      <w:r w:rsidR="00FA49B6">
        <w:rPr>
          <w:b/>
        </w:rPr>
        <w:t>S</w:t>
      </w:r>
      <w:r w:rsidR="00ED19C7" w:rsidRPr="00ED19C7">
        <w:rPr>
          <w:b/>
        </w:rPr>
        <w:t xml:space="preserve"> B</w:t>
      </w:r>
      <w:r w:rsidR="00ED19C7">
        <w:t xml:space="preserve"> </w:t>
      </w:r>
      <w:r>
        <w:t xml:space="preserve">e </w:t>
      </w:r>
      <w:r w:rsidR="0027197D">
        <w:rPr>
          <w:b/>
        </w:rPr>
        <w:t>D</w:t>
      </w:r>
      <w:r w:rsidR="00ED19C7">
        <w:t xml:space="preserve"> </w:t>
      </w:r>
      <w:r>
        <w:t>apresentam, respectivamente, os meios pelos quais as referidas autoridades deverão ser notificadas e os modelos de formulários de notificação e atualização do incidente, desenvolvidos com base nas legislações mencionadas anteriormente.</w:t>
      </w:r>
    </w:p>
    <w:p w14:paraId="266D793C" w14:textId="77777777" w:rsidR="00953C7D" w:rsidRPr="008300D5" w:rsidRDefault="00953C7D"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ind w:left="714" w:hanging="357"/>
        <w:rPr>
          <w:rFonts w:asciiTheme="majorHAnsi" w:hAnsiTheme="majorHAnsi"/>
        </w:rPr>
      </w:pPr>
      <w:r w:rsidRPr="008300D5">
        <w:rPr>
          <w:rFonts w:asciiTheme="majorHAnsi" w:hAnsiTheme="majorHAnsi"/>
        </w:rPr>
        <w:t>Notificações para Outras Partes Interessadas</w:t>
      </w:r>
    </w:p>
    <w:p w14:paraId="50D0B076" w14:textId="3C8EE243" w:rsidR="00953C7D" w:rsidRPr="005D76E0" w:rsidRDefault="00953C7D" w:rsidP="001222DA">
      <w:pPr>
        <w:pStyle w:val="tier1Itext"/>
      </w:pPr>
      <w:r w:rsidRPr="005D76E0">
        <w:t xml:space="preserve">Todos os outros grupos de partes interessadas são geridos de acordo com o Plano de </w:t>
      </w:r>
      <w:r w:rsidR="0027197D">
        <w:t>Comunicação durante Crises</w:t>
      </w:r>
      <w:r w:rsidRPr="005D76E0">
        <w:t xml:space="preserve">, normalmente coordenado pelos Oficiais de Relação com Comunidades </w:t>
      </w:r>
      <w:r w:rsidR="0027197D">
        <w:t>&amp;</w:t>
      </w:r>
      <w:r w:rsidRPr="005D76E0">
        <w:t xml:space="preserve"> Governo ou o Conselheiro de Relações (no caso do acionamento da BST).</w:t>
      </w:r>
    </w:p>
    <w:p w14:paraId="710E8B83" w14:textId="77777777" w:rsidR="00953C7D" w:rsidRPr="00466813" w:rsidRDefault="00953C7D" w:rsidP="001222DA">
      <w:pPr>
        <w:pStyle w:val="tier1Itext"/>
      </w:pPr>
      <w:r w:rsidRPr="00466813">
        <w:t xml:space="preserve">Comunidades ou Associações de Pescadores potencialmente impactadas por qualquer evento de vazamento de óleo serão diretamente contatadas pelo Oficial de Relações (Comunidades), que é o ponto focal de provisão de informações </w:t>
      </w:r>
      <w:r>
        <w:t>e relacionamento com</w:t>
      </w:r>
      <w:r w:rsidRPr="00466813">
        <w:t xml:space="preserve"> estes grupos. As autoridades locais serão engajadas pelo Oficial de Relação (Governo), que conduzirá as negociações para autorização e suporte dos principais aspectos das operações de resposta, nos casos em que o óleo chegar à costa, no que tange à proteção e limpeza. As avaliações do incidente e de sua potencial magnitude irão definir os tempos em que estas partes interessadas deverão ser contatadas.</w:t>
      </w:r>
      <w:r>
        <w:t xml:space="preserve"> Esta análise também definirá o dimensionamento do time da IMT mobilizado, o que neste caso determinará a necessidade de haver dois Oficiais de Relações ou se as </w:t>
      </w:r>
      <w:r w:rsidR="00116E63">
        <w:t xml:space="preserve">posições </w:t>
      </w:r>
      <w:r>
        <w:t>podem ser exercidas por um único profissional.</w:t>
      </w:r>
    </w:p>
    <w:p w14:paraId="560B08F7" w14:textId="77777777" w:rsidR="00953C7D" w:rsidRPr="002E1F4C" w:rsidRDefault="00953C7D" w:rsidP="001222DA">
      <w:pPr>
        <w:pStyle w:val="tier1Itext"/>
        <w:keepLines w:val="0"/>
      </w:pPr>
      <w:r w:rsidRPr="002E1F4C">
        <w:t>Grupos de</w:t>
      </w:r>
      <w:r w:rsidRPr="005534F6">
        <w:t xml:space="preserve"> </w:t>
      </w:r>
      <w:r w:rsidRPr="002E1F4C">
        <w:t>contatos críticos</w:t>
      </w:r>
      <w:r w:rsidRPr="002E1F4C">
        <w:rPr>
          <w:rStyle w:val="Refdenotaderodap"/>
          <w:rFonts w:cstheme="majorHAnsi"/>
          <w:szCs w:val="22"/>
        </w:rPr>
        <w:footnoteReference w:id="16"/>
      </w:r>
      <w:r w:rsidRPr="002E1F4C">
        <w:t xml:space="preserve"> como as </w:t>
      </w:r>
      <w:r w:rsidR="00116E63">
        <w:t>OSROs</w:t>
      </w:r>
      <w:r w:rsidRPr="002E1F4C">
        <w:t xml:space="preserve"> e especialistas técnicos devem ser preferencialmente </w:t>
      </w:r>
      <w:r>
        <w:t>contatados</w:t>
      </w:r>
      <w:r w:rsidRPr="002E1F4C">
        <w:t xml:space="preserve"> </w:t>
      </w:r>
      <w:r w:rsidR="00116E63">
        <w:t>pelos profissionais</w:t>
      </w:r>
      <w:r w:rsidRPr="002E1F4C">
        <w:t xml:space="preserve"> que rotineiramente exercem este tipo de relação, sendo designados como assistentes</w:t>
      </w:r>
      <w:r w:rsidRPr="002E1F4C">
        <w:rPr>
          <w:rStyle w:val="Refdenotaderodap"/>
          <w:rFonts w:cstheme="majorHAnsi"/>
          <w:szCs w:val="22"/>
        </w:rPr>
        <w:footnoteReference w:id="17"/>
      </w:r>
      <w:r w:rsidRPr="002E1F4C">
        <w:t xml:space="preserve"> ou auxiliares para os oficiais e líderes, quando necessário. Sempre que uma designação cresce muito mais do que uma mera assistência ou função de apoio, o sistema de gestão deve avaliar a necessidade de criação de </w:t>
      </w:r>
      <w:r>
        <w:t xml:space="preserve">uma delegação ou </w:t>
      </w:r>
      <w:r w:rsidRPr="002E1F4C">
        <w:t>um</w:t>
      </w:r>
      <w:r w:rsidR="00116E63">
        <w:t xml:space="preserve">a filial </w:t>
      </w:r>
      <w:r w:rsidRPr="002E1F4C">
        <w:t>específic</w:t>
      </w:r>
      <w:r w:rsidR="00116E63">
        <w:t>a</w:t>
      </w:r>
      <w:r w:rsidRPr="002E1F4C">
        <w:t xml:space="preserve"> para essa ação, função ou realização.</w:t>
      </w:r>
    </w:p>
    <w:p w14:paraId="0063C69F" w14:textId="06C15816" w:rsidR="00953C7D" w:rsidRPr="002E1F4C" w:rsidRDefault="00953C7D" w:rsidP="001222DA">
      <w:pPr>
        <w:pStyle w:val="tier1Itext"/>
      </w:pPr>
      <w:r w:rsidRPr="002E1F4C">
        <w:lastRenderedPageBreak/>
        <w:t>N</w:t>
      </w:r>
      <w:r>
        <w:t>a</w:t>
      </w:r>
      <w:r w:rsidRPr="002E1F4C">
        <w:t xml:space="preserve"> </w:t>
      </w:r>
      <w:r w:rsidRPr="00073EAB">
        <w:rPr>
          <w:b/>
        </w:rPr>
        <w:fldChar w:fldCharType="begin"/>
      </w:r>
      <w:r w:rsidRPr="00073EAB">
        <w:rPr>
          <w:b/>
        </w:rPr>
        <w:instrText xml:space="preserve"> REF _Ref413164694 \h  \* MERGEFORMAT </w:instrText>
      </w:r>
      <w:r w:rsidRPr="00073EAB">
        <w:rPr>
          <w:b/>
        </w:rPr>
      </w:r>
      <w:r w:rsidRPr="00073EAB">
        <w:rPr>
          <w:b/>
        </w:rPr>
        <w:fldChar w:fldCharType="separate"/>
      </w:r>
      <w:r w:rsidR="00CD1E9E" w:rsidRPr="00CD1E9E">
        <w:rPr>
          <w:b/>
          <w:szCs w:val="22"/>
        </w:rPr>
        <w:t xml:space="preserve">Tabela </w:t>
      </w:r>
      <w:r w:rsidR="00CD1E9E" w:rsidRPr="00A70C70">
        <w:rPr>
          <w:b/>
          <w:noProof/>
          <w:szCs w:val="22"/>
          <w:highlight w:val="lightGray"/>
        </w:rPr>
        <w:t>13</w:t>
      </w:r>
      <w:r w:rsidRPr="00073EAB">
        <w:rPr>
          <w:b/>
        </w:rPr>
        <w:fldChar w:fldCharType="end"/>
      </w:r>
      <w:r>
        <w:rPr>
          <w:b/>
        </w:rPr>
        <w:t xml:space="preserve"> </w:t>
      </w:r>
      <w:r w:rsidRPr="002E1F4C">
        <w:t>a seguir, é apresentada uma lista de algumas partes interessadas</w:t>
      </w:r>
      <w:r>
        <w:t>, especialistas técnicos</w:t>
      </w:r>
      <w:r w:rsidRPr="002E1F4C">
        <w:t xml:space="preserve"> e/ou ações requerid</w:t>
      </w:r>
      <w:r>
        <w:t>o</w:t>
      </w:r>
      <w:r w:rsidRPr="002E1F4C">
        <w:t xml:space="preserve">s </w:t>
      </w:r>
      <w:r>
        <w:t xml:space="preserve">durante a </w:t>
      </w:r>
      <w:r w:rsidRPr="002E1F4C">
        <w:t xml:space="preserve">resposta e </w:t>
      </w:r>
      <w:r>
        <w:t xml:space="preserve">seus respectivos interlocutores na IMT, bem como outras </w:t>
      </w:r>
      <w:r w:rsidR="00116E63">
        <w:t xml:space="preserve">posições </w:t>
      </w:r>
      <w:r>
        <w:t>que podem assistir nesta relação</w:t>
      </w:r>
      <w:r w:rsidRPr="002E1F4C">
        <w:t xml:space="preserve">. Também é apresentada, quando pertinente, a indicação daqueles casos onde é sugerida a criação de um </w:t>
      </w:r>
      <w:r>
        <w:t>comitê técnico de avaliação e condução da questão.</w:t>
      </w:r>
    </w:p>
    <w:tbl>
      <w:tblPr>
        <w:tblW w:w="5000" w:type="pct"/>
        <w:tblCellMar>
          <w:left w:w="115" w:type="dxa"/>
          <w:right w:w="115" w:type="dxa"/>
        </w:tblCellMar>
        <w:tblLook w:val="01E0" w:firstRow="1" w:lastRow="1" w:firstColumn="1" w:lastColumn="1" w:noHBand="0" w:noVBand="0"/>
      </w:tblPr>
      <w:tblGrid>
        <w:gridCol w:w="2358"/>
        <w:gridCol w:w="2685"/>
        <w:gridCol w:w="3430"/>
        <w:gridCol w:w="597"/>
      </w:tblGrid>
      <w:tr w:rsidR="00953C7D" w:rsidRPr="001222DA" w14:paraId="16CF40FB" w14:textId="77777777" w:rsidTr="00A90493">
        <w:trPr>
          <w:cantSplit/>
          <w:trHeight w:val="340"/>
          <w:tblHeader/>
        </w:trPr>
        <w:tc>
          <w:tcPr>
            <w:tcW w:w="5000" w:type="pct"/>
            <w:gridSpan w:val="4"/>
            <w:tcBorders>
              <w:bottom w:val="single" w:sz="12" w:space="0" w:color="FFFFFF" w:themeColor="background1"/>
            </w:tcBorders>
            <w:shd w:val="clear" w:color="auto" w:fill="FFFFFF" w:themeFill="background1"/>
            <w:vAlign w:val="bottom"/>
          </w:tcPr>
          <w:p w14:paraId="0EC781E7" w14:textId="262F2103" w:rsidR="00953C7D" w:rsidRPr="001222DA" w:rsidRDefault="00953C7D" w:rsidP="001222DA">
            <w:pPr>
              <w:pStyle w:val="Legenda"/>
              <w:spacing w:before="0" w:after="0" w:line="240" w:lineRule="auto"/>
              <w:jc w:val="left"/>
              <w:rPr>
                <w:szCs w:val="20"/>
              </w:rPr>
            </w:pPr>
            <w:bookmarkStart w:id="118" w:name="_Ref413164694"/>
            <w:bookmarkStart w:id="119" w:name="_Toc413848079"/>
            <w:bookmarkStart w:id="120" w:name="_Toc527990488"/>
            <w:r w:rsidRPr="001222DA">
              <w:rPr>
                <w:szCs w:val="20"/>
              </w:rPr>
              <w:t xml:space="preserve">Tabela </w:t>
            </w:r>
            <w:r w:rsidR="0036087F" w:rsidRPr="00A70C70">
              <w:rPr>
                <w:szCs w:val="20"/>
                <w:highlight w:val="lightGray"/>
              </w:rPr>
              <w:fldChar w:fldCharType="begin"/>
            </w:r>
            <w:r w:rsidR="0036087F" w:rsidRPr="00A70C70">
              <w:rPr>
                <w:szCs w:val="20"/>
                <w:highlight w:val="lightGray"/>
              </w:rPr>
              <w:instrText xml:space="preserve"> SEQ Tabela \* ARABIC </w:instrText>
            </w:r>
            <w:r w:rsidR="0036087F" w:rsidRPr="00A70C70">
              <w:rPr>
                <w:szCs w:val="20"/>
                <w:highlight w:val="lightGray"/>
              </w:rPr>
              <w:fldChar w:fldCharType="separate"/>
            </w:r>
            <w:r w:rsidR="00CD1E9E" w:rsidRPr="00A70C70">
              <w:rPr>
                <w:noProof/>
                <w:szCs w:val="20"/>
                <w:highlight w:val="lightGray"/>
              </w:rPr>
              <w:t>13</w:t>
            </w:r>
            <w:r w:rsidR="0036087F" w:rsidRPr="00A70C70">
              <w:rPr>
                <w:noProof/>
                <w:szCs w:val="20"/>
                <w:highlight w:val="lightGray"/>
              </w:rPr>
              <w:fldChar w:fldCharType="end"/>
            </w:r>
            <w:bookmarkEnd w:id="118"/>
            <w:r w:rsidRPr="001222DA">
              <w:rPr>
                <w:szCs w:val="20"/>
              </w:rPr>
              <w:t>: Algumas partes interessadas específicas e seus interlocutores.</w:t>
            </w:r>
            <w:bookmarkEnd w:id="119"/>
            <w:bookmarkEnd w:id="120"/>
          </w:p>
        </w:tc>
      </w:tr>
      <w:tr w:rsidR="00953C7D" w:rsidRPr="001222DA" w14:paraId="447DD0C9" w14:textId="77777777" w:rsidTr="00A90493">
        <w:trPr>
          <w:cantSplit/>
          <w:trHeight w:val="737"/>
          <w:tblHeader/>
        </w:trPr>
        <w:tc>
          <w:tcPr>
            <w:tcW w:w="130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1F497D" w:themeFill="text2"/>
            <w:vAlign w:val="center"/>
          </w:tcPr>
          <w:p w14:paraId="27FC98A9" w14:textId="77777777" w:rsidR="00953C7D" w:rsidRPr="001222DA" w:rsidRDefault="00953C7D" w:rsidP="001222DA">
            <w:pPr>
              <w:keepNext/>
              <w:keepLines/>
              <w:spacing w:before="0" w:line="240" w:lineRule="auto"/>
              <w:jc w:val="center"/>
              <w:rPr>
                <w:rFonts w:asciiTheme="majorHAnsi" w:hAnsiTheme="majorHAnsi"/>
                <w:b/>
                <w:color w:val="FFFFFF" w:themeColor="background1"/>
                <w:sz w:val="20"/>
                <w:szCs w:val="20"/>
              </w:rPr>
            </w:pPr>
            <w:r w:rsidRPr="001222DA">
              <w:rPr>
                <w:rFonts w:asciiTheme="majorHAnsi" w:hAnsiTheme="majorHAnsi"/>
                <w:b/>
                <w:color w:val="FFFFFF" w:themeColor="background1"/>
                <w:sz w:val="20"/>
                <w:szCs w:val="20"/>
              </w:rPr>
              <w:t>Parte Interessada (Ação Exigida)</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1F497D" w:themeFill="text2"/>
            <w:vAlign w:val="center"/>
          </w:tcPr>
          <w:p w14:paraId="20794F43" w14:textId="77777777" w:rsidR="00953C7D" w:rsidRPr="001222DA" w:rsidRDefault="00953C7D" w:rsidP="001222DA">
            <w:pPr>
              <w:keepNext/>
              <w:keepLines/>
              <w:spacing w:before="0" w:line="240" w:lineRule="auto"/>
              <w:jc w:val="center"/>
              <w:rPr>
                <w:rFonts w:asciiTheme="majorHAnsi" w:hAnsiTheme="majorHAnsi"/>
                <w:b/>
                <w:color w:val="FFFFFF" w:themeColor="background1"/>
                <w:sz w:val="20"/>
                <w:szCs w:val="20"/>
              </w:rPr>
            </w:pPr>
            <w:r w:rsidRPr="001222DA">
              <w:rPr>
                <w:rFonts w:asciiTheme="majorHAnsi" w:hAnsiTheme="majorHAnsi"/>
                <w:b/>
                <w:color w:val="FFFFFF" w:themeColor="background1"/>
                <w:sz w:val="20"/>
                <w:szCs w:val="20"/>
              </w:rPr>
              <w:t>Principal Interlocutor</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1F497D" w:themeFill="text2"/>
            <w:vAlign w:val="center"/>
          </w:tcPr>
          <w:p w14:paraId="68E28E69" w14:textId="77777777" w:rsidR="00953C7D" w:rsidRPr="001222DA" w:rsidRDefault="001222DA" w:rsidP="001222DA">
            <w:pPr>
              <w:pStyle w:val="itemx"/>
              <w:numPr>
                <w:ilvl w:val="0"/>
                <w:numId w:val="0"/>
              </w:numPr>
              <w:tabs>
                <w:tab w:val="left" w:pos="1122"/>
              </w:tabs>
              <w:spacing w:before="0" w:after="0"/>
              <w:jc w:val="center"/>
              <w:rPr>
                <w:rFonts w:asciiTheme="majorHAnsi" w:hAnsiTheme="majorHAnsi" w:cs="Arial"/>
                <w:b/>
                <w:color w:val="FFFFFF" w:themeColor="background1"/>
                <w:lang w:val="pt-BR" w:eastAsia="en-US"/>
              </w:rPr>
            </w:pPr>
            <w:r>
              <w:rPr>
                <w:rFonts w:asciiTheme="majorHAnsi" w:hAnsiTheme="majorHAnsi" w:cs="Arial"/>
                <w:b/>
                <w:color w:val="FFFFFF" w:themeColor="background1"/>
                <w:lang w:val="pt-BR" w:eastAsia="en-US"/>
              </w:rPr>
              <w:t>Assistente</w:t>
            </w:r>
            <w:r w:rsidRPr="001222DA">
              <w:rPr>
                <w:rFonts w:asciiTheme="majorHAnsi" w:hAnsiTheme="majorHAnsi" w:cs="Arial"/>
                <w:b/>
                <w:color w:val="FFFFFF" w:themeColor="background1"/>
                <w:vertAlign w:val="superscript"/>
                <w:lang w:val="pt-BR" w:eastAsia="en-US"/>
              </w:rPr>
              <w:t>1</w:t>
            </w:r>
          </w:p>
        </w:tc>
        <w:tc>
          <w:tcPr>
            <w:tcW w:w="32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1F497D" w:themeFill="text2"/>
            <w:vAlign w:val="center"/>
          </w:tcPr>
          <w:p w14:paraId="567E4083" w14:textId="77777777" w:rsidR="00953C7D" w:rsidRPr="001222DA" w:rsidRDefault="00953C7D" w:rsidP="001222DA">
            <w:pPr>
              <w:pStyle w:val="itemx"/>
              <w:numPr>
                <w:ilvl w:val="0"/>
                <w:numId w:val="0"/>
              </w:numPr>
              <w:tabs>
                <w:tab w:val="left" w:pos="1122"/>
              </w:tabs>
              <w:spacing w:before="0" w:after="0"/>
              <w:ind w:left="-115" w:right="-115"/>
              <w:jc w:val="center"/>
              <w:rPr>
                <w:rFonts w:asciiTheme="majorHAnsi" w:hAnsiTheme="majorHAnsi" w:cs="Arial"/>
                <w:b/>
                <w:color w:val="FFFFFF" w:themeColor="background1"/>
                <w:vertAlign w:val="superscript"/>
                <w:lang w:val="pt-BR" w:eastAsia="en-US"/>
              </w:rPr>
            </w:pPr>
            <w:r w:rsidRPr="001222DA">
              <w:rPr>
                <w:rFonts w:asciiTheme="majorHAnsi" w:hAnsiTheme="majorHAnsi" w:cs="Arial"/>
                <w:b/>
                <w:color w:val="FFFFFF" w:themeColor="background1"/>
                <w:lang w:val="pt-BR" w:eastAsia="en-US"/>
              </w:rPr>
              <w:t>CT</w:t>
            </w:r>
            <w:r w:rsidR="001222DA" w:rsidRPr="001222DA">
              <w:rPr>
                <w:rFonts w:asciiTheme="majorHAnsi" w:hAnsiTheme="majorHAnsi" w:cs="Arial"/>
                <w:b/>
                <w:color w:val="FFFFFF" w:themeColor="background1"/>
                <w:vertAlign w:val="superscript"/>
                <w:lang w:val="pt-BR" w:eastAsia="en-US"/>
              </w:rPr>
              <w:t>2</w:t>
            </w:r>
          </w:p>
        </w:tc>
      </w:tr>
      <w:tr w:rsidR="00953C7D" w:rsidRPr="001222DA" w14:paraId="12A3A216" w14:textId="77777777" w:rsidTr="00A90493">
        <w:trPr>
          <w:cantSplit/>
        </w:trPr>
        <w:tc>
          <w:tcPr>
            <w:tcW w:w="1300" w:type="pct"/>
            <w:tcBorders>
              <w:top w:val="single" w:sz="12" w:space="0" w:color="FFFFFF" w:themeColor="background1"/>
              <w:right w:val="single" w:sz="12" w:space="0" w:color="FFFFFF" w:themeColor="background1"/>
            </w:tcBorders>
            <w:shd w:val="clear" w:color="auto" w:fill="A6A6A6" w:themeFill="background1" w:themeFillShade="A6"/>
            <w:vAlign w:val="center"/>
          </w:tcPr>
          <w:p w14:paraId="29BF77C7"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lang w:val="pt-BR"/>
              </w:rPr>
            </w:pPr>
            <w:r w:rsidRPr="001222DA">
              <w:rPr>
                <w:rFonts w:asciiTheme="majorHAnsi" w:hAnsiTheme="majorHAnsi" w:cstheme="majorHAnsi"/>
                <w:b/>
                <w:lang w:val="pt-BR"/>
              </w:rPr>
              <w:t>Parceiros (Comunicações)</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3162CF15"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Relação / Conselheiro de Relações</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36AF1E8A"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Assuntos Legais / Assessor Jurídico</w:t>
            </w:r>
          </w:p>
          <w:p w14:paraId="773359AA"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i/>
                <w:color w:val="000099"/>
                <w:lang w:val="pt-BR"/>
              </w:rPr>
            </w:pPr>
            <w:r w:rsidRPr="001222DA">
              <w:rPr>
                <w:rFonts w:asciiTheme="majorHAnsi" w:hAnsiTheme="majorHAnsi" w:cstheme="majorHAnsi"/>
                <w:b/>
                <w:i/>
                <w:color w:val="000099"/>
                <w:lang w:val="pt-BR"/>
              </w:rPr>
              <w:t>Gerente de Contrato</w:t>
            </w:r>
          </w:p>
        </w:tc>
        <w:tc>
          <w:tcPr>
            <w:tcW w:w="329" w:type="pct"/>
            <w:tcBorders>
              <w:top w:val="single" w:sz="12" w:space="0" w:color="FFFFFF" w:themeColor="background1"/>
              <w:left w:val="single" w:sz="12" w:space="0" w:color="FFFFFF" w:themeColor="background1"/>
            </w:tcBorders>
            <w:shd w:val="clear" w:color="auto" w:fill="EEECE1" w:themeFill="background2"/>
            <w:vAlign w:val="center"/>
          </w:tcPr>
          <w:p w14:paraId="0803BE2E"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75F86E19"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2A8DE263"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lang w:val="pt-BR"/>
              </w:rPr>
            </w:pPr>
            <w:r w:rsidRPr="001222DA">
              <w:rPr>
                <w:rFonts w:asciiTheme="majorHAnsi" w:hAnsiTheme="majorHAnsi" w:cstheme="majorHAnsi"/>
                <w:b/>
                <w:lang w:val="pt-BR"/>
              </w:rPr>
              <w:t>ANP</w:t>
            </w:r>
          </w:p>
          <w:p w14:paraId="2032B2E1"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lang w:val="pt-BR"/>
              </w:rPr>
            </w:pPr>
            <w:r w:rsidRPr="001222DA">
              <w:rPr>
                <w:rFonts w:asciiTheme="majorHAnsi" w:hAnsiTheme="majorHAnsi" w:cstheme="majorHAnsi"/>
                <w:b/>
                <w:lang w:val="pt-BR"/>
              </w:rPr>
              <w:t>(Notificações)</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54051D15"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Relação (Governo)</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63398312"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de Unidade de RC&amp;E</w:t>
            </w:r>
          </w:p>
          <w:p w14:paraId="30663E94"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i/>
                <w:color w:val="000099"/>
                <w:lang w:val="pt-BR"/>
              </w:rPr>
            </w:pPr>
            <w:r w:rsidRPr="001222DA">
              <w:rPr>
                <w:rFonts w:asciiTheme="majorHAnsi" w:hAnsiTheme="majorHAnsi" w:cstheme="majorHAnsi"/>
                <w:b/>
                <w:i/>
                <w:color w:val="000099"/>
                <w:lang w:val="pt-BR"/>
              </w:rPr>
              <w:t>Líder da Equipe de Perfuração</w:t>
            </w:r>
          </w:p>
          <w:p w14:paraId="5D7B82F7"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b/>
                <w:i/>
                <w:color w:val="000099"/>
                <w:lang w:val="pt-BR"/>
              </w:rPr>
              <w:t>Gerente de Operações</w:t>
            </w:r>
          </w:p>
        </w:tc>
        <w:tc>
          <w:tcPr>
            <w:tcW w:w="329" w:type="pct"/>
            <w:tcBorders>
              <w:left w:val="single" w:sz="12" w:space="0" w:color="FFFFFF" w:themeColor="background1"/>
            </w:tcBorders>
            <w:shd w:val="clear" w:color="auto" w:fill="EEECE1" w:themeFill="background2"/>
            <w:vAlign w:val="center"/>
          </w:tcPr>
          <w:p w14:paraId="665C1758"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2A2C5572"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56A49AD5"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lang w:val="pt-BR"/>
              </w:rPr>
            </w:pPr>
            <w:r w:rsidRPr="001222DA">
              <w:rPr>
                <w:rFonts w:asciiTheme="majorHAnsi" w:hAnsiTheme="majorHAnsi" w:cstheme="majorHAnsi"/>
                <w:b/>
                <w:lang w:val="pt-BR"/>
              </w:rPr>
              <w:t>IBAMA (Notificações)</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03D4D0FF"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Relação (Governo)</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16628488"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de Unidade de RC&amp;E</w:t>
            </w:r>
          </w:p>
        </w:tc>
        <w:tc>
          <w:tcPr>
            <w:tcW w:w="329" w:type="pct"/>
            <w:tcBorders>
              <w:left w:val="single" w:sz="12" w:space="0" w:color="FFFFFF" w:themeColor="background1"/>
            </w:tcBorders>
            <w:shd w:val="clear" w:color="auto" w:fill="EEECE1" w:themeFill="background2"/>
            <w:vAlign w:val="center"/>
          </w:tcPr>
          <w:p w14:paraId="5C830A3B"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0C288166"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01D6D25B"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lang w:val="pt-BR"/>
              </w:rPr>
            </w:pPr>
            <w:r w:rsidRPr="001222DA">
              <w:rPr>
                <w:rFonts w:asciiTheme="majorHAnsi" w:hAnsiTheme="majorHAnsi" w:cstheme="majorHAnsi"/>
                <w:b/>
                <w:lang w:val="pt-BR"/>
              </w:rPr>
              <w:t>Agência(s) Ambiental(is) Estadual(is) (Notificações)</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29509BAA"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Relação (Governo)</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1470A1DA"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de Unidade de RC&amp;E</w:t>
            </w:r>
          </w:p>
        </w:tc>
        <w:tc>
          <w:tcPr>
            <w:tcW w:w="329" w:type="pct"/>
            <w:tcBorders>
              <w:left w:val="single" w:sz="12" w:space="0" w:color="FFFFFF" w:themeColor="background1"/>
            </w:tcBorders>
            <w:shd w:val="clear" w:color="auto" w:fill="EEECE1" w:themeFill="background2"/>
            <w:vAlign w:val="center"/>
          </w:tcPr>
          <w:p w14:paraId="3FFDF18D"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707443CD"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08F8CAFF"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lang w:val="pt-BR"/>
              </w:rPr>
            </w:pPr>
            <w:r w:rsidRPr="001222DA">
              <w:rPr>
                <w:rFonts w:asciiTheme="majorHAnsi" w:hAnsiTheme="majorHAnsi" w:cstheme="majorHAnsi"/>
                <w:b/>
                <w:lang w:val="pt-BR"/>
              </w:rPr>
              <w:t>Marinha – Autoridade Portuária (Notificação)</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4B90612B"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Relação (Governo)</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7CEC81DD"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de Unidade de RC&amp;E</w:t>
            </w:r>
          </w:p>
          <w:p w14:paraId="183EF3EC"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i/>
                <w:color w:val="000099"/>
                <w:lang w:val="pt-BR"/>
              </w:rPr>
            </w:pPr>
            <w:r w:rsidRPr="001222DA">
              <w:rPr>
                <w:rFonts w:asciiTheme="majorHAnsi" w:hAnsiTheme="majorHAnsi" w:cstheme="majorHAnsi"/>
                <w:b/>
                <w:i/>
                <w:color w:val="000099"/>
                <w:lang w:val="pt-BR"/>
              </w:rPr>
              <w:t>Autoridade Marítima da BP</w:t>
            </w:r>
          </w:p>
        </w:tc>
        <w:tc>
          <w:tcPr>
            <w:tcW w:w="329" w:type="pct"/>
            <w:tcBorders>
              <w:left w:val="single" w:sz="12" w:space="0" w:color="FFFFFF" w:themeColor="background1"/>
            </w:tcBorders>
            <w:shd w:val="clear" w:color="auto" w:fill="EEECE1" w:themeFill="background2"/>
            <w:vAlign w:val="center"/>
          </w:tcPr>
          <w:p w14:paraId="4220694B"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6366EDAC"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3759FC58"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lang w:val="pt-BR"/>
              </w:rPr>
            </w:pPr>
            <w:r w:rsidRPr="001222DA">
              <w:rPr>
                <w:rFonts w:asciiTheme="majorHAnsi" w:hAnsiTheme="majorHAnsi" w:cstheme="majorHAnsi"/>
                <w:b/>
                <w:lang w:val="pt-BR"/>
              </w:rPr>
              <w:t>Comunidades Pesqueiras (Comunicações)</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123292F7"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Relação (Comunidade)</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393CBCC9"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de Unidade de RC&amp;E</w:t>
            </w:r>
          </w:p>
          <w:p w14:paraId="6A23478E"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i/>
                <w:color w:val="000099"/>
                <w:lang w:val="pt-BR"/>
              </w:rPr>
            </w:pPr>
            <w:r w:rsidRPr="001222DA">
              <w:rPr>
                <w:rFonts w:asciiTheme="majorHAnsi" w:hAnsiTheme="majorHAnsi" w:cstheme="majorHAnsi"/>
                <w:b/>
                <w:i/>
                <w:color w:val="000099"/>
                <w:lang w:val="pt-BR"/>
              </w:rPr>
              <w:t>Coordenador de Licenciamento</w:t>
            </w:r>
          </w:p>
        </w:tc>
        <w:tc>
          <w:tcPr>
            <w:tcW w:w="329" w:type="pct"/>
            <w:tcBorders>
              <w:left w:val="single" w:sz="12" w:space="0" w:color="FFFFFF" w:themeColor="background1"/>
            </w:tcBorders>
            <w:shd w:val="clear" w:color="auto" w:fill="EEECE1" w:themeFill="background2"/>
            <w:vAlign w:val="center"/>
          </w:tcPr>
          <w:p w14:paraId="667CF8F0"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178F7294"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7EB8BB31" w14:textId="77777777" w:rsidR="00953C7D" w:rsidRPr="001222DA" w:rsidRDefault="00953C7D" w:rsidP="001222DA">
            <w:pPr>
              <w:pStyle w:val="itemx"/>
              <w:keepNext/>
              <w:numPr>
                <w:ilvl w:val="0"/>
                <w:numId w:val="0"/>
              </w:numPr>
              <w:tabs>
                <w:tab w:val="left" w:pos="1122"/>
              </w:tabs>
              <w:spacing w:before="0" w:after="0"/>
              <w:jc w:val="center"/>
              <w:rPr>
                <w:rFonts w:asciiTheme="majorHAnsi" w:hAnsiTheme="majorHAnsi" w:cstheme="majorHAnsi"/>
                <w:b/>
                <w:lang w:val="pt-BR"/>
              </w:rPr>
            </w:pPr>
            <w:r w:rsidRPr="001222DA">
              <w:rPr>
                <w:rFonts w:asciiTheme="majorHAnsi" w:hAnsiTheme="majorHAnsi" w:cstheme="majorHAnsi"/>
                <w:b/>
                <w:lang w:val="pt-BR"/>
              </w:rPr>
              <w:t>IBP e outras companhias de petróleo (Comunicações)</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0FF25398"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Relação / Conselheiro de Relações</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5E7DAD62"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de Unidade de RC&amp;E</w:t>
            </w:r>
          </w:p>
        </w:tc>
        <w:tc>
          <w:tcPr>
            <w:tcW w:w="329" w:type="pct"/>
            <w:tcBorders>
              <w:left w:val="single" w:sz="12" w:space="0" w:color="FFFFFF" w:themeColor="background1"/>
            </w:tcBorders>
            <w:shd w:val="clear" w:color="auto" w:fill="EEECE1" w:themeFill="background2"/>
            <w:vAlign w:val="center"/>
          </w:tcPr>
          <w:p w14:paraId="1671672A"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7C45FE08"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752B53B5"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lang w:val="pt-BR"/>
              </w:rPr>
            </w:pPr>
            <w:r w:rsidRPr="001222DA">
              <w:rPr>
                <w:rFonts w:asciiTheme="majorHAnsi" w:hAnsiTheme="majorHAnsi" w:cstheme="majorHAnsi"/>
                <w:b/>
                <w:lang w:val="pt-BR"/>
              </w:rPr>
              <w:t>Administração de Defesa Civil Municipal ou Estadual (Comunicações)</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1A372C96"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Segurança (Patrimonial) / Conselheiro de Segurança (Patrimonial)</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51B62446"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IC ou OSC</w:t>
            </w:r>
          </w:p>
          <w:p w14:paraId="539A6A98"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Relação (Governo)</w:t>
            </w:r>
          </w:p>
        </w:tc>
        <w:tc>
          <w:tcPr>
            <w:tcW w:w="329" w:type="pct"/>
            <w:tcBorders>
              <w:left w:val="single" w:sz="12" w:space="0" w:color="FFFFFF" w:themeColor="background1"/>
            </w:tcBorders>
            <w:shd w:val="clear" w:color="auto" w:fill="EEECE1" w:themeFill="background2"/>
            <w:vAlign w:val="center"/>
          </w:tcPr>
          <w:p w14:paraId="65F828E6"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1E043602"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242F6A20"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lang w:val="pt-BR"/>
              </w:rPr>
            </w:pPr>
            <w:r w:rsidRPr="001222DA">
              <w:rPr>
                <w:rFonts w:asciiTheme="majorHAnsi" w:hAnsiTheme="majorHAnsi" w:cstheme="majorHAnsi"/>
                <w:b/>
                <w:lang w:val="pt-BR"/>
              </w:rPr>
              <w:t>Polícia (Comunicações)</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4A0712C9"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Segurança (Patrimonial) / Conselheiro de Segurança (Patrimonial)</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0C68759A"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IC ou OSC</w:t>
            </w:r>
          </w:p>
          <w:p w14:paraId="1E743A7D"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Relação (Governo)</w:t>
            </w:r>
          </w:p>
        </w:tc>
        <w:tc>
          <w:tcPr>
            <w:tcW w:w="329" w:type="pct"/>
            <w:tcBorders>
              <w:left w:val="single" w:sz="12" w:space="0" w:color="FFFFFF" w:themeColor="background1"/>
            </w:tcBorders>
            <w:shd w:val="clear" w:color="auto" w:fill="EEECE1" w:themeFill="background2"/>
            <w:vAlign w:val="center"/>
          </w:tcPr>
          <w:p w14:paraId="6BF480F5"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08BABCDC"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2298C012"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lang w:val="pt-BR"/>
              </w:rPr>
            </w:pPr>
            <w:r w:rsidRPr="001222DA">
              <w:rPr>
                <w:rFonts w:asciiTheme="majorHAnsi" w:hAnsiTheme="majorHAnsi" w:cstheme="majorHAnsi"/>
                <w:b/>
                <w:lang w:val="pt-BR"/>
              </w:rPr>
              <w:t>Órgão Regional do Ministério do Trabalho (Comunicações)</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590D481B"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RH / Conselheiro de RH</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6D941E47"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Relação (Governo)</w:t>
            </w:r>
          </w:p>
          <w:p w14:paraId="665A8E44"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da Unidade Médica</w:t>
            </w:r>
          </w:p>
        </w:tc>
        <w:tc>
          <w:tcPr>
            <w:tcW w:w="329" w:type="pct"/>
            <w:tcBorders>
              <w:left w:val="single" w:sz="12" w:space="0" w:color="FFFFFF" w:themeColor="background1"/>
            </w:tcBorders>
            <w:shd w:val="clear" w:color="auto" w:fill="EEECE1" w:themeFill="background2"/>
            <w:vAlign w:val="center"/>
          </w:tcPr>
          <w:p w14:paraId="3B10A5F0"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1A68A54A"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7EEC0123"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lang w:val="pt-BR"/>
              </w:rPr>
            </w:pPr>
            <w:r w:rsidRPr="001222DA">
              <w:rPr>
                <w:rFonts w:asciiTheme="majorHAnsi" w:hAnsiTheme="majorHAnsi" w:cstheme="majorHAnsi"/>
                <w:b/>
                <w:lang w:val="pt-BR"/>
              </w:rPr>
              <w:t>Força Aérea (SAR)/Aviação Civil (ANAC) (Comunicações)</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3EF484EA"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Gerente de Operações Áreas</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459BDFBF"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Relação (Governo)</w:t>
            </w:r>
          </w:p>
          <w:p w14:paraId="07E37AF5"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OSC</w:t>
            </w:r>
          </w:p>
          <w:p w14:paraId="3CF0B0F1"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i/>
                <w:color w:val="000099"/>
                <w:lang w:val="pt-BR"/>
              </w:rPr>
            </w:pPr>
            <w:r w:rsidRPr="001222DA">
              <w:rPr>
                <w:rFonts w:asciiTheme="majorHAnsi" w:hAnsiTheme="majorHAnsi" w:cstheme="majorHAnsi"/>
                <w:b/>
                <w:i/>
                <w:color w:val="000099"/>
                <w:lang w:val="pt-BR"/>
              </w:rPr>
              <w:t>Autoridade de Aviação da BP</w:t>
            </w:r>
          </w:p>
        </w:tc>
        <w:tc>
          <w:tcPr>
            <w:tcW w:w="329" w:type="pct"/>
            <w:tcBorders>
              <w:left w:val="single" w:sz="12" w:space="0" w:color="FFFFFF" w:themeColor="background1"/>
            </w:tcBorders>
            <w:shd w:val="clear" w:color="auto" w:fill="EEECE1" w:themeFill="background2"/>
            <w:vAlign w:val="center"/>
          </w:tcPr>
          <w:p w14:paraId="78C0E045"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6CC01BD1"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3B99C2DA"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lang w:val="pt-BR"/>
              </w:rPr>
            </w:pPr>
            <w:r w:rsidRPr="001222DA">
              <w:rPr>
                <w:rFonts w:asciiTheme="majorHAnsi" w:hAnsiTheme="majorHAnsi" w:cstheme="majorHAnsi"/>
                <w:b/>
                <w:lang w:val="pt-BR"/>
              </w:rPr>
              <w:t>Organizações de Resposta a Vazamentos de Óleo (OceanPact, Hidroclean, CCA e OSRL)</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14D4FD2A"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OSC</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4A00F12D"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Coordenador de CCM/ER / Conselheiro de CCM/ER</w:t>
            </w:r>
          </w:p>
          <w:p w14:paraId="213118AD"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de Unidade de RC&amp;E</w:t>
            </w:r>
          </w:p>
        </w:tc>
        <w:tc>
          <w:tcPr>
            <w:tcW w:w="329" w:type="pct"/>
            <w:tcBorders>
              <w:left w:val="single" w:sz="12" w:space="0" w:color="FFFFFF" w:themeColor="background1"/>
            </w:tcBorders>
            <w:shd w:val="clear" w:color="auto" w:fill="EEECE1" w:themeFill="background2"/>
            <w:vAlign w:val="center"/>
          </w:tcPr>
          <w:p w14:paraId="738C69B4"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35D71C8F"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20F823D4"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i/>
                <w:lang w:val="pt-BR"/>
              </w:rPr>
            </w:pPr>
            <w:r w:rsidRPr="001222DA">
              <w:rPr>
                <w:rFonts w:asciiTheme="majorHAnsi" w:hAnsiTheme="majorHAnsi" w:cstheme="majorHAnsi"/>
                <w:b/>
                <w:i/>
                <w:lang w:val="pt-BR"/>
              </w:rPr>
              <w:t>Informações Meteorológicas atualizadas</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6A833C14"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LSC</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47A4B0B8" w14:textId="0D58E754"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 xml:space="preserve">Líder de Unidade de </w:t>
            </w:r>
            <w:r w:rsidR="0027197D">
              <w:rPr>
                <w:rFonts w:asciiTheme="majorHAnsi" w:hAnsiTheme="majorHAnsi" w:cstheme="majorHAnsi"/>
                <w:lang w:val="pt-BR"/>
              </w:rPr>
              <w:t xml:space="preserve">Situação e/ou Líder de Unidade de </w:t>
            </w:r>
            <w:r w:rsidRPr="001222DA">
              <w:rPr>
                <w:rFonts w:asciiTheme="majorHAnsi" w:hAnsiTheme="majorHAnsi" w:cstheme="majorHAnsi"/>
                <w:lang w:val="pt-BR"/>
              </w:rPr>
              <w:t>RC&amp;E</w:t>
            </w:r>
          </w:p>
          <w:p w14:paraId="141C5A70"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Coordenador de CCM/ER</w:t>
            </w:r>
          </w:p>
        </w:tc>
        <w:tc>
          <w:tcPr>
            <w:tcW w:w="329" w:type="pct"/>
            <w:tcBorders>
              <w:left w:val="single" w:sz="12" w:space="0" w:color="FFFFFF" w:themeColor="background1"/>
            </w:tcBorders>
            <w:shd w:val="clear" w:color="auto" w:fill="EEECE1" w:themeFill="background2"/>
            <w:vAlign w:val="center"/>
          </w:tcPr>
          <w:p w14:paraId="1EC63B21"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53879C12"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186F5CF0"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i/>
                <w:lang w:val="pt-BR"/>
              </w:rPr>
            </w:pPr>
            <w:r w:rsidRPr="001222DA">
              <w:rPr>
                <w:rFonts w:asciiTheme="majorHAnsi" w:hAnsiTheme="majorHAnsi" w:cstheme="majorHAnsi"/>
                <w:b/>
                <w:i/>
                <w:lang w:val="pt-BR"/>
              </w:rPr>
              <w:lastRenderedPageBreak/>
              <w:t>Modelagem de derramamentos de óleo</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034D2581"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PSC</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41A46FD3"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de Unidade de RC&amp;E</w:t>
            </w:r>
          </w:p>
        </w:tc>
        <w:tc>
          <w:tcPr>
            <w:tcW w:w="329" w:type="pct"/>
            <w:tcBorders>
              <w:left w:val="single" w:sz="12" w:space="0" w:color="FFFFFF" w:themeColor="background1"/>
            </w:tcBorders>
            <w:shd w:val="clear" w:color="auto" w:fill="EEECE1" w:themeFill="background2"/>
            <w:vAlign w:val="center"/>
          </w:tcPr>
          <w:p w14:paraId="5C62C0B4"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2E3B6D96"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147B40D9" w14:textId="3B94622C"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i/>
                <w:lang w:val="pt-BR"/>
              </w:rPr>
            </w:pPr>
            <w:r w:rsidRPr="001222DA">
              <w:rPr>
                <w:rFonts w:asciiTheme="majorHAnsi" w:hAnsiTheme="majorHAnsi" w:cstheme="majorHAnsi"/>
                <w:b/>
                <w:i/>
                <w:lang w:val="pt-BR"/>
              </w:rPr>
              <w:t xml:space="preserve">Lançamento e Monitoramento de </w:t>
            </w:r>
            <w:r w:rsidR="00EE16FF">
              <w:rPr>
                <w:rFonts w:asciiTheme="majorHAnsi" w:hAnsiTheme="majorHAnsi" w:cstheme="majorHAnsi"/>
                <w:b/>
                <w:i/>
                <w:lang w:val="pt-BR"/>
              </w:rPr>
              <w:t>Bóia</w:t>
            </w:r>
            <w:r w:rsidRPr="001222DA">
              <w:rPr>
                <w:rFonts w:asciiTheme="majorHAnsi" w:hAnsiTheme="majorHAnsi" w:cstheme="majorHAnsi"/>
                <w:b/>
                <w:i/>
                <w:lang w:val="pt-BR"/>
              </w:rPr>
              <w:t>s de Deriva para Derrama- mentos de Óleo</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5773844C"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OSC</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05A72BAF"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de Unidade de RC&amp;E</w:t>
            </w:r>
          </w:p>
        </w:tc>
        <w:tc>
          <w:tcPr>
            <w:tcW w:w="329" w:type="pct"/>
            <w:tcBorders>
              <w:left w:val="single" w:sz="12" w:space="0" w:color="FFFFFF" w:themeColor="background1"/>
            </w:tcBorders>
            <w:shd w:val="clear" w:color="auto" w:fill="EEECE1" w:themeFill="background2"/>
            <w:vAlign w:val="center"/>
          </w:tcPr>
          <w:p w14:paraId="79438467"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b/>
                <w:lang w:val="pt-BR"/>
              </w:rPr>
            </w:pPr>
            <w:r w:rsidRPr="001222DA">
              <w:rPr>
                <w:rFonts w:asciiTheme="majorHAnsi" w:hAnsiTheme="majorHAnsi" w:cs="Arial"/>
                <w:b/>
                <w:lang w:val="pt-BR"/>
              </w:rPr>
              <w:t>X</w:t>
            </w:r>
          </w:p>
        </w:tc>
      </w:tr>
      <w:tr w:rsidR="00953C7D" w:rsidRPr="001222DA" w14:paraId="57F3C751"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38E7EB3C"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i/>
                <w:lang w:val="pt-BR"/>
              </w:rPr>
            </w:pPr>
            <w:r w:rsidRPr="001222DA">
              <w:rPr>
                <w:rFonts w:asciiTheme="majorHAnsi" w:hAnsiTheme="majorHAnsi" w:cstheme="majorHAnsi"/>
                <w:b/>
                <w:i/>
                <w:lang w:val="pt-BR"/>
              </w:rPr>
              <w:t>Monitoramento por Satélite</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34382B2C"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PSC</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69DD10AC"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de Unidade de RC&amp;E</w:t>
            </w:r>
          </w:p>
          <w:p w14:paraId="60D58095"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Coordenador de CCM/ER</w:t>
            </w:r>
          </w:p>
        </w:tc>
        <w:tc>
          <w:tcPr>
            <w:tcW w:w="329" w:type="pct"/>
            <w:tcBorders>
              <w:left w:val="single" w:sz="12" w:space="0" w:color="FFFFFF" w:themeColor="background1"/>
            </w:tcBorders>
            <w:shd w:val="clear" w:color="auto" w:fill="EEECE1" w:themeFill="background2"/>
            <w:vAlign w:val="center"/>
          </w:tcPr>
          <w:p w14:paraId="79B2B5C2"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b/>
                <w:lang w:val="pt-BR"/>
              </w:rPr>
            </w:pPr>
            <w:r w:rsidRPr="001222DA">
              <w:rPr>
                <w:rFonts w:asciiTheme="majorHAnsi" w:hAnsiTheme="majorHAnsi" w:cs="Arial"/>
                <w:b/>
                <w:lang w:val="pt-BR"/>
              </w:rPr>
              <w:t>X</w:t>
            </w:r>
          </w:p>
        </w:tc>
      </w:tr>
      <w:tr w:rsidR="00953C7D" w:rsidRPr="001222DA" w14:paraId="3C72C091"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3E32415F"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i/>
                <w:lang w:val="pt-BR"/>
              </w:rPr>
            </w:pPr>
            <w:r w:rsidRPr="001222DA">
              <w:rPr>
                <w:rFonts w:asciiTheme="majorHAnsi" w:hAnsiTheme="majorHAnsi" w:cstheme="majorHAnsi"/>
                <w:b/>
                <w:i/>
                <w:lang w:val="pt-BR"/>
              </w:rPr>
              <w:t>Monitoramento ambiental</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2902B646"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de Unidade de RC&amp;E</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68177052"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LSC</w:t>
            </w:r>
          </w:p>
          <w:p w14:paraId="663CF246"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i/>
                <w:color w:val="000099"/>
                <w:lang w:val="pt-BR"/>
              </w:rPr>
            </w:pPr>
            <w:r w:rsidRPr="001222DA">
              <w:rPr>
                <w:rFonts w:asciiTheme="majorHAnsi" w:hAnsiTheme="majorHAnsi" w:cstheme="majorHAnsi"/>
                <w:b/>
                <w:i/>
                <w:color w:val="000099"/>
                <w:lang w:val="pt-BR"/>
              </w:rPr>
              <w:t>Autoridade Marítima da BP</w:t>
            </w:r>
          </w:p>
        </w:tc>
        <w:tc>
          <w:tcPr>
            <w:tcW w:w="329" w:type="pct"/>
            <w:tcBorders>
              <w:left w:val="single" w:sz="12" w:space="0" w:color="FFFFFF" w:themeColor="background1"/>
            </w:tcBorders>
            <w:shd w:val="clear" w:color="auto" w:fill="EEECE1" w:themeFill="background2"/>
            <w:vAlign w:val="center"/>
          </w:tcPr>
          <w:p w14:paraId="4B274444"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b/>
                <w:lang w:val="pt-BR"/>
              </w:rPr>
            </w:pPr>
            <w:r w:rsidRPr="001222DA">
              <w:rPr>
                <w:rFonts w:asciiTheme="majorHAnsi" w:hAnsiTheme="majorHAnsi" w:cs="Arial"/>
                <w:b/>
                <w:lang w:val="pt-BR"/>
              </w:rPr>
              <w:t>X</w:t>
            </w:r>
          </w:p>
        </w:tc>
      </w:tr>
      <w:tr w:rsidR="00953C7D" w:rsidRPr="001222DA" w14:paraId="2B50D09B"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195248AE" w14:textId="77777777" w:rsidR="00953C7D" w:rsidRPr="001222DA" w:rsidRDefault="00953C7D" w:rsidP="001222DA">
            <w:pPr>
              <w:pStyle w:val="itemx"/>
              <w:keepNext/>
              <w:numPr>
                <w:ilvl w:val="0"/>
                <w:numId w:val="0"/>
              </w:numPr>
              <w:tabs>
                <w:tab w:val="left" w:pos="1122"/>
              </w:tabs>
              <w:spacing w:before="0" w:after="0"/>
              <w:jc w:val="center"/>
              <w:rPr>
                <w:rFonts w:asciiTheme="majorHAnsi" w:hAnsiTheme="majorHAnsi" w:cstheme="majorHAnsi"/>
                <w:b/>
                <w:i/>
                <w:lang w:val="pt-BR"/>
              </w:rPr>
            </w:pPr>
            <w:r w:rsidRPr="001222DA">
              <w:rPr>
                <w:rFonts w:asciiTheme="majorHAnsi" w:hAnsiTheme="majorHAnsi" w:cstheme="majorHAnsi"/>
                <w:b/>
                <w:i/>
                <w:lang w:val="pt-BR"/>
              </w:rPr>
              <w:t>Aplicação de Dispersante por via Aérea</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04BAF210" w14:textId="77777777" w:rsidR="00953C7D" w:rsidRPr="001222DA" w:rsidRDefault="00953C7D" w:rsidP="001222DA">
            <w:pPr>
              <w:pStyle w:val="itemx"/>
              <w:keepNext/>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OSC</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12E501CB" w14:textId="77777777" w:rsidR="00953C7D" w:rsidRPr="001222DA" w:rsidRDefault="00953C7D" w:rsidP="001222DA">
            <w:pPr>
              <w:pStyle w:val="itemx"/>
              <w:keepNext/>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Coordenador de CCM/ER – Conselheiro de CCM/ER &amp; HSE</w:t>
            </w:r>
          </w:p>
          <w:p w14:paraId="76828223" w14:textId="77777777" w:rsidR="00953C7D" w:rsidRPr="001222DA" w:rsidRDefault="00953C7D" w:rsidP="001222DA">
            <w:pPr>
              <w:pStyle w:val="itemx"/>
              <w:keepNext/>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de Unidade de RC&amp;E</w:t>
            </w:r>
          </w:p>
          <w:p w14:paraId="07C77E2A" w14:textId="77777777" w:rsidR="00953C7D" w:rsidRPr="001222DA" w:rsidRDefault="00953C7D" w:rsidP="001222DA">
            <w:pPr>
              <w:pStyle w:val="itemx"/>
              <w:keepNext/>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b/>
                <w:i/>
                <w:color w:val="000099"/>
                <w:lang w:val="pt-BR"/>
              </w:rPr>
              <w:t>Gerente de Operações Áreas</w:t>
            </w:r>
          </w:p>
        </w:tc>
        <w:tc>
          <w:tcPr>
            <w:tcW w:w="329" w:type="pct"/>
            <w:tcBorders>
              <w:left w:val="single" w:sz="12" w:space="0" w:color="FFFFFF" w:themeColor="background1"/>
            </w:tcBorders>
            <w:shd w:val="clear" w:color="auto" w:fill="EEECE1" w:themeFill="background2"/>
            <w:vAlign w:val="center"/>
          </w:tcPr>
          <w:p w14:paraId="0B3FD812"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b/>
                <w:lang w:val="pt-BR"/>
              </w:rPr>
            </w:pPr>
            <w:r w:rsidRPr="001222DA">
              <w:rPr>
                <w:rFonts w:asciiTheme="majorHAnsi" w:hAnsiTheme="majorHAnsi" w:cs="Arial"/>
                <w:b/>
                <w:lang w:val="pt-BR"/>
              </w:rPr>
              <w:t>X</w:t>
            </w:r>
          </w:p>
        </w:tc>
      </w:tr>
      <w:tr w:rsidR="00953C7D" w:rsidRPr="001222DA" w14:paraId="257BA675"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565F8846"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i/>
                <w:lang w:val="pt-BR"/>
              </w:rPr>
            </w:pPr>
            <w:r w:rsidRPr="001222DA">
              <w:rPr>
                <w:rFonts w:asciiTheme="majorHAnsi" w:hAnsiTheme="majorHAnsi" w:cstheme="majorHAnsi"/>
                <w:b/>
                <w:i/>
                <w:lang w:val="pt-BR"/>
              </w:rPr>
              <w:t>Recuperação e Reabilitação de Animais Selvagens e Vegetação Impactados por Óleo</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29FBC796"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OSC</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3B249D62"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de Unidade de RC&amp;E</w:t>
            </w:r>
          </w:p>
        </w:tc>
        <w:tc>
          <w:tcPr>
            <w:tcW w:w="329" w:type="pct"/>
            <w:tcBorders>
              <w:left w:val="single" w:sz="12" w:space="0" w:color="FFFFFF" w:themeColor="background1"/>
            </w:tcBorders>
            <w:shd w:val="clear" w:color="auto" w:fill="EEECE1" w:themeFill="background2"/>
            <w:vAlign w:val="center"/>
          </w:tcPr>
          <w:p w14:paraId="06B694EB"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b/>
                <w:lang w:val="pt-BR"/>
              </w:rPr>
            </w:pPr>
            <w:r w:rsidRPr="001222DA">
              <w:rPr>
                <w:rFonts w:asciiTheme="majorHAnsi" w:hAnsiTheme="majorHAnsi" w:cs="Arial"/>
                <w:b/>
                <w:lang w:val="pt-BR"/>
              </w:rPr>
              <w:t>X</w:t>
            </w:r>
          </w:p>
        </w:tc>
      </w:tr>
      <w:tr w:rsidR="00953C7D" w:rsidRPr="001222DA" w14:paraId="061FB681" w14:textId="77777777" w:rsidTr="00A90493">
        <w:trPr>
          <w:cantSplit/>
        </w:trPr>
        <w:tc>
          <w:tcPr>
            <w:tcW w:w="5000" w:type="pct"/>
            <w:gridSpan w:val="4"/>
            <w:shd w:val="clear" w:color="auto" w:fill="FFFFFF" w:themeFill="background1"/>
          </w:tcPr>
          <w:p w14:paraId="13AD9AFE" w14:textId="46A7D577" w:rsidR="00953C7D" w:rsidRPr="001222DA" w:rsidRDefault="001222DA" w:rsidP="0027197D">
            <w:pPr>
              <w:pStyle w:val="itemx"/>
              <w:numPr>
                <w:ilvl w:val="0"/>
                <w:numId w:val="0"/>
              </w:numPr>
              <w:tabs>
                <w:tab w:val="left" w:pos="1122"/>
              </w:tabs>
              <w:spacing w:before="0" w:after="0"/>
              <w:rPr>
                <w:rFonts w:asciiTheme="majorHAnsi" w:hAnsiTheme="majorHAnsi" w:cstheme="majorHAnsi"/>
                <w:lang w:val="pt-BR"/>
              </w:rPr>
            </w:pPr>
            <w:r w:rsidRPr="001222DA">
              <w:rPr>
                <w:rFonts w:asciiTheme="majorHAnsi" w:hAnsiTheme="majorHAnsi" w:cstheme="majorHAnsi"/>
                <w:b/>
                <w:lang w:val="pt-BR"/>
              </w:rPr>
              <w:t>Legenda:</w:t>
            </w:r>
            <w:r>
              <w:rPr>
                <w:rFonts w:asciiTheme="majorHAnsi" w:hAnsiTheme="majorHAnsi" w:cstheme="majorHAnsi"/>
                <w:lang w:val="pt-BR"/>
              </w:rPr>
              <w:t xml:space="preserve"> ¹</w:t>
            </w:r>
            <w:r w:rsidR="00953C7D" w:rsidRPr="001222DA">
              <w:rPr>
                <w:rFonts w:asciiTheme="majorHAnsi" w:hAnsiTheme="majorHAnsi" w:cstheme="majorHAnsi"/>
                <w:lang w:val="pt-BR"/>
              </w:rPr>
              <w:t xml:space="preserve"> As funções da BP Energy fora da estrutura do ICS são apresentadas em fonte itálica na cor azul. Normalmente estão envolvidos na resposta como Especi</w:t>
            </w:r>
            <w:r>
              <w:rPr>
                <w:rFonts w:asciiTheme="majorHAnsi" w:hAnsiTheme="majorHAnsi" w:cstheme="majorHAnsi"/>
                <w:lang w:val="pt-BR"/>
              </w:rPr>
              <w:t>alistas Técnicos; ²</w:t>
            </w:r>
            <w:r w:rsidR="00953C7D" w:rsidRPr="001222DA">
              <w:rPr>
                <w:rFonts w:asciiTheme="majorHAnsi" w:hAnsiTheme="majorHAnsi" w:cstheme="majorHAnsi"/>
                <w:lang w:val="pt-BR"/>
              </w:rPr>
              <w:t xml:space="preserve"> Constituição de </w:t>
            </w:r>
            <w:r w:rsidR="0027197D">
              <w:rPr>
                <w:rFonts w:asciiTheme="majorHAnsi" w:hAnsiTheme="majorHAnsi" w:cstheme="majorHAnsi"/>
                <w:lang w:val="pt-BR"/>
              </w:rPr>
              <w:t>C</w:t>
            </w:r>
            <w:r w:rsidR="00953C7D" w:rsidRPr="001222DA">
              <w:rPr>
                <w:rFonts w:asciiTheme="majorHAnsi" w:hAnsiTheme="majorHAnsi" w:cstheme="majorHAnsi"/>
                <w:lang w:val="pt-BR"/>
              </w:rPr>
              <w:t xml:space="preserve">omitê </w:t>
            </w:r>
            <w:r w:rsidR="0027197D">
              <w:rPr>
                <w:rFonts w:asciiTheme="majorHAnsi" w:hAnsiTheme="majorHAnsi" w:cstheme="majorHAnsi"/>
                <w:lang w:val="pt-BR"/>
              </w:rPr>
              <w:t>T</w:t>
            </w:r>
            <w:r w:rsidR="00953C7D" w:rsidRPr="001222DA">
              <w:rPr>
                <w:rFonts w:asciiTheme="majorHAnsi" w:hAnsiTheme="majorHAnsi" w:cstheme="majorHAnsi"/>
                <w:lang w:val="pt-BR"/>
              </w:rPr>
              <w:t>écnico específico é sugerida.</w:t>
            </w:r>
          </w:p>
        </w:tc>
      </w:tr>
    </w:tbl>
    <w:p w14:paraId="09A91722" w14:textId="77777777" w:rsidR="00953C7D" w:rsidRPr="007F7381" w:rsidRDefault="00953C7D"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ind w:left="714" w:hanging="357"/>
        <w:rPr>
          <w:rFonts w:asciiTheme="majorHAnsi" w:hAnsiTheme="majorHAnsi"/>
        </w:rPr>
      </w:pPr>
      <w:r w:rsidRPr="007F7381">
        <w:rPr>
          <w:rFonts w:asciiTheme="majorHAnsi" w:hAnsiTheme="majorHAnsi"/>
        </w:rPr>
        <w:t>Notificações recebidas</w:t>
      </w:r>
    </w:p>
    <w:p w14:paraId="36E92388" w14:textId="77777777" w:rsidR="00953C7D" w:rsidRPr="006D29C9" w:rsidRDefault="00953C7D" w:rsidP="007F7381">
      <w:pPr>
        <w:pStyle w:val="tier1Itext"/>
      </w:pPr>
      <w:r w:rsidRPr="006D29C9">
        <w:t>As partes interessadas comunicadas e notificadas durante um incidente de vazamento de óleo serão devidamente informadas sobre os meios de contato a serem utilizados. Nos comunicados de informação divulgados para o público em geral, a BP Energy garantirá o destaque dos canais de contato para comunicações, comentários, dúvidas e reclamações, os mesmos utilizados no Programa de Comunicação Social planejado para as atividades no Bloco FZA-M-59 e que serão bem disseminados em toda</w:t>
      </w:r>
      <w:r>
        <w:t xml:space="preserve"> a</w:t>
      </w:r>
      <w:r w:rsidRPr="006D29C9">
        <w:t xml:space="preserve"> área de influência do projeto. Os contatos são:</w:t>
      </w:r>
    </w:p>
    <w:p w14:paraId="2904EA61" w14:textId="77777777" w:rsidR="00953C7D" w:rsidRPr="007F7381" w:rsidRDefault="00953C7D" w:rsidP="00EA2A77">
      <w:pPr>
        <w:pStyle w:val="OCEBullet"/>
        <w:keepLines/>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1434" w:hanging="357"/>
        <w:rPr>
          <w:rFonts w:asciiTheme="majorHAnsi" w:hAnsiTheme="majorHAnsi" w:cstheme="majorHAnsi"/>
        </w:rPr>
      </w:pPr>
      <w:r w:rsidRPr="007F7381">
        <w:rPr>
          <w:rFonts w:asciiTheme="majorHAnsi" w:hAnsiTheme="majorHAnsi" w:cstheme="majorHAnsi"/>
        </w:rPr>
        <w:t>Número para ligação gratuita: 0-800-702 2827</w:t>
      </w:r>
    </w:p>
    <w:p w14:paraId="3CA05A23" w14:textId="22D5AD10" w:rsidR="00953C7D" w:rsidRPr="007F7381" w:rsidRDefault="00953C7D" w:rsidP="00EA2A77">
      <w:pPr>
        <w:pStyle w:val="OCEBullet"/>
        <w:keepLines/>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1434" w:hanging="357"/>
        <w:rPr>
          <w:rFonts w:asciiTheme="majorHAnsi" w:hAnsiTheme="majorHAnsi" w:cstheme="majorHAnsi"/>
        </w:rPr>
      </w:pPr>
      <w:r w:rsidRPr="007F7381">
        <w:rPr>
          <w:rFonts w:asciiTheme="majorHAnsi" w:hAnsiTheme="majorHAnsi" w:cstheme="majorHAnsi"/>
        </w:rPr>
        <w:t xml:space="preserve">Endereço eletrônico (E-mail): </w:t>
      </w:r>
      <w:hyperlink r:id="rId41" w:history="1">
        <w:r w:rsidR="006961B5" w:rsidRPr="00A70C70">
          <w:rPr>
            <w:rStyle w:val="Hyperlink"/>
            <w:rFonts w:asciiTheme="majorHAnsi" w:hAnsiTheme="majorHAnsi" w:cstheme="majorHAnsi"/>
            <w:highlight w:val="lightGray"/>
          </w:rPr>
          <w:t>falecom@bp.com</w:t>
        </w:r>
      </w:hyperlink>
    </w:p>
    <w:p w14:paraId="6EAED4D1" w14:textId="77777777" w:rsidR="00953C7D" w:rsidRPr="0023103C" w:rsidRDefault="00953C7D" w:rsidP="007F7381">
      <w:pPr>
        <w:pStyle w:val="tier1Itext"/>
      </w:pPr>
      <w:r w:rsidRPr="0023103C">
        <w:t xml:space="preserve">Durante o expediente normal de trabalho, o contato é imediatamente enviado para o avaliador destinado que definirá o melhor profissional da BP Energy para fornecer as respostas ou efetivar o contato para transmissão desta resposta. Os </w:t>
      </w:r>
      <w:r w:rsidRPr="00335B73">
        <w:t>contatos</w:t>
      </w:r>
      <w:r w:rsidRPr="0023103C">
        <w:t xml:space="preserve"> feitos fora do período de trabalho são registrados e verificados como primeira ação no período seguinte, seguindo o mesmo procedimento descrito.</w:t>
      </w:r>
    </w:p>
    <w:p w14:paraId="4427498A" w14:textId="77777777" w:rsidR="00953C7D" w:rsidRPr="0023103C" w:rsidRDefault="00953C7D" w:rsidP="007F7381">
      <w:pPr>
        <w:pStyle w:val="tier1Itext"/>
      </w:pPr>
      <w:r w:rsidRPr="0023103C">
        <w:lastRenderedPageBreak/>
        <w:t>Durante as emergências, as chamadas telefônicas e mensagens recebidas são direcionadas para o Oficial de Relação, que encaminhará os temas para a IMT.</w:t>
      </w:r>
    </w:p>
    <w:p w14:paraId="323D1777" w14:textId="402BBF32" w:rsidR="00953C7D" w:rsidRPr="0023103C" w:rsidRDefault="00953C7D" w:rsidP="007F7381">
      <w:pPr>
        <w:pStyle w:val="tier1Itext"/>
      </w:pPr>
      <w:r w:rsidRPr="0023103C">
        <w:t xml:space="preserve">Outra fonte importante de informação e forma de contato para o público em geral sobre a BP Brasil e </w:t>
      </w:r>
      <w:r>
        <w:t xml:space="preserve">a </w:t>
      </w:r>
      <w:r w:rsidRPr="0023103C">
        <w:t>BP Energy é a página da empresa na internet (</w:t>
      </w:r>
      <w:hyperlink r:id="rId42" w:history="1">
        <w:r w:rsidR="00B843D2" w:rsidRPr="003E5BD5">
          <w:rPr>
            <w:rStyle w:val="Hyperlink"/>
          </w:rPr>
          <w:t>www.bp.com.br</w:t>
        </w:r>
      </w:hyperlink>
      <w:r>
        <w:rPr>
          <w:rStyle w:val="Hyperlink"/>
        </w:rPr>
        <w:t>)</w:t>
      </w:r>
      <w:r w:rsidRPr="0023103C">
        <w:t xml:space="preserve">, onde os </w:t>
      </w:r>
      <w:r w:rsidRPr="00335B73">
        <w:t>contatos</w:t>
      </w:r>
      <w:r w:rsidRPr="0023103C">
        <w:t xml:space="preserve"> da BP Energy podem ser acessados clicando-se no </w:t>
      </w:r>
      <w:r w:rsidRPr="0023103C">
        <w:rPr>
          <w:i/>
        </w:rPr>
        <w:t>link</w:t>
      </w:r>
      <w:r w:rsidRPr="0023103C">
        <w:t xml:space="preserve"> </w:t>
      </w:r>
      <w:r w:rsidRPr="00A70C70">
        <w:rPr>
          <w:highlight w:val="lightGray"/>
        </w:rPr>
        <w:t>“</w:t>
      </w:r>
      <w:r w:rsidR="00B843D2" w:rsidRPr="00A70C70">
        <w:rPr>
          <w:highlight w:val="lightGray"/>
        </w:rPr>
        <w:t>Entre em Contato</w:t>
      </w:r>
      <w:r w:rsidRPr="00A70C70">
        <w:rPr>
          <w:highlight w:val="lightGray"/>
        </w:rPr>
        <w:t>”</w:t>
      </w:r>
      <w:r w:rsidR="00B843D2" w:rsidRPr="00A70C70">
        <w:rPr>
          <w:highlight w:val="lightGray"/>
        </w:rPr>
        <w:t>, no pé da página</w:t>
      </w:r>
      <w:r w:rsidRPr="0023103C">
        <w:t>.</w:t>
      </w:r>
    </w:p>
    <w:p w14:paraId="6CB9EC05" w14:textId="77777777" w:rsidR="00953C7D" w:rsidRPr="007F7381" w:rsidRDefault="00953C7D"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ind w:left="714" w:hanging="357"/>
        <w:rPr>
          <w:rFonts w:asciiTheme="majorHAnsi" w:hAnsiTheme="majorHAnsi"/>
        </w:rPr>
      </w:pPr>
      <w:r w:rsidRPr="007F7381">
        <w:rPr>
          <w:rFonts w:asciiTheme="majorHAnsi" w:hAnsiTheme="majorHAnsi"/>
        </w:rPr>
        <w:t>Considerações Gerais</w:t>
      </w:r>
    </w:p>
    <w:p w14:paraId="33A07A12" w14:textId="77777777" w:rsidR="00953C7D" w:rsidRPr="0023103C" w:rsidRDefault="00953C7D" w:rsidP="007F7381">
      <w:pPr>
        <w:pStyle w:val="tier1Itext"/>
      </w:pPr>
      <w:r w:rsidRPr="0023103C">
        <w:t xml:space="preserve">Todos os tipos de comunicação com o público interno, os representantes da mídia, agências governamentais, parceiros e outras instituições competentes devem estar preparados de acordo com a estratégia de engajamento </w:t>
      </w:r>
      <w:r>
        <w:t xml:space="preserve">com </w:t>
      </w:r>
      <w:r w:rsidRPr="0023103C">
        <w:t>as partes interessadas da BP Energy e aprovado pelo IC ou seu Delegado.</w:t>
      </w:r>
    </w:p>
    <w:p w14:paraId="2E77E0ED" w14:textId="77777777" w:rsidR="00953C7D" w:rsidRPr="0023103C" w:rsidRDefault="00953C7D" w:rsidP="007F7381">
      <w:pPr>
        <w:pStyle w:val="tier1Itext"/>
      </w:pPr>
      <w:r w:rsidRPr="0023103C">
        <w:t>É importante destacar que a BP Energy segue os procedimentos da BP Global e tem a língua inglesa como o idioma principal falado durante a resposta no ICP, bem como formulários de resposta de emergência internos que também se apresentam nesta língua, em alinhamento com os utilizados em todo o mundo. Esta normalização é um procedimento natural, já que a empresa tem funcionários de fora do país que são parte ativa da IMT e também um diferencial importante quando se considera o rápido acesso ao pessoal de resposta treinado de outras entidades da BP no mundo, em casos de incidentes de grande escala, complexos ou de longa duração, que podem criar uma situação onde a capacidade operacional da BP Energy em responder usando apenas o seu pessoal (considerando contratados críticos) é ou pode ser ultrapassada.</w:t>
      </w:r>
    </w:p>
    <w:p w14:paraId="47FCBC83" w14:textId="77777777" w:rsidR="00953C7D" w:rsidRPr="0023103C" w:rsidRDefault="00953C7D" w:rsidP="007F7381">
      <w:pPr>
        <w:pStyle w:val="tier1Itext"/>
      </w:pPr>
      <w:r w:rsidRPr="0023103C">
        <w:t>Outros formulários exigidos pela legislação local são adicionados à lista de documentos da resposta, quando necessário, com as versões disponíveis nos dois idiomas (português e inglês).</w:t>
      </w:r>
    </w:p>
    <w:p w14:paraId="45D8D451" w14:textId="2D24DE59" w:rsidR="00953C7D" w:rsidRDefault="00953C7D" w:rsidP="007F7381">
      <w:pPr>
        <w:pStyle w:val="tier1Itext"/>
      </w:pPr>
      <w:r w:rsidRPr="0023103C">
        <w:t>A lista com identificação, números de telefone e meios de contato das autoridades a serem notificadas, empreiteiros e fornecedores críticos é</w:t>
      </w:r>
      <w:r w:rsidRPr="000B23B8">
        <w:t xml:space="preserve"> um documento periodicamente revisto, inteiramente verificado a cada seis meses</w:t>
      </w:r>
      <w:r w:rsidR="00116E63">
        <w:t>,</w:t>
      </w:r>
      <w:r w:rsidRPr="000B23B8">
        <w:t xml:space="preserve"> ou quando novas informações são fornecidas ou após revisões do PEI, e em completo alinhamento com os procedimentos atualizados do </w:t>
      </w:r>
      <w:r w:rsidR="0027197D">
        <w:t>Plano de Comunicações durante Crises</w:t>
      </w:r>
      <w:r w:rsidRPr="000B23B8">
        <w:t>.</w:t>
      </w:r>
      <w:r>
        <w:t xml:space="preserve"> Está disponível na intranet da BP</w:t>
      </w:r>
      <w:r w:rsidR="00116E63">
        <w:t xml:space="preserve"> Energy</w:t>
      </w:r>
      <w:r>
        <w:t xml:space="preserve"> e no ICP, sendo uma </w:t>
      </w:r>
      <w:r w:rsidRPr="0023103C">
        <w:t xml:space="preserve">lista resumida compilada a partir da existente </w:t>
      </w:r>
      <w:r w:rsidR="0027197D">
        <w:t>neste último plano</w:t>
      </w:r>
      <w:r w:rsidRPr="0023103C">
        <w:t xml:space="preserve"> e está dividida por grupo de partes interessadas</w:t>
      </w:r>
      <w:r w:rsidR="0027197D">
        <w:t>,</w:t>
      </w:r>
      <w:r w:rsidRPr="0023103C">
        <w:t xml:space="preserve"> a fim de facilitar o manuseio por diferentes funções da IMT durante as operações de resposta.</w:t>
      </w:r>
    </w:p>
    <w:p w14:paraId="7A72BD97" w14:textId="1EE05214" w:rsidR="00151441" w:rsidRDefault="00151441" w:rsidP="007F7381">
      <w:pPr>
        <w:pStyle w:val="tier1Itext"/>
      </w:pPr>
    </w:p>
    <w:p w14:paraId="4903B4AC" w14:textId="7696D496" w:rsidR="00151441" w:rsidRPr="00A70C70" w:rsidRDefault="0045252D" w:rsidP="0041115F">
      <w:pPr>
        <w:pStyle w:val="Ttulo3"/>
        <w:ind w:left="1224"/>
        <w:rPr>
          <w:highlight w:val="lightGray"/>
          <w:lang w:val="pt-BR"/>
        </w:rPr>
      </w:pPr>
      <w:bookmarkStart w:id="121" w:name="_Toc527990413"/>
      <w:r w:rsidRPr="00A70C70">
        <w:rPr>
          <w:highlight w:val="lightGray"/>
          <w:lang w:val="pt-BR"/>
        </w:rPr>
        <w:lastRenderedPageBreak/>
        <w:t>C</w:t>
      </w:r>
      <w:r w:rsidR="00151441" w:rsidRPr="00A70C70">
        <w:rPr>
          <w:highlight w:val="lightGray"/>
          <w:lang w:val="pt-BR"/>
        </w:rPr>
        <w:t xml:space="preserve">omunicações </w:t>
      </w:r>
      <w:r w:rsidR="0041115F" w:rsidRPr="00A70C70">
        <w:rPr>
          <w:highlight w:val="lightGray"/>
          <w:lang w:val="pt-BR"/>
        </w:rPr>
        <w:t xml:space="preserve">com </w:t>
      </w:r>
      <w:r w:rsidRPr="00A70C70">
        <w:rPr>
          <w:highlight w:val="lightGray"/>
          <w:lang w:val="pt-BR"/>
        </w:rPr>
        <w:t>O</w:t>
      </w:r>
      <w:r w:rsidR="0041115F" w:rsidRPr="00A70C70">
        <w:rPr>
          <w:highlight w:val="lightGray"/>
          <w:lang w:val="pt-BR"/>
        </w:rPr>
        <w:t xml:space="preserve">utros </w:t>
      </w:r>
      <w:r w:rsidRPr="00A70C70">
        <w:rPr>
          <w:highlight w:val="lightGray"/>
          <w:lang w:val="pt-BR"/>
        </w:rPr>
        <w:t>P</w:t>
      </w:r>
      <w:r w:rsidR="0041115F" w:rsidRPr="00A70C70">
        <w:rPr>
          <w:highlight w:val="lightGray"/>
          <w:lang w:val="pt-BR"/>
        </w:rPr>
        <w:t>aíses</w:t>
      </w:r>
      <w:bookmarkEnd w:id="121"/>
    </w:p>
    <w:p w14:paraId="60FAAC81" w14:textId="53CB37C3" w:rsidR="00DD1023" w:rsidRPr="00A70C70" w:rsidRDefault="0041115F" w:rsidP="005976EA">
      <w:pPr>
        <w:pStyle w:val="tier1Itext"/>
        <w:rPr>
          <w:highlight w:val="lightGray"/>
        </w:rPr>
      </w:pPr>
      <w:r w:rsidRPr="00A70C70">
        <w:rPr>
          <w:highlight w:val="lightGray"/>
        </w:rPr>
        <w:t xml:space="preserve">Em virtude da possibilidade da deriva de uma mancha de óleo vazado ir em direção à águas nacionais de outro(s) país(es), </w:t>
      </w:r>
      <w:r w:rsidR="00DD1023" w:rsidRPr="00A70C70">
        <w:rPr>
          <w:highlight w:val="lightGray"/>
        </w:rPr>
        <w:t xml:space="preserve">são apresentadas a seguir </w:t>
      </w:r>
      <w:r w:rsidRPr="00A70C70">
        <w:rPr>
          <w:highlight w:val="lightGray"/>
        </w:rPr>
        <w:t xml:space="preserve">as diretrizes que conduzirão as </w:t>
      </w:r>
      <w:r w:rsidR="00D23359" w:rsidRPr="00A70C70">
        <w:rPr>
          <w:highlight w:val="lightGray"/>
        </w:rPr>
        <w:t xml:space="preserve">ações e </w:t>
      </w:r>
      <w:r w:rsidRPr="00A70C70">
        <w:rPr>
          <w:highlight w:val="lightGray"/>
        </w:rPr>
        <w:t xml:space="preserve">comunicações a serem feitas pela BP Energy. É importante notar que tais diretrizes foram elaboradas considerando as interações e potencial participação da OSRL como operador da resposta </w:t>
      </w:r>
      <w:r w:rsidR="00391611" w:rsidRPr="00A70C70">
        <w:rPr>
          <w:highlight w:val="lightGray"/>
        </w:rPr>
        <w:t>d</w:t>
      </w:r>
      <w:r w:rsidRPr="00A70C70">
        <w:rPr>
          <w:highlight w:val="lightGray"/>
        </w:rPr>
        <w:t>o Caribbean Island OPRC Plan (Plano Regional de Resposta e Cooperação a Vazamentos de Óleo no Caribe)</w:t>
      </w:r>
      <w:r w:rsidR="00391611" w:rsidRPr="00A70C70">
        <w:rPr>
          <w:highlight w:val="lightGray"/>
        </w:rPr>
        <w:t>.</w:t>
      </w:r>
      <w:r w:rsidR="00DD1023" w:rsidRPr="00A70C70">
        <w:rPr>
          <w:highlight w:val="lightGray"/>
        </w:rPr>
        <w:t xml:space="preserve">  Este Plano, dentre várias outras informações, mantém uma lista de pontos focais nacionais  sobre a questão (que podem ser recursos de consulta) e uma base de dados com os perfis de cada país da região no que tange a aspectos relacionados às ações de resposta a vazamentos de óleo. Neste perfil são apresentadas informações, quando existentes, sobre:</w:t>
      </w:r>
    </w:p>
    <w:p w14:paraId="0BB8A982" w14:textId="77777777" w:rsidR="00DD1023" w:rsidRPr="00A70C70" w:rsidRDefault="00DD1023" w:rsidP="00DD1023">
      <w:pPr>
        <w:pStyle w:val="PargrafodaLista"/>
        <w:keepLines w:val="0"/>
        <w:numPr>
          <w:ilvl w:val="0"/>
          <w:numId w:val="43"/>
        </w:numPr>
        <w:tabs>
          <w:tab w:val="clear" w:pos="227"/>
          <w:tab w:val="clear" w:pos="709"/>
        </w:tabs>
        <w:spacing w:before="0" w:after="160" w:line="259" w:lineRule="auto"/>
        <w:contextualSpacing/>
        <w:rPr>
          <w:color w:val="auto"/>
          <w:highlight w:val="lightGray"/>
        </w:rPr>
      </w:pPr>
      <w:r w:rsidRPr="00A70C70">
        <w:rPr>
          <w:color w:val="auto"/>
          <w:highlight w:val="lightGray"/>
        </w:rPr>
        <w:t>convenções e acordos bi ou multilaterais;</w:t>
      </w:r>
    </w:p>
    <w:p w14:paraId="464B8F22" w14:textId="77777777" w:rsidR="00DD1023" w:rsidRPr="00A70C70" w:rsidRDefault="00DD1023" w:rsidP="00DD1023">
      <w:pPr>
        <w:pStyle w:val="PargrafodaLista"/>
        <w:keepLines w:val="0"/>
        <w:numPr>
          <w:ilvl w:val="0"/>
          <w:numId w:val="43"/>
        </w:numPr>
        <w:tabs>
          <w:tab w:val="clear" w:pos="227"/>
          <w:tab w:val="clear" w:pos="709"/>
        </w:tabs>
        <w:spacing w:before="0" w:after="160" w:line="259" w:lineRule="auto"/>
        <w:contextualSpacing/>
        <w:rPr>
          <w:color w:val="auto"/>
          <w:highlight w:val="lightGray"/>
        </w:rPr>
      </w:pPr>
      <w:r w:rsidRPr="00A70C70">
        <w:rPr>
          <w:color w:val="auto"/>
          <w:highlight w:val="lightGray"/>
        </w:rPr>
        <w:t>pontos focais nacionais;</w:t>
      </w:r>
    </w:p>
    <w:p w14:paraId="5BBED9F3" w14:textId="77777777" w:rsidR="00DD1023" w:rsidRPr="00A70C70" w:rsidRDefault="00DD1023" w:rsidP="00DD1023">
      <w:pPr>
        <w:pStyle w:val="PargrafodaLista"/>
        <w:keepLines w:val="0"/>
        <w:numPr>
          <w:ilvl w:val="0"/>
          <w:numId w:val="43"/>
        </w:numPr>
        <w:tabs>
          <w:tab w:val="clear" w:pos="227"/>
          <w:tab w:val="clear" w:pos="709"/>
        </w:tabs>
        <w:spacing w:before="0" w:after="160" w:line="259" w:lineRule="auto"/>
        <w:contextualSpacing/>
        <w:rPr>
          <w:color w:val="auto"/>
          <w:highlight w:val="lightGray"/>
        </w:rPr>
      </w:pPr>
      <w:r w:rsidRPr="00A70C70">
        <w:rPr>
          <w:color w:val="auto"/>
          <w:highlight w:val="lightGray"/>
        </w:rPr>
        <w:t xml:space="preserve">as agências responsáveis pela coordenção e pela condução de ações de resposta; </w:t>
      </w:r>
    </w:p>
    <w:p w14:paraId="43BC2DDF" w14:textId="77777777" w:rsidR="00DD1023" w:rsidRPr="00A70C70" w:rsidRDefault="00DD1023" w:rsidP="00DD1023">
      <w:pPr>
        <w:pStyle w:val="PargrafodaLista"/>
        <w:keepLines w:val="0"/>
        <w:numPr>
          <w:ilvl w:val="0"/>
          <w:numId w:val="43"/>
        </w:numPr>
        <w:tabs>
          <w:tab w:val="clear" w:pos="227"/>
          <w:tab w:val="clear" w:pos="709"/>
        </w:tabs>
        <w:spacing w:before="0" w:after="160" w:line="259" w:lineRule="auto"/>
        <w:contextualSpacing/>
        <w:rPr>
          <w:color w:val="auto"/>
          <w:highlight w:val="lightGray"/>
        </w:rPr>
      </w:pPr>
      <w:r w:rsidRPr="00A70C70">
        <w:rPr>
          <w:color w:val="auto"/>
          <w:highlight w:val="lightGray"/>
        </w:rPr>
        <w:t>análise de risco;</w:t>
      </w:r>
    </w:p>
    <w:p w14:paraId="2538A1C0" w14:textId="77777777" w:rsidR="00DD1023" w:rsidRPr="00A70C70" w:rsidRDefault="00DD1023" w:rsidP="00DD1023">
      <w:pPr>
        <w:pStyle w:val="PargrafodaLista"/>
        <w:keepLines w:val="0"/>
        <w:numPr>
          <w:ilvl w:val="0"/>
          <w:numId w:val="43"/>
        </w:numPr>
        <w:tabs>
          <w:tab w:val="clear" w:pos="227"/>
          <w:tab w:val="clear" w:pos="709"/>
        </w:tabs>
        <w:spacing w:before="0" w:after="160" w:line="259" w:lineRule="auto"/>
        <w:contextualSpacing/>
        <w:rPr>
          <w:color w:val="auto"/>
          <w:highlight w:val="lightGray"/>
        </w:rPr>
      </w:pPr>
      <w:r w:rsidRPr="00A70C70">
        <w:rPr>
          <w:color w:val="auto"/>
          <w:highlight w:val="lightGray"/>
        </w:rPr>
        <w:t>exercícios e treinamentos realizados, e incidentes ocorridos;</w:t>
      </w:r>
    </w:p>
    <w:p w14:paraId="08A1FF25" w14:textId="77777777" w:rsidR="00DD1023" w:rsidRPr="00A70C70" w:rsidRDefault="00DD1023" w:rsidP="00DD1023">
      <w:pPr>
        <w:pStyle w:val="PargrafodaLista"/>
        <w:keepLines w:val="0"/>
        <w:numPr>
          <w:ilvl w:val="0"/>
          <w:numId w:val="43"/>
        </w:numPr>
        <w:tabs>
          <w:tab w:val="clear" w:pos="227"/>
          <w:tab w:val="clear" w:pos="709"/>
        </w:tabs>
        <w:spacing w:before="0" w:after="160" w:line="259" w:lineRule="auto"/>
        <w:contextualSpacing/>
        <w:rPr>
          <w:color w:val="auto"/>
          <w:highlight w:val="lightGray"/>
        </w:rPr>
      </w:pPr>
      <w:r w:rsidRPr="00A70C70">
        <w:rPr>
          <w:color w:val="auto"/>
          <w:highlight w:val="lightGray"/>
        </w:rPr>
        <w:t>cooperações regionais em vigor;</w:t>
      </w:r>
    </w:p>
    <w:p w14:paraId="49C5F15A" w14:textId="77777777" w:rsidR="00DD1023" w:rsidRPr="00A70C70" w:rsidRDefault="00DD1023" w:rsidP="00DD1023">
      <w:pPr>
        <w:pStyle w:val="PargrafodaLista"/>
        <w:keepLines w:val="0"/>
        <w:numPr>
          <w:ilvl w:val="0"/>
          <w:numId w:val="43"/>
        </w:numPr>
        <w:tabs>
          <w:tab w:val="clear" w:pos="227"/>
          <w:tab w:val="clear" w:pos="709"/>
        </w:tabs>
        <w:spacing w:before="0" w:after="160" w:line="259" w:lineRule="auto"/>
        <w:contextualSpacing/>
        <w:rPr>
          <w:color w:val="auto"/>
          <w:highlight w:val="lightGray"/>
        </w:rPr>
      </w:pPr>
      <w:r w:rsidRPr="00A70C70">
        <w:rPr>
          <w:color w:val="auto"/>
          <w:highlight w:val="lightGray"/>
        </w:rPr>
        <w:t>lista de equipamentos; e</w:t>
      </w:r>
    </w:p>
    <w:p w14:paraId="49C8EB67" w14:textId="77777777" w:rsidR="00DD1023" w:rsidRPr="00A70C70" w:rsidRDefault="00DD1023" w:rsidP="00DD1023">
      <w:pPr>
        <w:pStyle w:val="PargrafodaLista"/>
        <w:keepLines w:val="0"/>
        <w:numPr>
          <w:ilvl w:val="0"/>
          <w:numId w:val="43"/>
        </w:numPr>
        <w:tabs>
          <w:tab w:val="clear" w:pos="227"/>
          <w:tab w:val="clear" w:pos="709"/>
        </w:tabs>
        <w:spacing w:before="0" w:after="160" w:line="259" w:lineRule="auto"/>
        <w:contextualSpacing/>
        <w:rPr>
          <w:color w:val="auto"/>
          <w:highlight w:val="lightGray"/>
        </w:rPr>
      </w:pPr>
      <w:r w:rsidRPr="00A70C70">
        <w:rPr>
          <w:color w:val="auto"/>
          <w:highlight w:val="lightGray"/>
        </w:rPr>
        <w:t>uma seção nomeada “Expectativas” onde são apresentadas informações de planos existentes, organização e coordenação de ações de resposta, entre outras.</w:t>
      </w:r>
    </w:p>
    <w:p w14:paraId="6387F792" w14:textId="0CBEC1F4" w:rsidR="0041115F" w:rsidRPr="00A70C70" w:rsidRDefault="00DD1023" w:rsidP="00DD1023">
      <w:pPr>
        <w:pStyle w:val="tier1Itext"/>
        <w:rPr>
          <w:highlight w:val="lightGray"/>
        </w:rPr>
      </w:pPr>
      <w:r w:rsidRPr="00A70C70">
        <w:rPr>
          <w:highlight w:val="lightGray"/>
        </w:rPr>
        <w:t>A título de exemplificação do modelo de perfil descrito, são apresentados também no Apêndice B, o corrente (datado de 2015) apresentado no site</w:t>
      </w:r>
      <w:r w:rsidRPr="00A70C70">
        <w:rPr>
          <w:rStyle w:val="Refdenotaderodap"/>
          <w:highlight w:val="lightGray"/>
        </w:rPr>
        <w:footnoteReference w:id="18"/>
      </w:r>
      <w:r w:rsidRPr="00A70C70">
        <w:rPr>
          <w:highlight w:val="lightGray"/>
        </w:rPr>
        <w:t xml:space="preserve"> para a França, país gestor do POLMAR-MER, plano para respostas a vazamentos de óleos ou outros produtos perigosos na região das Antilhas Francesas (ilhas de Guadalupe, Martinica, Saint Martin e Saint Barthelemy), que engloba as águas da Guiana Francesa; e o anteriormente disponibilizado no site, datado de 2009, específico para a Guiana Francesa, que dentre as informações elencadas, destaca mais claramente a estratégia nacional de resposta, considerando as várias técnicas diferentes, indicando aquelas que são autorizadas e as que não são.  Vale destacar que nas seções 5.7 (Acordos com Organizações para Resposta) e 7.1 (Acordos Bilaterais ou Multilaterais para Cooperação Regional), a OSRL é a citada.</w:t>
      </w:r>
    </w:p>
    <w:p w14:paraId="0D236B29" w14:textId="6F5B937C" w:rsidR="00DD1023" w:rsidRPr="00A70C70" w:rsidRDefault="00DC6B16" w:rsidP="00DD1023">
      <w:pPr>
        <w:pStyle w:val="tier1Itext"/>
        <w:rPr>
          <w:highlight w:val="lightGray"/>
        </w:rPr>
      </w:pPr>
      <w:r w:rsidRPr="00A70C70">
        <w:rPr>
          <w:highlight w:val="lightGray"/>
        </w:rPr>
        <w:t>Diretrizes para Ações e Comunicações:</w:t>
      </w:r>
    </w:p>
    <w:p w14:paraId="1A1E8D77" w14:textId="0D973D69" w:rsidR="0041115F" w:rsidRPr="00A70C70" w:rsidRDefault="00C05671" w:rsidP="00C05671">
      <w:pPr>
        <w:pStyle w:val="tier1Itext"/>
        <w:numPr>
          <w:ilvl w:val="0"/>
          <w:numId w:val="37"/>
        </w:numPr>
        <w:rPr>
          <w:highlight w:val="lightGray"/>
        </w:rPr>
      </w:pPr>
      <w:r w:rsidRPr="00A70C70">
        <w:rPr>
          <w:highlight w:val="lightGray"/>
        </w:rPr>
        <w:lastRenderedPageBreak/>
        <w:t>Quando n</w:t>
      </w:r>
      <w:r w:rsidR="0078308B" w:rsidRPr="00A70C70">
        <w:rPr>
          <w:highlight w:val="lightGray"/>
        </w:rPr>
        <w:t xml:space="preserve">a fase de avaliação do potencial do </w:t>
      </w:r>
      <w:r w:rsidRPr="00A70C70">
        <w:rPr>
          <w:highlight w:val="lightGray"/>
        </w:rPr>
        <w:t xml:space="preserve">impacto do incidente houver a indicação que a deriva da mancha ultrapassará os limites das águas nacionais brasileiras, a modelagem deverá ser consultada para verificação de potencial </w:t>
      </w:r>
      <w:r w:rsidR="00771DBB" w:rsidRPr="00A70C70">
        <w:rPr>
          <w:highlight w:val="lightGray"/>
        </w:rPr>
        <w:t>destinação</w:t>
      </w:r>
      <w:r w:rsidRPr="00A70C70">
        <w:rPr>
          <w:highlight w:val="lightGray"/>
        </w:rPr>
        <w:t xml:space="preserve"> e estimativa de tempo de chegada em águas nacionais de algum país da região;</w:t>
      </w:r>
    </w:p>
    <w:p w14:paraId="1216FB0D" w14:textId="4137B41C" w:rsidR="00C05671" w:rsidRPr="00A70C70" w:rsidRDefault="00C05671" w:rsidP="00C05671">
      <w:pPr>
        <w:pStyle w:val="tier1Itext"/>
        <w:numPr>
          <w:ilvl w:val="0"/>
          <w:numId w:val="37"/>
        </w:numPr>
        <w:rPr>
          <w:highlight w:val="lightGray"/>
        </w:rPr>
      </w:pPr>
      <w:r w:rsidRPr="00A70C70">
        <w:rPr>
          <w:highlight w:val="lightGray"/>
        </w:rPr>
        <w:t xml:space="preserve">Esta informação deverá ser passada na comunicação do incidente protocolar às autoridades brasileiras ou em mensagem complementar a estas mesmas autoridades </w:t>
      </w:r>
      <w:r w:rsidR="00D23359" w:rsidRPr="00A70C70">
        <w:rPr>
          <w:highlight w:val="lightGray"/>
        </w:rPr>
        <w:t>e</w:t>
      </w:r>
      <w:r w:rsidRPr="00A70C70">
        <w:rPr>
          <w:highlight w:val="lightGray"/>
        </w:rPr>
        <w:t xml:space="preserve"> ao representante do </w:t>
      </w:r>
      <w:r w:rsidR="00D23359" w:rsidRPr="00A70C70">
        <w:rPr>
          <w:highlight w:val="lightGray"/>
        </w:rPr>
        <w:t>GAA, se já designado</w:t>
      </w:r>
      <w:r w:rsidR="00B843D2" w:rsidRPr="00A70C70">
        <w:rPr>
          <w:highlight w:val="lightGray"/>
        </w:rPr>
        <w:t>. Espera-se que, por ser classificado como incidente de significância nacional (pelo atendimento ao inciso VII do Art 17º do Decreto 8.127/13), haja a ativação do Ministério de Relações Exteriores no Comitê de Suporte</w:t>
      </w:r>
      <w:r w:rsidR="00D23359" w:rsidRPr="00A70C70">
        <w:rPr>
          <w:highlight w:val="lightGray"/>
        </w:rPr>
        <w:t>;</w:t>
      </w:r>
    </w:p>
    <w:p w14:paraId="20D29625" w14:textId="257CCA21" w:rsidR="00C05671" w:rsidRPr="00A70C70" w:rsidRDefault="00C05671" w:rsidP="00C05671">
      <w:pPr>
        <w:pStyle w:val="tier1Itext"/>
        <w:numPr>
          <w:ilvl w:val="0"/>
          <w:numId w:val="37"/>
        </w:numPr>
        <w:rPr>
          <w:highlight w:val="lightGray"/>
        </w:rPr>
      </w:pPr>
      <w:r w:rsidRPr="00A70C70">
        <w:rPr>
          <w:highlight w:val="lightGray"/>
        </w:rPr>
        <w:t>O LIO (IMT) ou o Conselheiro de C&amp;EA</w:t>
      </w:r>
      <w:r w:rsidR="00D23359" w:rsidRPr="00A70C70">
        <w:rPr>
          <w:rStyle w:val="Refdenotaderodap"/>
          <w:highlight w:val="lightGray"/>
        </w:rPr>
        <w:footnoteReference w:id="19"/>
      </w:r>
      <w:r w:rsidRPr="00A70C70">
        <w:rPr>
          <w:highlight w:val="lightGray"/>
        </w:rPr>
        <w:t xml:space="preserve"> (</w:t>
      </w:r>
      <w:r w:rsidR="00D23359" w:rsidRPr="00A70C70">
        <w:rPr>
          <w:highlight w:val="lightGray"/>
        </w:rPr>
        <w:t>BST</w:t>
      </w:r>
      <w:r w:rsidRPr="00A70C70">
        <w:rPr>
          <w:highlight w:val="lightGray"/>
        </w:rPr>
        <w:t>) da BP</w:t>
      </w:r>
      <w:r w:rsidR="00771DBB" w:rsidRPr="00A70C70">
        <w:rPr>
          <w:highlight w:val="lightGray"/>
        </w:rPr>
        <w:t xml:space="preserve"> Energy</w:t>
      </w:r>
      <w:r w:rsidRPr="00A70C70">
        <w:rPr>
          <w:highlight w:val="lightGray"/>
        </w:rPr>
        <w:t xml:space="preserve"> entrará em contato com representante </w:t>
      </w:r>
      <w:r w:rsidR="00B843D2" w:rsidRPr="00A70C70">
        <w:rPr>
          <w:highlight w:val="lightGray"/>
        </w:rPr>
        <w:t xml:space="preserve">a ser designado </w:t>
      </w:r>
      <w:r w:rsidRPr="00A70C70">
        <w:rPr>
          <w:highlight w:val="lightGray"/>
        </w:rPr>
        <w:t>do Ministério de Relações Exteriores</w:t>
      </w:r>
      <w:r w:rsidR="00D23359" w:rsidRPr="00A70C70">
        <w:rPr>
          <w:highlight w:val="lightGray"/>
        </w:rPr>
        <w:t xml:space="preserve"> (MRE)</w:t>
      </w:r>
      <w:r w:rsidRPr="00A70C70">
        <w:rPr>
          <w:highlight w:val="lightGray"/>
        </w:rPr>
        <w:t xml:space="preserve"> para estabelecer canal de comunicação direta e definir os protocolos </w:t>
      </w:r>
      <w:r w:rsidR="00D23359" w:rsidRPr="00A70C70">
        <w:rPr>
          <w:highlight w:val="lightGray"/>
        </w:rPr>
        <w:t xml:space="preserve">a serem adotados </w:t>
      </w:r>
      <w:r w:rsidRPr="00A70C70">
        <w:rPr>
          <w:highlight w:val="lightGray"/>
        </w:rPr>
        <w:t>para contat</w:t>
      </w:r>
      <w:r w:rsidR="00D23359" w:rsidRPr="00A70C70">
        <w:rPr>
          <w:highlight w:val="lightGray"/>
        </w:rPr>
        <w:t>o com o(s) potencial(ais) país(es) a ser(em) impactado(s). No caso de insucesso n</w:t>
      </w:r>
      <w:r w:rsidR="00771DBB" w:rsidRPr="00A70C70">
        <w:rPr>
          <w:highlight w:val="lightGray"/>
        </w:rPr>
        <w:t>est</w:t>
      </w:r>
      <w:r w:rsidR="00D23359" w:rsidRPr="00A70C70">
        <w:rPr>
          <w:highlight w:val="lightGray"/>
        </w:rPr>
        <w:t>a conexão com o MRE, a BP Energy procederá com sua estratégia de comunicação, mantendo os representantes do Governo Brasileiro</w:t>
      </w:r>
      <w:r w:rsidR="00463AB3" w:rsidRPr="00A70C70">
        <w:rPr>
          <w:highlight w:val="lightGray"/>
        </w:rPr>
        <w:t xml:space="preserve"> (incluindo os membros do GAA, caso já constituído) </w:t>
      </w:r>
      <w:r w:rsidR="00D23359" w:rsidRPr="00A70C70">
        <w:rPr>
          <w:highlight w:val="lightGray"/>
        </w:rPr>
        <w:t xml:space="preserve"> informados</w:t>
      </w:r>
      <w:r w:rsidR="00771DBB" w:rsidRPr="00A70C70">
        <w:rPr>
          <w:highlight w:val="lightGray"/>
        </w:rPr>
        <w:t>,</w:t>
      </w:r>
      <w:r w:rsidR="00D23359" w:rsidRPr="00A70C70">
        <w:rPr>
          <w:highlight w:val="lightGray"/>
        </w:rPr>
        <w:t xml:space="preserve"> através de cópia </w:t>
      </w:r>
      <w:r w:rsidR="008F262A" w:rsidRPr="00A70C70">
        <w:rPr>
          <w:highlight w:val="lightGray"/>
        </w:rPr>
        <w:t xml:space="preserve">em todas </w:t>
      </w:r>
      <w:r w:rsidR="00D23359" w:rsidRPr="00A70C70">
        <w:rPr>
          <w:highlight w:val="lightGray"/>
        </w:rPr>
        <w:t>as comunicações realizadas;</w:t>
      </w:r>
    </w:p>
    <w:p w14:paraId="3AB68222" w14:textId="633DF60B" w:rsidR="00311084" w:rsidRPr="00A70C70" w:rsidRDefault="00D23359" w:rsidP="00DD1023">
      <w:pPr>
        <w:pStyle w:val="tier1Itext"/>
        <w:numPr>
          <w:ilvl w:val="0"/>
          <w:numId w:val="37"/>
        </w:numPr>
        <w:rPr>
          <w:highlight w:val="lightGray"/>
        </w:rPr>
      </w:pPr>
      <w:r w:rsidRPr="00A70C70">
        <w:rPr>
          <w:highlight w:val="lightGray"/>
        </w:rPr>
        <w:t>A BP ativará a prontidão da OSRL</w:t>
      </w:r>
      <w:r w:rsidR="00463AB3" w:rsidRPr="00A70C70">
        <w:rPr>
          <w:highlight w:val="lightGray"/>
        </w:rPr>
        <w:t xml:space="preserve"> e </w:t>
      </w:r>
      <w:r w:rsidRPr="00A70C70">
        <w:rPr>
          <w:highlight w:val="lightGray"/>
        </w:rPr>
        <w:t>usará os contatos listados</w:t>
      </w:r>
      <w:r w:rsidR="00463AB3" w:rsidRPr="00A70C70">
        <w:rPr>
          <w:highlight w:val="lightGray"/>
          <w:vertAlign w:val="superscript"/>
        </w:rPr>
        <w:footnoteReference w:id="20"/>
      </w:r>
      <w:r w:rsidRPr="00A70C70">
        <w:rPr>
          <w:highlight w:val="lightGray"/>
        </w:rPr>
        <w:t xml:space="preserve"> na tabela a</w:t>
      </w:r>
      <w:r w:rsidR="00463AB3" w:rsidRPr="00A70C70">
        <w:rPr>
          <w:highlight w:val="lightGray"/>
        </w:rPr>
        <w:t xml:space="preserve">presentada </w:t>
      </w:r>
      <w:r w:rsidR="00771DBB" w:rsidRPr="00A70C70">
        <w:rPr>
          <w:highlight w:val="lightGray"/>
        </w:rPr>
        <w:t>no Apêndice B</w:t>
      </w:r>
      <w:r w:rsidR="00463AB3" w:rsidRPr="00A70C70">
        <w:rPr>
          <w:highlight w:val="lightGray"/>
        </w:rPr>
        <w:t>. Ressalta-se que as informações desta tabela serão verificadas e, se necessário, atualizadas antes da realização da APO e</w:t>
      </w:r>
      <w:r w:rsidR="008F262A" w:rsidRPr="00A70C70">
        <w:rPr>
          <w:highlight w:val="lightGray"/>
        </w:rPr>
        <w:t>,</w:t>
      </w:r>
      <w:r w:rsidR="00463AB3" w:rsidRPr="00A70C70">
        <w:rPr>
          <w:highlight w:val="lightGray"/>
        </w:rPr>
        <w:t xml:space="preserve"> novamente</w:t>
      </w:r>
      <w:r w:rsidR="008F262A" w:rsidRPr="00A70C70">
        <w:rPr>
          <w:highlight w:val="lightGray"/>
        </w:rPr>
        <w:t>,</w:t>
      </w:r>
      <w:r w:rsidR="00463AB3" w:rsidRPr="00A70C70">
        <w:rPr>
          <w:highlight w:val="lightGray"/>
        </w:rPr>
        <w:t xml:space="preserve"> antes da entrada na camada objetivo do </w:t>
      </w:r>
      <w:r w:rsidR="00B843D2" w:rsidRPr="00A70C70">
        <w:rPr>
          <w:highlight w:val="lightGray"/>
        </w:rPr>
        <w:t>prospecto</w:t>
      </w:r>
      <w:r w:rsidR="00463AB3" w:rsidRPr="00A70C70">
        <w:rPr>
          <w:highlight w:val="lightGray"/>
        </w:rPr>
        <w:t xml:space="preserve"> de perfuração, sendo também validadas com a OSRL</w:t>
      </w:r>
      <w:r w:rsidR="00311084" w:rsidRPr="00A70C70">
        <w:rPr>
          <w:highlight w:val="lightGray"/>
        </w:rPr>
        <w:t xml:space="preserve">, segundo a seguinte programação: </w:t>
      </w:r>
    </w:p>
    <w:p w14:paraId="06AB31D0" w14:textId="77777777" w:rsidR="00311084" w:rsidRPr="00A70C70" w:rsidRDefault="00311084" w:rsidP="00DD1023">
      <w:pPr>
        <w:pStyle w:val="tier1Itext"/>
        <w:numPr>
          <w:ilvl w:val="1"/>
          <w:numId w:val="37"/>
        </w:numPr>
        <w:rPr>
          <w:highlight w:val="lightGray"/>
        </w:rPr>
      </w:pPr>
      <w:r w:rsidRPr="00A70C70">
        <w:rPr>
          <w:highlight w:val="lightGray"/>
        </w:rPr>
        <w:t>Dez (10) dias antes do início da perfuração: obter do site do REMPEITC as informações do perfil para a Guiana Francesa (primeiro país na potencial trajetória)  e validar os contatos através de engajamento com as agências e autoridades indicadas, juntamente com o apoio da OSRL e, se necessário, da ARPEL;</w:t>
      </w:r>
    </w:p>
    <w:p w14:paraId="70A2BBC5" w14:textId="77777777" w:rsidR="00311084" w:rsidRPr="00B8011A" w:rsidRDefault="00311084" w:rsidP="00DD1023">
      <w:pPr>
        <w:pStyle w:val="tier1Itext"/>
        <w:numPr>
          <w:ilvl w:val="1"/>
          <w:numId w:val="37"/>
        </w:numPr>
        <w:rPr>
          <w:highlight w:val="lightGray"/>
        </w:rPr>
      </w:pPr>
      <w:r w:rsidRPr="00B8011A">
        <w:rPr>
          <w:highlight w:val="lightGray"/>
        </w:rPr>
        <w:lastRenderedPageBreak/>
        <w:t>Cinco (5) dias antes da entrada na camada esperada portadora de hidrocarbonetos: revalidar as informações já adquiridas para o perfil da Guiana Francesa, seguindo procedimento anteriormente feito; e</w:t>
      </w:r>
    </w:p>
    <w:p w14:paraId="2E0A7226" w14:textId="77777777" w:rsidR="00311084" w:rsidRPr="00B8011A" w:rsidRDefault="00311084" w:rsidP="00DD1023">
      <w:pPr>
        <w:pStyle w:val="tier1Itext"/>
        <w:numPr>
          <w:ilvl w:val="1"/>
          <w:numId w:val="37"/>
        </w:numPr>
        <w:rPr>
          <w:highlight w:val="lightGray"/>
        </w:rPr>
      </w:pPr>
      <w:r w:rsidRPr="00B8011A">
        <w:rPr>
          <w:highlight w:val="lightGray"/>
        </w:rPr>
        <w:t xml:space="preserve">No caso da ocorrência de um potencial cenário de vazamento com esta consequência:  ativação imediata da OSRL e engajamento com os contatos previamente validados para a Guiana Francesa. Caso a modelagem indique o potencial de interação da mancha derivada com águas de outros países, em função do tempo de deriva, haverá oportunidade de neste período, para que seus contatos sejam consultados, validados e feitos. </w:t>
      </w:r>
    </w:p>
    <w:p w14:paraId="130CB8E3" w14:textId="77777777" w:rsidR="0071188B" w:rsidRPr="00B8011A" w:rsidRDefault="00463AB3" w:rsidP="00C05671">
      <w:pPr>
        <w:pStyle w:val="tier1Itext"/>
        <w:numPr>
          <w:ilvl w:val="0"/>
          <w:numId w:val="37"/>
        </w:numPr>
        <w:rPr>
          <w:highlight w:val="lightGray"/>
        </w:rPr>
      </w:pPr>
      <w:r w:rsidRPr="00B8011A">
        <w:rPr>
          <w:highlight w:val="lightGray"/>
        </w:rPr>
        <w:t xml:space="preserve">Após </w:t>
      </w:r>
      <w:r w:rsidR="008F262A" w:rsidRPr="00B8011A">
        <w:rPr>
          <w:highlight w:val="lightGray"/>
        </w:rPr>
        <w:t xml:space="preserve">serem feitas </w:t>
      </w:r>
      <w:r w:rsidRPr="00B8011A">
        <w:rPr>
          <w:highlight w:val="lightGray"/>
        </w:rPr>
        <w:t>a</w:t>
      </w:r>
      <w:r w:rsidR="008F262A" w:rsidRPr="00B8011A">
        <w:rPr>
          <w:highlight w:val="lightGray"/>
        </w:rPr>
        <w:t>s</w:t>
      </w:r>
      <w:r w:rsidRPr="00B8011A">
        <w:rPr>
          <w:highlight w:val="lightGray"/>
        </w:rPr>
        <w:t xml:space="preserve"> comunicaç</w:t>
      </w:r>
      <w:r w:rsidR="008F262A" w:rsidRPr="00B8011A">
        <w:rPr>
          <w:highlight w:val="lightGray"/>
        </w:rPr>
        <w:t>ões iniciais</w:t>
      </w:r>
      <w:r w:rsidRPr="00B8011A">
        <w:rPr>
          <w:highlight w:val="lightGray"/>
        </w:rPr>
        <w:t>,</w:t>
      </w:r>
      <w:r w:rsidR="008F262A" w:rsidRPr="00B8011A">
        <w:rPr>
          <w:highlight w:val="lightGray"/>
        </w:rPr>
        <w:t xml:space="preserve"> a BP avaliará a melhor forma de prosseguimento na interação com este(s) país(es), segundo suas </w:t>
      </w:r>
      <w:r w:rsidR="00771DBB" w:rsidRPr="00B8011A">
        <w:rPr>
          <w:highlight w:val="lightGray"/>
        </w:rPr>
        <w:t>P</w:t>
      </w:r>
      <w:r w:rsidR="008F262A" w:rsidRPr="00B8011A">
        <w:rPr>
          <w:highlight w:val="lightGray"/>
        </w:rPr>
        <w:t>olíticas</w:t>
      </w:r>
      <w:r w:rsidR="00771DBB" w:rsidRPr="00B8011A">
        <w:rPr>
          <w:highlight w:val="lightGray"/>
        </w:rPr>
        <w:t xml:space="preserve"> Corporativas</w:t>
      </w:r>
      <w:r w:rsidR="008F262A" w:rsidRPr="00B8011A">
        <w:rPr>
          <w:highlight w:val="lightGray"/>
        </w:rPr>
        <w:t xml:space="preserve"> de Comunicação e </w:t>
      </w:r>
      <w:r w:rsidR="00771DBB" w:rsidRPr="00B8011A">
        <w:rPr>
          <w:highlight w:val="lightGray"/>
        </w:rPr>
        <w:t xml:space="preserve">de </w:t>
      </w:r>
      <w:r w:rsidR="008F262A" w:rsidRPr="00B8011A">
        <w:rPr>
          <w:highlight w:val="lightGray"/>
        </w:rPr>
        <w:t xml:space="preserve">Resposta à Emergência, reforçando o seu compromisso com a realização de todos os esforços necessários para </w:t>
      </w:r>
      <w:r w:rsidR="00DA2798" w:rsidRPr="00B8011A">
        <w:rPr>
          <w:highlight w:val="lightGray"/>
        </w:rPr>
        <w:t xml:space="preserve">que todas as ações que tenham que ser ativadas para o </w:t>
      </w:r>
      <w:r w:rsidR="008F262A" w:rsidRPr="00B8011A">
        <w:rPr>
          <w:highlight w:val="lightGray"/>
        </w:rPr>
        <w:t>retorno da situação à normalidade</w:t>
      </w:r>
      <w:r w:rsidR="00DA2798" w:rsidRPr="00B8011A">
        <w:rPr>
          <w:highlight w:val="lightGray"/>
        </w:rPr>
        <w:t xml:space="preserve"> sejam feitas</w:t>
      </w:r>
      <w:r w:rsidR="008F262A" w:rsidRPr="00B8011A">
        <w:rPr>
          <w:highlight w:val="lightGray"/>
        </w:rPr>
        <w:t xml:space="preserve">. Esta condução pelo Corporativo será completamente alinhada com a gestão </w:t>
      </w:r>
      <w:r w:rsidR="00DA2798" w:rsidRPr="00B8011A">
        <w:rPr>
          <w:highlight w:val="lightGray"/>
        </w:rPr>
        <w:t>da resposta no Brasil</w:t>
      </w:r>
      <w:r w:rsidR="008F262A" w:rsidRPr="00B8011A">
        <w:rPr>
          <w:highlight w:val="lightGray"/>
        </w:rPr>
        <w:t xml:space="preserve">, sendo o LIO ou o Conselheiro de C&amp;EA os pontos focais de informação às autoridades nacionais.  </w:t>
      </w:r>
    </w:p>
    <w:p w14:paraId="08DE924F" w14:textId="7D7CE11C" w:rsidR="00311084" w:rsidRPr="00B8011A" w:rsidRDefault="00DC6B16" w:rsidP="00DC6B16">
      <w:pPr>
        <w:pStyle w:val="tier1Itext"/>
        <w:rPr>
          <w:highlight w:val="lightGray"/>
        </w:rPr>
      </w:pPr>
      <w:r w:rsidRPr="00B8011A">
        <w:rPr>
          <w:highlight w:val="lightGray"/>
        </w:rPr>
        <w:t xml:space="preserve">Não menos importante, mas também parte desta estratégia é o engajamento com a ARPEL (Regional Association of Oil and Natural Gas Companies in Latin America and the Caribbean – “Associação Regional das Companhias de Óleo e Gás Natural da América Latina e Caribe”, tradução livre), que é o braço técnico do REMPEITC, e provê o suporte técnico em discussões e desenvolvimento de protocolos e regras, e no planejamento e aplicação de treinamento e exercícios. Apesar da BP não ser membro desta associação, ela tem acesso direto através do IBP (Instituto Brasileiro de Petróleo, Gás e Biocombustíveis) e da própria OSRL, que são listados como instituições parceiras da ARPEL. O profundo conhecimento e participação desta associação em assuntos desta temática na região do Caribe, a posiciona como articulador estratégico em casos que envolvam o movimento transfronteiriço de qualquer tipo de vazamento.  </w:t>
      </w:r>
    </w:p>
    <w:p w14:paraId="1332C22F" w14:textId="0B2C4200" w:rsidR="00DC6B16" w:rsidRPr="005976EA" w:rsidRDefault="00DC6B16" w:rsidP="00DC6B16">
      <w:pPr>
        <w:spacing w:after="160" w:line="259" w:lineRule="auto"/>
        <w:rPr>
          <w:rFonts w:asciiTheme="majorHAnsi" w:hAnsiTheme="majorHAnsi"/>
        </w:rPr>
      </w:pPr>
      <w:r w:rsidRPr="00B8011A">
        <w:rPr>
          <w:rFonts w:asciiTheme="majorHAnsi" w:hAnsiTheme="majorHAnsi"/>
          <w:highlight w:val="lightGray"/>
        </w:rPr>
        <w:t xml:space="preserve">A </w:t>
      </w:r>
      <w:r w:rsidRPr="00B8011A">
        <w:rPr>
          <w:rFonts w:asciiTheme="majorHAnsi" w:hAnsiTheme="majorHAnsi"/>
          <w:b/>
          <w:highlight w:val="lightGray"/>
        </w:rPr>
        <w:fldChar w:fldCharType="begin"/>
      </w:r>
      <w:r w:rsidRPr="00B8011A">
        <w:rPr>
          <w:rFonts w:asciiTheme="majorHAnsi" w:hAnsiTheme="majorHAnsi"/>
          <w:b/>
          <w:highlight w:val="lightGray"/>
        </w:rPr>
        <w:instrText xml:space="preserve"> REF _Ref502837629 \h  \* MERGEFORMAT </w:instrText>
      </w:r>
      <w:r w:rsidRPr="00B8011A">
        <w:rPr>
          <w:rFonts w:asciiTheme="majorHAnsi" w:hAnsiTheme="majorHAnsi"/>
          <w:b/>
          <w:highlight w:val="lightGray"/>
        </w:rPr>
      </w:r>
      <w:r w:rsidRPr="00B8011A">
        <w:rPr>
          <w:rFonts w:asciiTheme="majorHAnsi" w:hAnsiTheme="majorHAnsi"/>
          <w:b/>
          <w:highlight w:val="lightGray"/>
        </w:rPr>
        <w:fldChar w:fldCharType="separate"/>
      </w:r>
      <w:r w:rsidR="00CD1E9E" w:rsidRPr="00B8011A">
        <w:rPr>
          <w:rFonts w:asciiTheme="majorHAnsi" w:hAnsiTheme="majorHAnsi"/>
          <w:b/>
          <w:highlight w:val="lightGray"/>
        </w:rPr>
        <w:t>Tabela 14</w:t>
      </w:r>
      <w:r w:rsidRPr="00B8011A">
        <w:rPr>
          <w:rFonts w:asciiTheme="majorHAnsi" w:hAnsiTheme="majorHAnsi"/>
          <w:b/>
          <w:highlight w:val="lightGray"/>
        </w:rPr>
        <w:fldChar w:fldCharType="end"/>
      </w:r>
      <w:r w:rsidRPr="00B8011A">
        <w:rPr>
          <w:rFonts w:asciiTheme="majorHAnsi" w:hAnsiTheme="majorHAnsi"/>
          <w:highlight w:val="lightGray"/>
        </w:rPr>
        <w:t xml:space="preserve"> apresenta a lista de contatos das organizações competentes citadas, que poderão atuar/auxiliar na resposta no caso de deriva transfronteiriça.</w:t>
      </w:r>
    </w:p>
    <w:tbl>
      <w:tblPr>
        <w:tblStyle w:val="Tabelacomgrade"/>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ayout w:type="fixed"/>
        <w:tblLook w:val="04A0" w:firstRow="1" w:lastRow="0" w:firstColumn="1" w:lastColumn="0" w:noHBand="0" w:noVBand="1"/>
      </w:tblPr>
      <w:tblGrid>
        <w:gridCol w:w="1419"/>
        <w:gridCol w:w="1971"/>
        <w:gridCol w:w="2849"/>
        <w:gridCol w:w="2801"/>
      </w:tblGrid>
      <w:tr w:rsidR="00DC6B16" w:rsidRPr="009B3BB0" w14:paraId="2BE95020" w14:textId="77777777" w:rsidTr="00A50E67">
        <w:trPr>
          <w:cantSplit/>
          <w:trHeight w:val="283"/>
          <w:tblHeader/>
        </w:trPr>
        <w:tc>
          <w:tcPr>
            <w:tcW w:w="5000" w:type="pct"/>
            <w:gridSpan w:val="4"/>
            <w:vAlign w:val="center"/>
            <w:hideMark/>
          </w:tcPr>
          <w:p w14:paraId="1D504810" w14:textId="43B0A048" w:rsidR="00DC6B16" w:rsidRPr="008D4524" w:rsidRDefault="00DC6B16" w:rsidP="00A50E67">
            <w:pPr>
              <w:pStyle w:val="LegendaWOB"/>
              <w:jc w:val="left"/>
              <w:rPr>
                <w:color w:val="FFFFFF" w:themeColor="background1"/>
              </w:rPr>
            </w:pPr>
            <w:bookmarkStart w:id="122" w:name="_Ref502837629"/>
            <w:bookmarkStart w:id="123" w:name="_Toc527990489"/>
            <w:r w:rsidRPr="00B8011A">
              <w:rPr>
                <w:highlight w:val="lightGray"/>
              </w:rPr>
              <w:t xml:space="preserve">Tabela </w:t>
            </w:r>
            <w:r w:rsidR="00D80C93" w:rsidRPr="00B8011A">
              <w:rPr>
                <w:highlight w:val="lightGray"/>
              </w:rPr>
              <w:fldChar w:fldCharType="begin"/>
            </w:r>
            <w:r w:rsidR="00D80C93" w:rsidRPr="00B8011A">
              <w:rPr>
                <w:highlight w:val="lightGray"/>
              </w:rPr>
              <w:instrText xml:space="preserve"> SEQ Tabela \* ARABIC </w:instrText>
            </w:r>
            <w:r w:rsidR="00D80C93" w:rsidRPr="00B8011A">
              <w:rPr>
                <w:highlight w:val="lightGray"/>
              </w:rPr>
              <w:fldChar w:fldCharType="separate"/>
            </w:r>
            <w:r w:rsidR="00CD1E9E" w:rsidRPr="00B8011A">
              <w:rPr>
                <w:noProof/>
                <w:highlight w:val="lightGray"/>
              </w:rPr>
              <w:t>14</w:t>
            </w:r>
            <w:r w:rsidR="00D80C93" w:rsidRPr="00B8011A">
              <w:rPr>
                <w:noProof/>
                <w:highlight w:val="lightGray"/>
              </w:rPr>
              <w:fldChar w:fldCharType="end"/>
            </w:r>
            <w:bookmarkEnd w:id="122"/>
            <w:r w:rsidRPr="00B8011A">
              <w:rPr>
                <w:highlight w:val="lightGray"/>
              </w:rPr>
              <w:t>: Lista de contatos de organizações competentes citadas na resposta no caso de deriva transfronteiriça.</w:t>
            </w:r>
            <w:bookmarkEnd w:id="123"/>
          </w:p>
        </w:tc>
      </w:tr>
      <w:tr w:rsidR="00DC6B16" w:rsidRPr="00897878" w14:paraId="79A93DBA" w14:textId="77777777" w:rsidTr="005976EA">
        <w:trPr>
          <w:cantSplit/>
          <w:trHeight w:val="283"/>
          <w:tblHeader/>
        </w:trPr>
        <w:tc>
          <w:tcPr>
            <w:tcW w:w="785" w:type="pct"/>
            <w:shd w:val="clear" w:color="auto" w:fill="1F497D"/>
            <w:vAlign w:val="center"/>
            <w:hideMark/>
          </w:tcPr>
          <w:p w14:paraId="30B3ABF3" w14:textId="77777777" w:rsidR="00DC6B16" w:rsidRPr="00B8011A" w:rsidRDefault="00DC6B16" w:rsidP="00A50E67">
            <w:pPr>
              <w:jc w:val="center"/>
              <w:rPr>
                <w:rFonts w:asciiTheme="majorHAnsi" w:hAnsiTheme="majorHAnsi" w:cs="Times New Roman"/>
                <w:b/>
                <w:color w:val="FFFFFF" w:themeColor="background1"/>
                <w:sz w:val="20"/>
                <w:szCs w:val="20"/>
                <w:highlight w:val="darkGray"/>
              </w:rPr>
            </w:pPr>
            <w:r w:rsidRPr="00B8011A">
              <w:rPr>
                <w:rFonts w:asciiTheme="majorHAnsi" w:hAnsiTheme="majorHAnsi" w:cs="Times New Roman"/>
                <w:b/>
                <w:color w:val="FFFFFF" w:themeColor="background1"/>
                <w:sz w:val="20"/>
                <w:szCs w:val="20"/>
                <w:highlight w:val="darkGray"/>
              </w:rPr>
              <w:t>Organização</w:t>
            </w:r>
          </w:p>
        </w:tc>
        <w:tc>
          <w:tcPr>
            <w:tcW w:w="1090" w:type="pct"/>
            <w:shd w:val="clear" w:color="auto" w:fill="1F497D"/>
            <w:vAlign w:val="center"/>
            <w:hideMark/>
          </w:tcPr>
          <w:p w14:paraId="77D85853" w14:textId="77777777" w:rsidR="00DC6B16" w:rsidRPr="00B8011A" w:rsidRDefault="00DC6B16" w:rsidP="00A50E67">
            <w:pPr>
              <w:jc w:val="center"/>
              <w:rPr>
                <w:rFonts w:asciiTheme="majorHAnsi" w:hAnsiTheme="majorHAnsi" w:cs="Times New Roman"/>
                <w:b/>
                <w:color w:val="FFFFFF" w:themeColor="background1"/>
                <w:sz w:val="20"/>
                <w:szCs w:val="20"/>
                <w:highlight w:val="darkGray"/>
              </w:rPr>
            </w:pPr>
            <w:r w:rsidRPr="00B8011A">
              <w:rPr>
                <w:rFonts w:asciiTheme="majorHAnsi" w:hAnsiTheme="majorHAnsi" w:cs="Times New Roman"/>
                <w:b/>
                <w:color w:val="FFFFFF" w:themeColor="background1"/>
                <w:sz w:val="20"/>
                <w:szCs w:val="20"/>
                <w:highlight w:val="darkGray"/>
              </w:rPr>
              <w:t>Telefone</w:t>
            </w:r>
          </w:p>
        </w:tc>
        <w:tc>
          <w:tcPr>
            <w:tcW w:w="1576" w:type="pct"/>
            <w:shd w:val="clear" w:color="auto" w:fill="1F497D"/>
            <w:vAlign w:val="center"/>
            <w:hideMark/>
          </w:tcPr>
          <w:p w14:paraId="41C15A32" w14:textId="77777777" w:rsidR="00DC6B16" w:rsidRPr="00B8011A" w:rsidRDefault="00DC6B16" w:rsidP="00A50E67">
            <w:pPr>
              <w:jc w:val="center"/>
              <w:rPr>
                <w:rFonts w:asciiTheme="majorHAnsi" w:hAnsiTheme="majorHAnsi" w:cs="Times New Roman"/>
                <w:b/>
                <w:color w:val="FFFFFF" w:themeColor="background1"/>
                <w:sz w:val="20"/>
                <w:szCs w:val="20"/>
                <w:highlight w:val="darkGray"/>
              </w:rPr>
            </w:pPr>
            <w:r w:rsidRPr="00B8011A">
              <w:rPr>
                <w:rFonts w:asciiTheme="majorHAnsi" w:hAnsiTheme="majorHAnsi" w:cs="Times New Roman"/>
                <w:b/>
                <w:color w:val="FFFFFF" w:themeColor="background1"/>
                <w:sz w:val="20"/>
                <w:szCs w:val="20"/>
                <w:highlight w:val="darkGray"/>
              </w:rPr>
              <w:t>E-mail</w:t>
            </w:r>
          </w:p>
        </w:tc>
        <w:tc>
          <w:tcPr>
            <w:tcW w:w="1549" w:type="pct"/>
            <w:shd w:val="clear" w:color="auto" w:fill="1F497D"/>
            <w:vAlign w:val="center"/>
            <w:hideMark/>
          </w:tcPr>
          <w:p w14:paraId="31ADF553" w14:textId="77777777" w:rsidR="00DC6B16" w:rsidRPr="00B8011A" w:rsidRDefault="00DC6B16" w:rsidP="00A50E67">
            <w:pPr>
              <w:jc w:val="center"/>
              <w:rPr>
                <w:rFonts w:asciiTheme="majorHAnsi" w:hAnsiTheme="majorHAnsi" w:cs="Times New Roman"/>
                <w:b/>
                <w:color w:val="FFFFFF" w:themeColor="background1"/>
                <w:sz w:val="20"/>
                <w:szCs w:val="20"/>
                <w:highlight w:val="darkGray"/>
              </w:rPr>
            </w:pPr>
            <w:r w:rsidRPr="00B8011A">
              <w:rPr>
                <w:rFonts w:asciiTheme="majorHAnsi" w:hAnsiTheme="majorHAnsi" w:cs="Times New Roman"/>
                <w:b/>
                <w:color w:val="FFFFFF" w:themeColor="background1"/>
                <w:sz w:val="20"/>
                <w:szCs w:val="20"/>
                <w:highlight w:val="darkGray"/>
              </w:rPr>
              <w:t>Website</w:t>
            </w:r>
          </w:p>
        </w:tc>
      </w:tr>
      <w:tr w:rsidR="00DC6B16" w:rsidRPr="00897878" w14:paraId="6C467F94" w14:textId="77777777" w:rsidTr="005976EA">
        <w:trPr>
          <w:cantSplit/>
          <w:trHeight w:val="283"/>
        </w:trPr>
        <w:tc>
          <w:tcPr>
            <w:tcW w:w="785" w:type="pct"/>
            <w:shd w:val="clear" w:color="auto" w:fill="D9D9D9" w:themeFill="background1" w:themeFillShade="D9"/>
            <w:vAlign w:val="center"/>
            <w:hideMark/>
          </w:tcPr>
          <w:p w14:paraId="6CB1FAD5" w14:textId="77777777" w:rsidR="00DC6B16" w:rsidRPr="00B8011A" w:rsidRDefault="00DC6B16" w:rsidP="00A50E67">
            <w:pPr>
              <w:jc w:val="center"/>
              <w:rPr>
                <w:rFonts w:asciiTheme="majorHAnsi" w:hAnsiTheme="majorHAnsi" w:cs="Times New Roman"/>
                <w:b/>
                <w:color w:val="000000" w:themeColor="text1"/>
                <w:sz w:val="20"/>
                <w:szCs w:val="20"/>
                <w:highlight w:val="darkGray"/>
                <w:lang w:eastAsia="pt-BR"/>
              </w:rPr>
            </w:pPr>
            <w:r w:rsidRPr="00B8011A">
              <w:rPr>
                <w:rFonts w:asciiTheme="majorHAnsi" w:hAnsiTheme="majorHAnsi" w:cs="Times New Roman"/>
                <w:b/>
                <w:color w:val="000000" w:themeColor="text1"/>
                <w:sz w:val="20"/>
                <w:szCs w:val="20"/>
                <w:highlight w:val="darkGray"/>
                <w:lang w:eastAsia="pt-BR"/>
              </w:rPr>
              <w:t>ARPEL</w:t>
            </w:r>
          </w:p>
        </w:tc>
        <w:tc>
          <w:tcPr>
            <w:tcW w:w="1090" w:type="pct"/>
            <w:shd w:val="clear" w:color="auto" w:fill="D9D9D9" w:themeFill="background1" w:themeFillShade="D9"/>
            <w:vAlign w:val="center"/>
            <w:hideMark/>
          </w:tcPr>
          <w:p w14:paraId="02F0BDBC" w14:textId="77777777" w:rsidR="00DC6B16" w:rsidRPr="00B8011A" w:rsidRDefault="00DC6B16" w:rsidP="00A50E67">
            <w:pPr>
              <w:pStyle w:val="NormalWeb"/>
              <w:spacing w:before="0" w:beforeAutospacing="0" w:after="0" w:afterAutospacing="0"/>
              <w:jc w:val="center"/>
              <w:rPr>
                <w:rFonts w:asciiTheme="majorHAnsi" w:hAnsiTheme="majorHAnsi"/>
                <w:color w:val="000000" w:themeColor="text1"/>
                <w:sz w:val="20"/>
                <w:szCs w:val="20"/>
                <w:highlight w:val="darkGray"/>
              </w:rPr>
            </w:pPr>
            <w:r w:rsidRPr="00B8011A">
              <w:rPr>
                <w:rFonts w:asciiTheme="majorHAnsi" w:hAnsiTheme="majorHAnsi"/>
                <w:color w:val="000000" w:themeColor="text1"/>
                <w:sz w:val="20"/>
                <w:szCs w:val="20"/>
                <w:highlight w:val="darkGray"/>
              </w:rPr>
              <w:t>Telephone: (598) 2410 6993</w:t>
            </w:r>
          </w:p>
          <w:p w14:paraId="68AB8E9D" w14:textId="77777777" w:rsidR="00DC6B16" w:rsidRPr="00B8011A" w:rsidRDefault="00DC6B16" w:rsidP="00A50E67">
            <w:pPr>
              <w:pStyle w:val="NormalWeb"/>
              <w:spacing w:before="0" w:beforeAutospacing="0" w:after="0" w:afterAutospacing="0"/>
              <w:jc w:val="center"/>
              <w:rPr>
                <w:rFonts w:asciiTheme="majorHAnsi" w:hAnsiTheme="majorHAnsi"/>
                <w:color w:val="000000" w:themeColor="text1"/>
                <w:sz w:val="20"/>
                <w:szCs w:val="20"/>
                <w:highlight w:val="darkGray"/>
                <w:lang w:val="fr-FR"/>
              </w:rPr>
            </w:pPr>
            <w:r w:rsidRPr="00B8011A">
              <w:rPr>
                <w:rFonts w:asciiTheme="majorHAnsi" w:hAnsiTheme="majorHAnsi"/>
                <w:color w:val="000000" w:themeColor="text1"/>
                <w:sz w:val="20"/>
                <w:szCs w:val="20"/>
                <w:highlight w:val="darkGray"/>
              </w:rPr>
              <w:t>Fax: (598) 2410 9207</w:t>
            </w:r>
          </w:p>
        </w:tc>
        <w:tc>
          <w:tcPr>
            <w:tcW w:w="1576" w:type="pct"/>
            <w:shd w:val="clear" w:color="auto" w:fill="D9D9D9" w:themeFill="background1" w:themeFillShade="D9"/>
            <w:vAlign w:val="center"/>
            <w:hideMark/>
          </w:tcPr>
          <w:p w14:paraId="188B1B85" w14:textId="77777777" w:rsidR="00DC6B16" w:rsidRPr="00B8011A" w:rsidRDefault="009D286F" w:rsidP="00A50E67">
            <w:pPr>
              <w:jc w:val="center"/>
              <w:rPr>
                <w:rFonts w:asciiTheme="majorHAnsi" w:hAnsiTheme="majorHAnsi" w:cs="Times New Roman"/>
                <w:color w:val="000000" w:themeColor="text1"/>
                <w:sz w:val="20"/>
                <w:szCs w:val="20"/>
                <w:highlight w:val="darkGray"/>
              </w:rPr>
            </w:pPr>
            <w:hyperlink r:id="rId43" w:history="1">
              <w:r w:rsidR="00DC6B16" w:rsidRPr="00B8011A">
                <w:rPr>
                  <w:rStyle w:val="Hyperlink"/>
                  <w:rFonts w:asciiTheme="majorHAnsi" w:eastAsiaTheme="majorEastAsia" w:hAnsiTheme="majorHAnsi" w:cs="Times New Roman"/>
                  <w:sz w:val="20"/>
                  <w:szCs w:val="20"/>
                  <w:highlight w:val="darkGray"/>
                  <w:u w:val="none"/>
                </w:rPr>
                <w:t>info@arpel.org.uy</w:t>
              </w:r>
            </w:hyperlink>
            <w:r w:rsidR="00DC6B16" w:rsidRPr="00B8011A">
              <w:rPr>
                <w:rStyle w:val="st"/>
                <w:rFonts w:asciiTheme="majorHAnsi" w:hAnsiTheme="majorHAnsi" w:cs="Times New Roman"/>
                <w:sz w:val="20"/>
                <w:szCs w:val="20"/>
                <w:highlight w:val="darkGray"/>
              </w:rPr>
              <w:t xml:space="preserve"> </w:t>
            </w:r>
          </w:p>
        </w:tc>
        <w:tc>
          <w:tcPr>
            <w:tcW w:w="1549" w:type="pct"/>
            <w:shd w:val="clear" w:color="auto" w:fill="D9D9D9" w:themeFill="background1" w:themeFillShade="D9"/>
            <w:vAlign w:val="center"/>
            <w:hideMark/>
          </w:tcPr>
          <w:p w14:paraId="2BAB78D0" w14:textId="5B638283" w:rsidR="00DC6B16" w:rsidRPr="00B8011A" w:rsidRDefault="00DC6B16" w:rsidP="00A50E67">
            <w:pPr>
              <w:jc w:val="center"/>
              <w:rPr>
                <w:rFonts w:asciiTheme="majorHAnsi" w:hAnsiTheme="majorHAnsi" w:cs="Times New Roman"/>
                <w:color w:val="000000" w:themeColor="text1"/>
                <w:sz w:val="20"/>
                <w:szCs w:val="20"/>
                <w:highlight w:val="darkGray"/>
              </w:rPr>
            </w:pPr>
            <w:r w:rsidRPr="00B8011A">
              <w:rPr>
                <w:rStyle w:val="Hyperlink"/>
                <w:rFonts w:asciiTheme="majorHAnsi" w:eastAsiaTheme="majorEastAsia" w:hAnsiTheme="majorHAnsi" w:cs="Times New Roman"/>
                <w:color w:val="000000" w:themeColor="text1"/>
                <w:sz w:val="20"/>
                <w:szCs w:val="20"/>
                <w:highlight w:val="darkGray"/>
                <w:u w:val="none"/>
              </w:rPr>
              <w:t>http://</w:t>
            </w:r>
            <w:hyperlink r:id="rId44" w:history="1">
              <w:r w:rsidRPr="00B8011A">
                <w:rPr>
                  <w:rStyle w:val="Hyperlink"/>
                  <w:rFonts w:asciiTheme="majorHAnsi" w:eastAsiaTheme="majorEastAsia" w:hAnsiTheme="majorHAnsi" w:cs="Times New Roman"/>
                  <w:color w:val="000000" w:themeColor="text1"/>
                  <w:sz w:val="20"/>
                  <w:szCs w:val="20"/>
                  <w:highlight w:val="darkGray"/>
                  <w:u w:val="none"/>
                </w:rPr>
                <w:t>www.arpel.org</w:t>
              </w:r>
            </w:hyperlink>
            <w:r w:rsidR="005976EA" w:rsidRPr="00B8011A">
              <w:rPr>
                <w:rStyle w:val="Hyperlink"/>
                <w:rFonts w:asciiTheme="majorHAnsi" w:eastAsiaTheme="majorEastAsia" w:hAnsiTheme="majorHAnsi" w:cs="Times New Roman"/>
                <w:color w:val="000000" w:themeColor="text1"/>
                <w:sz w:val="20"/>
                <w:szCs w:val="20"/>
                <w:highlight w:val="darkGray"/>
                <w:u w:val="none"/>
              </w:rPr>
              <w:t xml:space="preserve"> </w:t>
            </w:r>
            <w:r w:rsidRPr="00B8011A">
              <w:rPr>
                <w:rStyle w:val="Hyperlink"/>
                <w:rFonts w:asciiTheme="majorHAnsi" w:eastAsiaTheme="majorEastAsia" w:hAnsiTheme="majorHAnsi" w:cs="Times New Roman"/>
                <w:color w:val="000000" w:themeColor="text1"/>
                <w:sz w:val="20"/>
                <w:szCs w:val="20"/>
                <w:highlight w:val="darkGray"/>
                <w:u w:val="none"/>
              </w:rPr>
              <w:t xml:space="preserve"> </w:t>
            </w:r>
          </w:p>
        </w:tc>
      </w:tr>
      <w:tr w:rsidR="00DC6B16" w:rsidRPr="00897878" w14:paraId="7B692D9C" w14:textId="77777777" w:rsidTr="005976EA">
        <w:trPr>
          <w:cantSplit/>
          <w:trHeight w:val="283"/>
        </w:trPr>
        <w:tc>
          <w:tcPr>
            <w:tcW w:w="785" w:type="pct"/>
            <w:vMerge w:val="restart"/>
            <w:shd w:val="clear" w:color="auto" w:fill="D9D9D9" w:themeFill="background1" w:themeFillShade="D9"/>
            <w:vAlign w:val="center"/>
            <w:hideMark/>
          </w:tcPr>
          <w:p w14:paraId="67993D8F" w14:textId="77777777" w:rsidR="00DC6B16" w:rsidRPr="00B8011A" w:rsidRDefault="00DC6B16" w:rsidP="00A50E67">
            <w:pPr>
              <w:jc w:val="center"/>
              <w:rPr>
                <w:rFonts w:asciiTheme="majorHAnsi" w:hAnsiTheme="majorHAnsi" w:cs="Times New Roman"/>
                <w:b/>
                <w:color w:val="000000" w:themeColor="text1"/>
                <w:sz w:val="20"/>
                <w:szCs w:val="20"/>
                <w:highlight w:val="darkGray"/>
                <w:lang w:eastAsia="pt-BR"/>
              </w:rPr>
            </w:pPr>
            <w:r w:rsidRPr="00B8011A">
              <w:rPr>
                <w:rFonts w:asciiTheme="majorHAnsi" w:hAnsiTheme="majorHAnsi" w:cs="Times New Roman"/>
                <w:b/>
                <w:color w:val="000000" w:themeColor="text1"/>
                <w:sz w:val="20"/>
                <w:szCs w:val="20"/>
                <w:highlight w:val="darkGray"/>
                <w:lang w:eastAsia="pt-BR"/>
              </w:rPr>
              <w:lastRenderedPageBreak/>
              <w:t>OSRL</w:t>
            </w:r>
          </w:p>
        </w:tc>
        <w:tc>
          <w:tcPr>
            <w:tcW w:w="1090" w:type="pct"/>
            <w:shd w:val="clear" w:color="auto" w:fill="D9D9D9" w:themeFill="background1" w:themeFillShade="D9"/>
            <w:vAlign w:val="center"/>
            <w:hideMark/>
          </w:tcPr>
          <w:p w14:paraId="008BB483" w14:textId="77777777" w:rsidR="005976EA" w:rsidRPr="00B8011A" w:rsidRDefault="00DC6B16" w:rsidP="005976EA">
            <w:pPr>
              <w:spacing w:before="0" w:line="240" w:lineRule="auto"/>
              <w:jc w:val="center"/>
              <w:rPr>
                <w:rFonts w:asciiTheme="majorHAnsi" w:hAnsiTheme="majorHAnsi" w:cs="Times New Roman"/>
                <w:color w:val="000000" w:themeColor="text1"/>
                <w:sz w:val="20"/>
                <w:szCs w:val="20"/>
                <w:highlight w:val="darkGray"/>
              </w:rPr>
            </w:pPr>
            <w:r w:rsidRPr="00B8011A">
              <w:rPr>
                <w:rFonts w:asciiTheme="majorHAnsi" w:hAnsiTheme="majorHAnsi" w:cs="Times New Roman"/>
                <w:color w:val="000000" w:themeColor="text1"/>
                <w:sz w:val="20"/>
                <w:szCs w:val="20"/>
                <w:highlight w:val="darkGray"/>
              </w:rPr>
              <w:t xml:space="preserve">+44 (0)23 </w:t>
            </w:r>
          </w:p>
          <w:p w14:paraId="7CDB8D42" w14:textId="1392C491" w:rsidR="00DC6B16" w:rsidRPr="00B8011A" w:rsidRDefault="00DC6B16" w:rsidP="005976EA">
            <w:pPr>
              <w:spacing w:before="0" w:line="240" w:lineRule="auto"/>
              <w:jc w:val="center"/>
              <w:rPr>
                <w:rFonts w:asciiTheme="majorHAnsi" w:hAnsiTheme="majorHAnsi" w:cs="Times New Roman"/>
                <w:color w:val="000000" w:themeColor="text1"/>
                <w:sz w:val="20"/>
                <w:szCs w:val="20"/>
                <w:highlight w:val="darkGray"/>
              </w:rPr>
            </w:pPr>
            <w:r w:rsidRPr="00B8011A">
              <w:rPr>
                <w:rFonts w:asciiTheme="majorHAnsi" w:hAnsiTheme="majorHAnsi" w:cs="Times New Roman"/>
                <w:color w:val="000000" w:themeColor="text1"/>
                <w:sz w:val="20"/>
                <w:szCs w:val="20"/>
                <w:highlight w:val="darkGray"/>
              </w:rPr>
              <w:t>8033 1551</w:t>
            </w:r>
          </w:p>
          <w:p w14:paraId="21A9FFB6" w14:textId="77777777" w:rsidR="005976EA" w:rsidRPr="00B8011A" w:rsidRDefault="00DC6B16" w:rsidP="005976EA">
            <w:pPr>
              <w:spacing w:before="0" w:line="240" w:lineRule="auto"/>
              <w:jc w:val="center"/>
              <w:rPr>
                <w:rFonts w:asciiTheme="majorHAnsi" w:hAnsiTheme="majorHAnsi" w:cs="Times New Roman"/>
                <w:color w:val="000000" w:themeColor="text1"/>
                <w:sz w:val="20"/>
                <w:szCs w:val="20"/>
                <w:highlight w:val="darkGray"/>
              </w:rPr>
            </w:pPr>
            <w:r w:rsidRPr="00B8011A">
              <w:rPr>
                <w:rFonts w:asciiTheme="majorHAnsi" w:hAnsiTheme="majorHAnsi" w:cs="Times New Roman"/>
                <w:color w:val="000000" w:themeColor="text1"/>
                <w:sz w:val="20"/>
                <w:szCs w:val="20"/>
                <w:highlight w:val="darkGray"/>
              </w:rPr>
              <w:t xml:space="preserve">+44 (0)23 </w:t>
            </w:r>
          </w:p>
          <w:p w14:paraId="0DC715EA" w14:textId="0A98C429" w:rsidR="00DC6B16" w:rsidRPr="00B8011A" w:rsidRDefault="00DC6B16" w:rsidP="005976EA">
            <w:pPr>
              <w:spacing w:before="0" w:line="240" w:lineRule="auto"/>
              <w:jc w:val="center"/>
              <w:rPr>
                <w:rFonts w:asciiTheme="majorHAnsi" w:hAnsiTheme="majorHAnsi" w:cs="Times New Roman"/>
                <w:color w:val="000000" w:themeColor="text1"/>
                <w:sz w:val="20"/>
                <w:szCs w:val="20"/>
                <w:highlight w:val="darkGray"/>
                <w:lang w:val="fr-FR"/>
              </w:rPr>
            </w:pPr>
            <w:r w:rsidRPr="00B8011A">
              <w:rPr>
                <w:rFonts w:asciiTheme="majorHAnsi" w:hAnsiTheme="majorHAnsi" w:cs="Times New Roman"/>
                <w:color w:val="000000" w:themeColor="text1"/>
                <w:sz w:val="20"/>
                <w:szCs w:val="20"/>
                <w:highlight w:val="darkGray"/>
              </w:rPr>
              <w:t>8033 1972</w:t>
            </w:r>
          </w:p>
        </w:tc>
        <w:tc>
          <w:tcPr>
            <w:tcW w:w="1576" w:type="pct"/>
            <w:shd w:val="clear" w:color="auto" w:fill="D9D9D9" w:themeFill="background1" w:themeFillShade="D9"/>
            <w:vAlign w:val="center"/>
            <w:hideMark/>
          </w:tcPr>
          <w:p w14:paraId="29A06C14" w14:textId="77777777" w:rsidR="00DC6B16" w:rsidRPr="00B8011A" w:rsidRDefault="009D286F" w:rsidP="00A50E67">
            <w:pPr>
              <w:jc w:val="center"/>
              <w:rPr>
                <w:rFonts w:asciiTheme="majorHAnsi" w:hAnsiTheme="majorHAnsi" w:cs="Times New Roman"/>
                <w:color w:val="000000" w:themeColor="text1"/>
                <w:sz w:val="20"/>
                <w:szCs w:val="20"/>
                <w:highlight w:val="darkGray"/>
              </w:rPr>
            </w:pPr>
            <w:hyperlink r:id="rId45" w:history="1">
              <w:r w:rsidR="00DC6B16" w:rsidRPr="00B8011A">
                <w:rPr>
                  <w:rStyle w:val="Hyperlink"/>
                  <w:rFonts w:asciiTheme="majorHAnsi" w:hAnsiTheme="majorHAnsi" w:cs="Times New Roman"/>
                  <w:sz w:val="20"/>
                  <w:szCs w:val="20"/>
                  <w:highlight w:val="darkGray"/>
                  <w:u w:val="none"/>
                </w:rPr>
                <w:t>southampton@oilspillresponse.com</w:t>
              </w:r>
            </w:hyperlink>
          </w:p>
        </w:tc>
        <w:tc>
          <w:tcPr>
            <w:tcW w:w="1549" w:type="pct"/>
            <w:vMerge w:val="restart"/>
            <w:shd w:val="clear" w:color="auto" w:fill="D9D9D9" w:themeFill="background1" w:themeFillShade="D9"/>
            <w:vAlign w:val="center"/>
            <w:hideMark/>
          </w:tcPr>
          <w:p w14:paraId="0A5F0C57" w14:textId="77777777" w:rsidR="00DC6B16" w:rsidRPr="00B8011A" w:rsidRDefault="009D286F" w:rsidP="00A50E67">
            <w:pPr>
              <w:jc w:val="center"/>
              <w:rPr>
                <w:rFonts w:asciiTheme="majorHAnsi" w:hAnsiTheme="majorHAnsi" w:cs="Times New Roman"/>
                <w:color w:val="000000" w:themeColor="text1"/>
                <w:sz w:val="20"/>
                <w:szCs w:val="20"/>
                <w:highlight w:val="darkGray"/>
              </w:rPr>
            </w:pPr>
            <w:hyperlink r:id="rId46" w:history="1">
              <w:r w:rsidR="00DC6B16" w:rsidRPr="00B8011A">
                <w:rPr>
                  <w:rStyle w:val="Hyperlink"/>
                  <w:rFonts w:asciiTheme="majorHAnsi" w:hAnsiTheme="majorHAnsi" w:cs="Times New Roman"/>
                  <w:sz w:val="20"/>
                  <w:szCs w:val="20"/>
                  <w:highlight w:val="darkGray"/>
                  <w:u w:val="none"/>
                </w:rPr>
                <w:t>https://www.oilspillresponse.com</w:t>
              </w:r>
            </w:hyperlink>
          </w:p>
        </w:tc>
      </w:tr>
      <w:tr w:rsidR="00DC6B16" w:rsidRPr="00897878" w14:paraId="2AD2F58E" w14:textId="77777777" w:rsidTr="005976EA">
        <w:trPr>
          <w:cantSplit/>
          <w:trHeight w:val="283"/>
        </w:trPr>
        <w:tc>
          <w:tcPr>
            <w:tcW w:w="785" w:type="pct"/>
            <w:vMerge/>
            <w:vAlign w:val="center"/>
            <w:hideMark/>
          </w:tcPr>
          <w:p w14:paraId="0D07A8DE" w14:textId="77777777" w:rsidR="00DC6B16" w:rsidRPr="008D4524" w:rsidRDefault="00DC6B16" w:rsidP="00A50E67">
            <w:pPr>
              <w:rPr>
                <w:rFonts w:asciiTheme="majorHAnsi" w:hAnsiTheme="majorHAnsi" w:cs="Times New Roman"/>
                <w:b/>
                <w:color w:val="000000" w:themeColor="text1"/>
                <w:sz w:val="20"/>
                <w:szCs w:val="20"/>
                <w:lang w:eastAsia="pt-BR"/>
              </w:rPr>
            </w:pPr>
          </w:p>
        </w:tc>
        <w:tc>
          <w:tcPr>
            <w:tcW w:w="1090" w:type="pct"/>
            <w:shd w:val="clear" w:color="auto" w:fill="D9D9D9" w:themeFill="background1" w:themeFillShade="D9"/>
            <w:vAlign w:val="center"/>
            <w:hideMark/>
          </w:tcPr>
          <w:p w14:paraId="79E61567" w14:textId="77777777" w:rsidR="00DC6B16" w:rsidRPr="00B8011A" w:rsidRDefault="00DC6B16" w:rsidP="00A50E67">
            <w:pPr>
              <w:jc w:val="center"/>
              <w:rPr>
                <w:rFonts w:asciiTheme="majorHAnsi" w:hAnsiTheme="majorHAnsi" w:cs="Times New Roman"/>
                <w:color w:val="000000" w:themeColor="text1"/>
                <w:sz w:val="20"/>
                <w:szCs w:val="20"/>
                <w:highlight w:val="darkGray"/>
              </w:rPr>
            </w:pPr>
            <w:r w:rsidRPr="00B8011A">
              <w:rPr>
                <w:rFonts w:asciiTheme="majorHAnsi" w:hAnsiTheme="majorHAnsi" w:cs="Times New Roman"/>
                <w:color w:val="000000" w:themeColor="text1"/>
                <w:sz w:val="20"/>
                <w:szCs w:val="20"/>
                <w:highlight w:val="darkGray"/>
              </w:rPr>
              <w:t>+55 24 3421 5480</w:t>
            </w:r>
          </w:p>
        </w:tc>
        <w:tc>
          <w:tcPr>
            <w:tcW w:w="1576" w:type="pct"/>
            <w:shd w:val="clear" w:color="auto" w:fill="D9D9D9" w:themeFill="background1" w:themeFillShade="D9"/>
            <w:vAlign w:val="center"/>
            <w:hideMark/>
          </w:tcPr>
          <w:p w14:paraId="0ACFF892" w14:textId="77777777" w:rsidR="00DC6B16" w:rsidRPr="00B8011A" w:rsidRDefault="009D286F" w:rsidP="00A50E67">
            <w:pPr>
              <w:jc w:val="center"/>
              <w:rPr>
                <w:rFonts w:asciiTheme="majorHAnsi" w:hAnsiTheme="majorHAnsi" w:cs="Times New Roman"/>
                <w:color w:val="000000" w:themeColor="text1"/>
                <w:sz w:val="20"/>
                <w:szCs w:val="20"/>
                <w:highlight w:val="darkGray"/>
              </w:rPr>
            </w:pPr>
            <w:hyperlink r:id="rId47" w:history="1">
              <w:r w:rsidR="00DC6B16" w:rsidRPr="00B8011A">
                <w:rPr>
                  <w:rStyle w:val="Hyperlink"/>
                  <w:rFonts w:asciiTheme="majorHAnsi" w:hAnsiTheme="majorHAnsi" w:cs="Times New Roman"/>
                  <w:sz w:val="20"/>
                  <w:szCs w:val="20"/>
                  <w:highlight w:val="darkGray"/>
                  <w:u w:val="none"/>
                </w:rPr>
                <w:t>brazil@oilspillresponse.com</w:t>
              </w:r>
            </w:hyperlink>
          </w:p>
        </w:tc>
        <w:tc>
          <w:tcPr>
            <w:tcW w:w="1549" w:type="pct"/>
            <w:vMerge/>
            <w:vAlign w:val="center"/>
            <w:hideMark/>
          </w:tcPr>
          <w:p w14:paraId="677FBF18" w14:textId="77777777" w:rsidR="00DC6B16" w:rsidRPr="00897878" w:rsidRDefault="00DC6B16" w:rsidP="00A50E67">
            <w:pPr>
              <w:rPr>
                <w:rFonts w:asciiTheme="majorHAnsi" w:hAnsiTheme="majorHAnsi" w:cs="Times New Roman"/>
                <w:color w:val="000000" w:themeColor="text1"/>
                <w:sz w:val="20"/>
                <w:szCs w:val="20"/>
              </w:rPr>
            </w:pPr>
          </w:p>
        </w:tc>
      </w:tr>
    </w:tbl>
    <w:p w14:paraId="7A230965" w14:textId="77777777" w:rsidR="00DC6B16" w:rsidRDefault="00DC6B16" w:rsidP="00DC6B16">
      <w:pPr>
        <w:pStyle w:val="tier1Itext"/>
        <w:keepNext/>
        <w:spacing w:before="240"/>
        <w:rPr>
          <w:b/>
          <w:u w:val="single"/>
        </w:rPr>
      </w:pPr>
    </w:p>
    <w:p w14:paraId="577E4FE7" w14:textId="086E05E1" w:rsidR="00463AB3" w:rsidRPr="00B843D2" w:rsidRDefault="00463AB3" w:rsidP="0071188B">
      <w:pPr>
        <w:pStyle w:val="tier1Itext"/>
        <w:ind w:left="360"/>
      </w:pPr>
      <w:r w:rsidRPr="00B843D2">
        <w:t xml:space="preserve"> </w:t>
      </w:r>
    </w:p>
    <w:p w14:paraId="2A560264" w14:textId="77777777" w:rsidR="008300D5" w:rsidRPr="009E316F" w:rsidRDefault="008300D5" w:rsidP="009D01BE">
      <w:pPr>
        <w:pStyle w:val="Ttulo2"/>
        <w:rPr>
          <w:lang w:val="pt-BR"/>
        </w:rPr>
      </w:pPr>
      <w:bookmarkStart w:id="124" w:name="_Ref414612668"/>
      <w:bookmarkStart w:id="125" w:name="_Ref414612954"/>
      <w:bookmarkStart w:id="126" w:name="_Toc527990414"/>
      <w:r w:rsidRPr="009E316F">
        <w:rPr>
          <w:lang w:val="pt-BR"/>
        </w:rPr>
        <w:t>Procedimento para Gestão dos Recursos de Resposta</w:t>
      </w:r>
      <w:bookmarkEnd w:id="124"/>
      <w:bookmarkEnd w:id="125"/>
      <w:bookmarkEnd w:id="126"/>
    </w:p>
    <w:p w14:paraId="40A67D6F" w14:textId="77777777" w:rsidR="008300D5" w:rsidRPr="00AE3B8F" w:rsidRDefault="008300D5" w:rsidP="007F7381">
      <w:pPr>
        <w:pStyle w:val="tier1Itext"/>
        <w:keepNext/>
      </w:pPr>
      <w:r w:rsidRPr="007C0FC1">
        <w:t>Durante um incidente</w:t>
      </w:r>
      <w:r>
        <w:t xml:space="preserve">, é de suma importância que sejam estabelecidos procedimentos de gerenciamento </w:t>
      </w:r>
      <w:r w:rsidRPr="007A7508">
        <w:t>dos recursos de resposta</w:t>
      </w:r>
      <w:r>
        <w:t>,</w:t>
      </w:r>
      <w:r w:rsidRPr="007A7508">
        <w:t xml:space="preserve"> </w:t>
      </w:r>
      <w:r>
        <w:t>a fim de otimizar</w:t>
      </w:r>
      <w:r w:rsidRPr="005E3469">
        <w:t xml:space="preserve"> </w:t>
      </w:r>
      <w:r>
        <w:t>a utilização dos mesmos</w:t>
      </w:r>
      <w:r w:rsidRPr="005E3469">
        <w:t xml:space="preserve"> e </w:t>
      </w:r>
      <w:r w:rsidRPr="00AE3B8F">
        <w:t>aumentar a eficácia das operações.</w:t>
      </w:r>
    </w:p>
    <w:p w14:paraId="4E26F3A0" w14:textId="004088CC" w:rsidR="008300D5" w:rsidRDefault="008300D5" w:rsidP="007F7381">
      <w:pPr>
        <w:pStyle w:val="tier1Itext"/>
      </w:pPr>
      <w:r w:rsidRPr="00AE3B8F">
        <w:t>A BP</w:t>
      </w:r>
      <w:r>
        <w:t xml:space="preserve"> Energy</w:t>
      </w:r>
      <w:r w:rsidRPr="00AE3B8F">
        <w:t xml:space="preserve"> mant</w:t>
      </w:r>
      <w:r>
        <w:t>ém</w:t>
      </w:r>
      <w:r w:rsidRPr="00AE3B8F">
        <w:t xml:space="preserve"> um inventário de equipamentos de resposta dedicados e prontamente disponíveis para atender a qualquer acidente de derramamento de óleo proveniente de suas atividades. Adicionalmente, mediante a eventual ocorrência de incidentes de grande magnitude e complexidade, a </w:t>
      </w:r>
      <w:r>
        <w:t>empresa</w:t>
      </w:r>
      <w:r w:rsidRPr="00AE3B8F">
        <w:t xml:space="preserve"> poderá ainda obter recursos adicionais </w:t>
      </w:r>
      <w:r>
        <w:t>de OSROs, sob contrato no país, ou externos, da</w:t>
      </w:r>
      <w:r w:rsidRPr="00AE3B8F">
        <w:t xml:space="preserve"> </w:t>
      </w:r>
      <w:r w:rsidRPr="00AE3B8F">
        <w:rPr>
          <w:i/>
        </w:rPr>
        <w:t>Oil Spill Response Limited</w:t>
      </w:r>
      <w:r w:rsidRPr="00AE3B8F">
        <w:t xml:space="preserve"> (OSRL)</w:t>
      </w:r>
      <w:r w:rsidRPr="00AE3B8F">
        <w:rPr>
          <w:rStyle w:val="Refdenotaderodap"/>
        </w:rPr>
        <w:footnoteReference w:id="21"/>
      </w:r>
      <w:r>
        <w:t xml:space="preserve">, </w:t>
      </w:r>
      <w:r w:rsidR="007C0FC1">
        <w:t xml:space="preserve">através </w:t>
      </w:r>
      <w:r>
        <w:t>de contrato firmado globalmente com esta finalidade</w:t>
      </w:r>
      <w:r w:rsidRPr="00AE3B8F">
        <w:t>.</w:t>
      </w:r>
      <w:r>
        <w:t xml:space="preserve"> Conforme apresentado, a empresa</w:t>
      </w:r>
      <w:r w:rsidR="00772E14">
        <w:t xml:space="preserve"> </w:t>
      </w:r>
      <w:r w:rsidR="00772E14" w:rsidRPr="00B8011A">
        <w:rPr>
          <w:highlight w:val="lightGray"/>
        </w:rPr>
        <w:t>(BP)</w:t>
      </w:r>
      <w:r>
        <w:t xml:space="preserve"> deslocará parte dos recursos de seu inventário de resposta para a Base de Apoio de Belém, de forma a ter de maneira mais expedita acesso a eles, no caso de uma necessidade.</w:t>
      </w:r>
    </w:p>
    <w:p w14:paraId="4AF70A8F" w14:textId="005F44DD" w:rsidR="006E7026" w:rsidRDefault="009F2728" w:rsidP="007F7381">
      <w:pPr>
        <w:pStyle w:val="tier1Itext"/>
      </w:pPr>
      <w:r w:rsidRPr="00B8011A">
        <w:rPr>
          <w:highlight w:val="lightGray"/>
        </w:rPr>
        <w:t>Caso a deriva da mancha de um potencial vazamento chegue à águas nacionais de outros países na região do Caribe, a resposta, envolvendo ativação de recursos humanos e equipamentos, será coordenada pela OSRL (sob supervisão do time de resposta da BP), que além de disponibilizar estes recursos, possui o conhecimento sobre as autorizações necessárias para suas entradas, mobilizações e movimentações, bem como das técnicas autorizadas por cada país.</w:t>
      </w:r>
      <w:r w:rsidRPr="009C062F">
        <w:t xml:space="preserve"> </w:t>
      </w:r>
      <w:r w:rsidR="006E7026" w:rsidRPr="009C062F">
        <w:t xml:space="preserve"> </w:t>
      </w:r>
    </w:p>
    <w:p w14:paraId="2117FB12" w14:textId="6C6D92D7" w:rsidR="00BA7B2B" w:rsidRPr="00B8011A" w:rsidRDefault="00BA7B2B" w:rsidP="00BA7B2B">
      <w:pPr>
        <w:pStyle w:val="tier1Itext"/>
        <w:rPr>
          <w:highlight w:val="lightGray"/>
        </w:rPr>
      </w:pPr>
      <w:r w:rsidRPr="00B8011A">
        <w:rPr>
          <w:highlight w:val="lightGray"/>
        </w:rPr>
        <w:lastRenderedPageBreak/>
        <w:t xml:space="preserve">A consideração da estratégia de ativação da empresa OSRL foi tomada  principalmente pelo fato dela ser o braço operacional do “Regional Caribbean Island Oil Pollution Response and Cooperation Plan” (“Plano de Cooperação e Resposta a Vazamentos de Óleo na Região das Ilhas do Caribe”, [tradução livre]) que engloba países territoriais e insulares desta região do planeta. Ela possui contatos locais de acesso, autorizações para entrada de recursos humanos e materiais, bem como conhece fornecedores locais e procedimentos para atuação nestes países. </w:t>
      </w:r>
    </w:p>
    <w:p w14:paraId="3007AB0C" w14:textId="77777777" w:rsidR="00BA7B2B" w:rsidRPr="00BA7B2B" w:rsidRDefault="00BA7B2B" w:rsidP="00BA7B2B">
      <w:pPr>
        <w:pStyle w:val="tier1Itext"/>
      </w:pPr>
      <w:r w:rsidRPr="00B8011A">
        <w:rPr>
          <w:highlight w:val="lightGray"/>
        </w:rPr>
        <w:t>As informações sobre este Plano Regional estão concentradas na página</w:t>
      </w:r>
      <w:r w:rsidRPr="00B8011A">
        <w:rPr>
          <w:highlight w:val="lightGray"/>
          <w:vertAlign w:val="superscript"/>
        </w:rPr>
        <w:footnoteReference w:id="22"/>
      </w:r>
      <w:r w:rsidRPr="00B8011A">
        <w:rPr>
          <w:highlight w:val="lightGray"/>
        </w:rPr>
        <w:t xml:space="preserve"> do “Regional Marine Pollution, Emergency, Information and Training Center – Caribe (REMPEITC – “Centro Regional de Treinamento, Informação, Emergência e Poluição Marinha”, tradução livre), que em sua missão descreve o objetivo de prestação de assistência aos países do chamado “Wider Caribbean Region” (“Ampla Região do Caribe”, tradução livre) no desenvolvimento de capacitações nacionais e regionais na implementação de padrões adotados internacionalmente para prevenir, preparar e responder à incidentes (principalmente oriundos de sinistros com embarcações) que tenham potencial de trazer riscos ao ambiente marinho.</w:t>
      </w:r>
    </w:p>
    <w:p w14:paraId="435FDDB6" w14:textId="195253F4" w:rsidR="009F2728" w:rsidRDefault="00BA7B2B" w:rsidP="007F7381">
      <w:pPr>
        <w:pStyle w:val="tier1Itext"/>
      </w:pPr>
      <w:r w:rsidRPr="00B8011A">
        <w:rPr>
          <w:highlight w:val="lightGray"/>
        </w:rPr>
        <w:t>O</w:t>
      </w:r>
      <w:r w:rsidR="006E7026" w:rsidRPr="00B8011A">
        <w:rPr>
          <w:highlight w:val="lightGray"/>
        </w:rPr>
        <w:t xml:space="preserve">s recursos poderão ser providos a partir da base da OSRL em Fort Lauderdale (USA) ou de alguma outra base operacional em operação no momento da perfuração (Guiana, Trinidad &amp; Tobago).  É válido destacar que a OSRL </w:t>
      </w:r>
      <w:r w:rsidR="00DE50EE" w:rsidRPr="00B8011A">
        <w:rPr>
          <w:highlight w:val="lightGray"/>
        </w:rPr>
        <w:t xml:space="preserve">possui conhecimento específico dos países e tem apoiado </w:t>
      </w:r>
      <w:r w:rsidR="006E7026" w:rsidRPr="00B8011A">
        <w:rPr>
          <w:highlight w:val="lightGray"/>
        </w:rPr>
        <w:t>operaç</w:t>
      </w:r>
      <w:r w:rsidR="00DE50EE" w:rsidRPr="00B8011A">
        <w:rPr>
          <w:highlight w:val="lightGray"/>
        </w:rPr>
        <w:t>ões</w:t>
      </w:r>
      <w:r w:rsidR="006E7026" w:rsidRPr="00B8011A">
        <w:rPr>
          <w:highlight w:val="lightGray"/>
        </w:rPr>
        <w:t xml:space="preserve"> de perfuração exploratória </w:t>
      </w:r>
      <w:r w:rsidR="00DE50EE" w:rsidRPr="00B8011A">
        <w:rPr>
          <w:highlight w:val="lightGray"/>
        </w:rPr>
        <w:t xml:space="preserve">na região, como a </w:t>
      </w:r>
      <w:r w:rsidR="006E7026" w:rsidRPr="00B8011A">
        <w:rPr>
          <w:highlight w:val="lightGray"/>
        </w:rPr>
        <w:t xml:space="preserve">da Shell </w:t>
      </w:r>
      <w:r w:rsidR="00DE50EE" w:rsidRPr="00B8011A">
        <w:rPr>
          <w:highlight w:val="lightGray"/>
        </w:rPr>
        <w:t>(</w:t>
      </w:r>
      <w:r w:rsidR="006E7026" w:rsidRPr="00B8011A">
        <w:rPr>
          <w:highlight w:val="lightGray"/>
        </w:rPr>
        <w:t>feita em 2013 na Guiana Francesa</w:t>
      </w:r>
      <w:r w:rsidR="00DE50EE" w:rsidRPr="00B8011A">
        <w:rPr>
          <w:highlight w:val="lightGray"/>
        </w:rPr>
        <w:t>) e da EXXON (feita em 2017 na Guiana). Na Guiana Francesa, realizou um simulado de mobilização efetiva de recursos locais e do exterior, denominado MOBEX Cayenne 2013. Nele foram exercitados a familiarização com ambientes sensíveis e procedimentos e políticas governamentais, o planejamento de adequação da logística às infraestruturas locais  e regionais, e a expansão da capacidade de resposta no país com treinamento de respondedores locais</w:t>
      </w:r>
      <w:r w:rsidR="007F445E" w:rsidRPr="00B8011A">
        <w:rPr>
          <w:highlight w:val="lightGray"/>
        </w:rPr>
        <w:t xml:space="preserve">, </w:t>
      </w:r>
      <w:r w:rsidR="00DE50EE" w:rsidRPr="00B8011A">
        <w:rPr>
          <w:highlight w:val="lightGray"/>
        </w:rPr>
        <w:t>incluindo embarcações</w:t>
      </w:r>
      <w:r w:rsidR="007F445E" w:rsidRPr="00B8011A">
        <w:rPr>
          <w:highlight w:val="lightGray"/>
        </w:rPr>
        <w:t xml:space="preserve"> (Schuler, 2014</w:t>
      </w:r>
      <w:r w:rsidR="00DE50EE" w:rsidRPr="00B8011A">
        <w:rPr>
          <w:highlight w:val="lightGray"/>
        </w:rPr>
        <w:t>).</w:t>
      </w:r>
      <w:r w:rsidR="00DE50EE" w:rsidRPr="009C062F">
        <w:t xml:space="preserve"> </w:t>
      </w:r>
    </w:p>
    <w:p w14:paraId="3D202C4F" w14:textId="66F4AE08" w:rsidR="009C062F" w:rsidRPr="009C062F" w:rsidRDefault="009C062F" w:rsidP="007F7381">
      <w:pPr>
        <w:pStyle w:val="tier1Itext"/>
      </w:pPr>
      <w:r w:rsidRPr="00B8011A">
        <w:rPr>
          <w:highlight w:val="lightGray"/>
        </w:rPr>
        <w:t>Da mesma forma, no caso de deriva de um vazamento por águas caribenhas, a BP Energy pode se valer de ter operações em Trinidad &amp; Tobago, e ativar algum(ns) de seus recursos locais para dar suporte à resposta, também não sendo necessário o deslocamento de recursos no Brasil para a resposta na região. Assim, se benficiará dos trâmites facilitados no deslocamento de recursos entre os países d</w:t>
      </w:r>
      <w:r w:rsidR="00BA7B2B" w:rsidRPr="00B8011A">
        <w:rPr>
          <w:highlight w:val="lightGray"/>
        </w:rPr>
        <w:t>est</w:t>
      </w:r>
      <w:r w:rsidRPr="00B8011A">
        <w:rPr>
          <w:highlight w:val="lightGray"/>
        </w:rPr>
        <w:t>a região, garantidos pelo Tratado de Cartagena.</w:t>
      </w:r>
    </w:p>
    <w:p w14:paraId="475D14F8" w14:textId="218D6FE0" w:rsidR="008300D5" w:rsidRDefault="007F7381" w:rsidP="007F7381">
      <w:pPr>
        <w:pStyle w:val="tier1Itext"/>
      </w:pPr>
      <w:r>
        <w:lastRenderedPageBreak/>
        <w:t xml:space="preserve">O </w:t>
      </w:r>
      <w:r w:rsidRPr="005B3229">
        <w:rPr>
          <w:b/>
        </w:rPr>
        <w:t xml:space="preserve">APÊNDICE </w:t>
      </w:r>
      <w:r w:rsidR="0005212C" w:rsidRPr="005B3229">
        <w:rPr>
          <w:b/>
        </w:rPr>
        <w:t>F</w:t>
      </w:r>
      <w:r>
        <w:t xml:space="preserve"> </w:t>
      </w:r>
      <w:r w:rsidR="008300D5" w:rsidRPr="005E3469">
        <w:t xml:space="preserve">apresenta o inventário </w:t>
      </w:r>
      <w:r w:rsidR="008300D5">
        <w:t>dos</w:t>
      </w:r>
      <w:r w:rsidR="008300D5" w:rsidRPr="005E3469">
        <w:t xml:space="preserve"> recursos táticos e os respectivos tempos mínimos para disponibilidade </w:t>
      </w:r>
      <w:r w:rsidR="008300D5">
        <w:t xml:space="preserve">dos mesmos </w:t>
      </w:r>
      <w:r w:rsidR="008300D5" w:rsidRPr="005E3469">
        <w:t>no local da ocorrência do derramamento de óleo.</w:t>
      </w:r>
    </w:p>
    <w:p w14:paraId="4A099BE6" w14:textId="77777777" w:rsidR="006E7026" w:rsidRPr="005E3469" w:rsidRDefault="006E7026" w:rsidP="007F7381">
      <w:pPr>
        <w:pStyle w:val="tier1Itext"/>
      </w:pPr>
    </w:p>
    <w:p w14:paraId="58FA51BF" w14:textId="77777777" w:rsidR="008300D5" w:rsidRPr="005B3229" w:rsidRDefault="008300D5" w:rsidP="006F18B8">
      <w:pPr>
        <w:pStyle w:val="Ttulo3"/>
        <w:ind w:left="1224"/>
        <w:rPr>
          <w:lang w:val="pt-BR"/>
        </w:rPr>
      </w:pPr>
      <w:bookmarkStart w:id="127" w:name="_Ref414539175"/>
      <w:bookmarkStart w:id="128" w:name="_Toc527990415"/>
      <w:r w:rsidRPr="005B3229">
        <w:rPr>
          <w:lang w:val="pt-BR"/>
        </w:rPr>
        <w:t>Mobilização de recursos táticos e instalações</w:t>
      </w:r>
      <w:bookmarkEnd w:id="127"/>
      <w:bookmarkEnd w:id="128"/>
    </w:p>
    <w:p w14:paraId="161EFC8F" w14:textId="53298D24" w:rsidR="008300D5" w:rsidRPr="002D2F32" w:rsidRDefault="008300D5" w:rsidP="007F7381">
      <w:pPr>
        <w:pStyle w:val="tier1Itext"/>
      </w:pPr>
      <w:r w:rsidRPr="005E3469">
        <w:t xml:space="preserve">Os procedimentos </w:t>
      </w:r>
      <w:r>
        <w:t>para</w:t>
      </w:r>
      <w:r w:rsidRPr="005E3469">
        <w:t xml:space="preserve"> mobilização</w:t>
      </w:r>
      <w:r>
        <w:t xml:space="preserve"> de</w:t>
      </w:r>
      <w:r w:rsidRPr="005E3469">
        <w:t xml:space="preserve"> recursos </w:t>
      </w:r>
      <w:r>
        <w:t>abrangem</w:t>
      </w:r>
      <w:r w:rsidRPr="005E3469">
        <w:t xml:space="preserve"> ações </w:t>
      </w:r>
      <w:r>
        <w:t>de</w:t>
      </w:r>
      <w:r w:rsidRPr="005E3469">
        <w:t xml:space="preserve"> ativação/solicitação, transporte e atribuição de recursos humanos e materiais</w:t>
      </w:r>
      <w:r>
        <w:t xml:space="preserve"> coordenados pelo </w:t>
      </w:r>
      <w:r w:rsidR="007C0FC1">
        <w:t>Líder da Unidade de Recursos</w:t>
      </w:r>
      <w:r w:rsidR="007C0FC1" w:rsidRPr="009E65BE">
        <w:rPr>
          <w:i/>
        </w:rPr>
        <w:t xml:space="preserve"> </w:t>
      </w:r>
      <w:r>
        <w:t>(</w:t>
      </w:r>
      <w:r w:rsidR="005D2FF0">
        <w:t xml:space="preserve">em inglês, </w:t>
      </w:r>
      <w:r w:rsidR="005D2FF0" w:rsidRPr="009E65BE">
        <w:rPr>
          <w:i/>
        </w:rPr>
        <w:t>Resource Unit Leader</w:t>
      </w:r>
      <w:r w:rsidR="005D2FF0">
        <w:rPr>
          <w:i/>
        </w:rPr>
        <w:t xml:space="preserve"> </w:t>
      </w:r>
      <w:r w:rsidR="00B37F6A">
        <w:rPr>
          <w:i/>
        </w:rPr>
        <w:t>–</w:t>
      </w:r>
      <w:r w:rsidR="005D2FF0">
        <w:rPr>
          <w:i/>
        </w:rPr>
        <w:t xml:space="preserve"> RUL</w:t>
      </w:r>
      <w:r>
        <w:t>)</w:t>
      </w:r>
      <w:r w:rsidRPr="005E3469">
        <w:t xml:space="preserve">. Neste item serão </w:t>
      </w:r>
      <w:r>
        <w:t>discutidos</w:t>
      </w:r>
      <w:r w:rsidRPr="005E3469">
        <w:t xml:space="preserve"> os </w:t>
      </w:r>
      <w:r w:rsidRPr="00925B96">
        <w:t>procedimentos</w:t>
      </w:r>
      <w:r w:rsidRPr="005E3469">
        <w:t xml:space="preserve"> para mobilização de recursos táticos (operacionais). Os procedimentos </w:t>
      </w:r>
      <w:r>
        <w:t>para a</w:t>
      </w:r>
      <w:r w:rsidRPr="005E3469">
        <w:t xml:space="preserve"> mobilização de recursos humanos</w:t>
      </w:r>
      <w:r>
        <w:t xml:space="preserve"> estão </w:t>
      </w:r>
      <w:r w:rsidRPr="005E3469">
        <w:t xml:space="preserve">descritos </w:t>
      </w:r>
      <w:r w:rsidRPr="002D2F32">
        <w:t xml:space="preserve">no item </w:t>
      </w:r>
      <w:r w:rsidR="007F7381" w:rsidRPr="002D2F32">
        <w:fldChar w:fldCharType="begin"/>
      </w:r>
      <w:r w:rsidR="007F7381" w:rsidRPr="002D2F32">
        <w:instrText xml:space="preserve"> REF _Ref414534840 \r \h </w:instrText>
      </w:r>
      <w:r w:rsidR="002D2F32" w:rsidRPr="002D2F32">
        <w:instrText xml:space="preserve"> \* MERGEFORMAT </w:instrText>
      </w:r>
      <w:r w:rsidR="007F7381" w:rsidRPr="002D2F32">
        <w:fldChar w:fldCharType="separate"/>
      </w:r>
      <w:r w:rsidR="00A50E67">
        <w:t>6</w:t>
      </w:r>
      <w:r w:rsidR="007F7381" w:rsidRPr="002D2F32">
        <w:fldChar w:fldCharType="end"/>
      </w:r>
      <w:r w:rsidRPr="002D2F32">
        <w:t>.</w:t>
      </w:r>
    </w:p>
    <w:p w14:paraId="3DCBAA34" w14:textId="77777777" w:rsidR="008300D5" w:rsidRPr="005E3469" w:rsidRDefault="008300D5" w:rsidP="007F7381">
      <w:pPr>
        <w:pStyle w:val="tier1Itext"/>
      </w:pPr>
      <w:r w:rsidRPr="005E3469">
        <w:t>No caso dos recursos táticos dedicados à primeira resposta, o Comandante Inicial</w:t>
      </w:r>
      <w:r>
        <w:t>/Local</w:t>
      </w:r>
      <w:r w:rsidRPr="005E3469">
        <w:t xml:space="preserve"> do Incidente</w:t>
      </w:r>
      <w:r>
        <w:t xml:space="preserve"> (IC inicial/OSC Delegado)</w:t>
      </w:r>
      <w:r w:rsidRPr="005E3469">
        <w:t xml:space="preserve"> deverá garantir a notificação </w:t>
      </w:r>
      <w:r>
        <w:t xml:space="preserve">e mobilização </w:t>
      </w:r>
      <w:r w:rsidRPr="005E3469">
        <w:t>das embarcações de resposta e</w:t>
      </w:r>
      <w:r>
        <w:t xml:space="preserve"> demais recursos necessários para</w:t>
      </w:r>
      <w:r w:rsidRPr="005E3469">
        <w:t xml:space="preserve"> a operacionalização das estratégias descritas </w:t>
      </w:r>
      <w:r>
        <w:t>neste</w:t>
      </w:r>
      <w:r w:rsidRPr="005E3469">
        <w:t xml:space="preserve"> </w:t>
      </w:r>
      <w:r>
        <w:t>PEI</w:t>
      </w:r>
      <w:r w:rsidRPr="005E3469">
        <w:t xml:space="preserve">. Havendo necessidade de escalonar as ações de resposta, </w:t>
      </w:r>
      <w:r w:rsidR="005D2FF0">
        <w:t>posições</w:t>
      </w:r>
      <w:r w:rsidR="005D2FF0" w:rsidRPr="005E3469">
        <w:t xml:space="preserve"> </w:t>
      </w:r>
      <w:r>
        <w:t>da IMT</w:t>
      </w:r>
      <w:r w:rsidRPr="005E3469">
        <w:t xml:space="preserve"> poderão ser acionadas para assumir o gerenciamento do incidente</w:t>
      </w:r>
      <w:r>
        <w:t xml:space="preserve">, e consequentemente, apoiar a mobilização de </w:t>
      </w:r>
      <w:r w:rsidRPr="005E3469">
        <w:t>recursos táticos</w:t>
      </w:r>
      <w:r>
        <w:t xml:space="preserve"> adicionais</w:t>
      </w:r>
      <w:r w:rsidRPr="005E3469">
        <w:t>.</w:t>
      </w:r>
    </w:p>
    <w:p w14:paraId="494D65D5" w14:textId="77777777" w:rsidR="008300D5" w:rsidRPr="008300D5" w:rsidRDefault="008300D5" w:rsidP="007F7381">
      <w:pPr>
        <w:pStyle w:val="tier1Itext"/>
      </w:pPr>
      <w:r>
        <w:t>Resumidamente, as responsabilidades dos membros da IMT quanto à</w:t>
      </w:r>
      <w:r w:rsidRPr="005E3469">
        <w:t xml:space="preserve"> mobilização de recursos </w:t>
      </w:r>
      <w:r w:rsidRPr="008300D5">
        <w:t>táticos adicionais são:</w:t>
      </w:r>
    </w:p>
    <w:p w14:paraId="39486728" w14:textId="77777777" w:rsidR="008300D5" w:rsidRPr="008300D5" w:rsidRDefault="008300D5" w:rsidP="00EA2A77">
      <w:pPr>
        <w:pStyle w:val="OCEBulle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8300D5">
        <w:rPr>
          <w:rFonts w:asciiTheme="majorHAnsi" w:hAnsiTheme="majorHAnsi"/>
        </w:rPr>
        <w:t>O IC é responsável por estabelecer os objetivos das ações de resposta ao incidente e aprovar pedidos de recursos adicionais e estabelecer os</w:t>
      </w:r>
      <w:r w:rsidR="007F7381">
        <w:rPr>
          <w:rFonts w:asciiTheme="majorHAnsi" w:hAnsiTheme="majorHAnsi"/>
        </w:rPr>
        <w:t xml:space="preserve"> limites de competência da EOR;</w:t>
      </w:r>
    </w:p>
    <w:p w14:paraId="29AA4E03" w14:textId="77777777" w:rsidR="008300D5" w:rsidRPr="008300D5" w:rsidRDefault="008300D5" w:rsidP="00EA2A77">
      <w:pPr>
        <w:pStyle w:val="OCEBulle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8300D5">
        <w:rPr>
          <w:rFonts w:asciiTheme="majorHAnsi" w:hAnsiTheme="majorHAnsi"/>
        </w:rPr>
        <w:t>O OSC, LSC e o Líder da Unidade de Recursos ou PSC quando RUL não acionado (com apoio de outros membros, quando necessários) são responsáveis por identificar a necessidade de mobilização de recursos táticos adicionais, designar uma atribuição aos mesmos e supervisionar seus usos a fim de garantir o alcance dos objetivos de resposta;</w:t>
      </w:r>
    </w:p>
    <w:p w14:paraId="057F92D3" w14:textId="77777777" w:rsidR="008300D5" w:rsidRPr="008300D5" w:rsidRDefault="008300D5" w:rsidP="00EA2A77">
      <w:pPr>
        <w:pStyle w:val="OCEBulle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8300D5">
        <w:rPr>
          <w:rFonts w:asciiTheme="majorHAnsi" w:hAnsiTheme="majorHAnsi"/>
        </w:rPr>
        <w:t>O PSC ou membro designado é responsável por garantir que seja mantido o resumo da situ</w:t>
      </w:r>
      <w:r w:rsidR="007F7381">
        <w:rPr>
          <w:rFonts w:asciiTheme="majorHAnsi" w:hAnsiTheme="majorHAnsi"/>
        </w:rPr>
        <w:t>ação dos recursos (inventário);</w:t>
      </w:r>
    </w:p>
    <w:p w14:paraId="0A3051F1" w14:textId="77777777" w:rsidR="008300D5" w:rsidRPr="008300D5" w:rsidRDefault="008300D5" w:rsidP="00EA2A77">
      <w:pPr>
        <w:pStyle w:val="OCEBulle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8300D5">
        <w:rPr>
          <w:rFonts w:asciiTheme="majorHAnsi" w:hAnsiTheme="majorHAnsi"/>
        </w:rPr>
        <w:t>O LSC ou membro designado é responsável por ordenar recursos táticos adicionais e garantir sua entrega nos locais e prazos estabelecidos pelo RUL e o OSC.</w:t>
      </w:r>
    </w:p>
    <w:p w14:paraId="7AC4413F" w14:textId="6C83DB4B" w:rsidR="008300D5" w:rsidRPr="00D83A16" w:rsidRDefault="008300D5" w:rsidP="007F7381">
      <w:pPr>
        <w:pStyle w:val="tier1Itext"/>
      </w:pPr>
      <w:r w:rsidRPr="00B269A8">
        <w:t xml:space="preserve">A </w:t>
      </w:r>
      <w:r w:rsidRPr="00B269A8">
        <w:rPr>
          <w:b/>
        </w:rPr>
        <w:fldChar w:fldCharType="begin"/>
      </w:r>
      <w:r w:rsidRPr="00B269A8">
        <w:rPr>
          <w:b/>
        </w:rPr>
        <w:instrText xml:space="preserve"> REF _Ref413398794 \h  \* MERGEFORMAT </w:instrText>
      </w:r>
      <w:r w:rsidRPr="00B269A8">
        <w:rPr>
          <w:b/>
        </w:rPr>
      </w:r>
      <w:r w:rsidRPr="00B269A8">
        <w:rPr>
          <w:b/>
        </w:rPr>
        <w:fldChar w:fldCharType="separate"/>
      </w:r>
      <w:r w:rsidR="00A50E67" w:rsidRPr="00A50E67">
        <w:rPr>
          <w:b/>
        </w:rPr>
        <w:t xml:space="preserve">Figura </w:t>
      </w:r>
      <w:r w:rsidR="00A50E67" w:rsidRPr="00A50E67">
        <w:rPr>
          <w:b/>
          <w:noProof/>
        </w:rPr>
        <w:t>7</w:t>
      </w:r>
      <w:r w:rsidRPr="00B269A8">
        <w:rPr>
          <w:b/>
        </w:rPr>
        <w:fldChar w:fldCharType="end"/>
      </w:r>
      <w:r w:rsidRPr="00B269A8">
        <w:t xml:space="preserve"> apresenta um fluxograma</w:t>
      </w:r>
      <w:r w:rsidRPr="00D83A16">
        <w:t xml:space="preserve"> ilustrativo do processo de mobilização de recursos táticos</w:t>
      </w:r>
      <w:r>
        <w:t>.</w:t>
      </w:r>
    </w:p>
    <w:p w14:paraId="5607FEA7" w14:textId="77777777" w:rsidR="008300D5" w:rsidRDefault="008300D5" w:rsidP="007F7381">
      <w:pPr>
        <w:pStyle w:val="tier1Itext"/>
        <w:spacing w:before="0" w:after="0" w:line="240" w:lineRule="auto"/>
        <w:jc w:val="center"/>
      </w:pPr>
      <w:r w:rsidRPr="00260F00">
        <w:rPr>
          <w:noProof/>
          <w:lang w:val="en-US"/>
        </w:rPr>
        <w:lastRenderedPageBreak/>
        <w:drawing>
          <wp:inline distT="0" distB="0" distL="0" distR="0" wp14:anchorId="357501CC" wp14:editId="0E1354CA">
            <wp:extent cx="4999597" cy="7411179"/>
            <wp:effectExtent l="0" t="0" r="0" b="0"/>
            <wp:docPr id="294" name="Imagem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025955" cy="7450251"/>
                    </a:xfrm>
                    <a:prstGeom prst="rect">
                      <a:avLst/>
                    </a:prstGeom>
                    <a:noFill/>
                    <a:ln>
                      <a:noFill/>
                    </a:ln>
                  </pic:spPr>
                </pic:pic>
              </a:graphicData>
            </a:graphic>
          </wp:inline>
        </w:drawing>
      </w:r>
    </w:p>
    <w:p w14:paraId="0BC134BF" w14:textId="1D310093" w:rsidR="008300D5" w:rsidRPr="007F7381" w:rsidRDefault="008300D5" w:rsidP="007F7381">
      <w:pPr>
        <w:pStyle w:val="Legenda"/>
        <w:keepNext w:val="0"/>
        <w:spacing w:before="0" w:after="0" w:line="240" w:lineRule="auto"/>
      </w:pPr>
      <w:bookmarkStart w:id="129" w:name="_Ref413398794"/>
      <w:bookmarkStart w:id="130" w:name="_Toc413848074"/>
      <w:bookmarkStart w:id="131" w:name="_Toc527990454"/>
      <w:r w:rsidRPr="007F7381">
        <w:t xml:space="preserve">Figura </w:t>
      </w:r>
      <w:fldSimple w:instr=" SEQ Figura \* ARABIC ">
        <w:r w:rsidR="00A50E67">
          <w:rPr>
            <w:noProof/>
          </w:rPr>
          <w:t>7</w:t>
        </w:r>
      </w:fldSimple>
      <w:bookmarkEnd w:id="129"/>
      <w:r w:rsidRPr="007F7381">
        <w:t>: Processo de mobilização de recursos táticos</w:t>
      </w:r>
      <w:r w:rsidR="008D6541">
        <w:t xml:space="preserve"> </w:t>
      </w:r>
      <w:r w:rsidR="008D6541" w:rsidRPr="00946134">
        <w:t>(</w:t>
      </w:r>
      <w:r w:rsidR="00B86422">
        <w:t>Fonte: Witt|O’Brien’s</w:t>
      </w:r>
      <w:r w:rsidR="008D6541" w:rsidRPr="00946134">
        <w:t>)</w:t>
      </w:r>
      <w:r w:rsidRPr="007F7381">
        <w:t>.</w:t>
      </w:r>
      <w:bookmarkEnd w:id="130"/>
      <w:bookmarkEnd w:id="131"/>
    </w:p>
    <w:p w14:paraId="0E114254" w14:textId="77777777" w:rsidR="008300D5" w:rsidRPr="009D01BE" w:rsidRDefault="008300D5" w:rsidP="006F18B8">
      <w:pPr>
        <w:pStyle w:val="Ttulo3"/>
        <w:ind w:left="1224"/>
      </w:pPr>
      <w:bookmarkStart w:id="132" w:name="_Toc411257113"/>
      <w:bookmarkStart w:id="133" w:name="_Toc413848026"/>
      <w:bookmarkStart w:id="134" w:name="_Ref414549303"/>
      <w:bookmarkStart w:id="135" w:name="_Toc527990416"/>
      <w:r w:rsidRPr="009D01BE">
        <w:lastRenderedPageBreak/>
        <w:t>Desmobilização de recursos e instalações</w:t>
      </w:r>
      <w:bookmarkEnd w:id="132"/>
      <w:bookmarkEnd w:id="133"/>
      <w:bookmarkEnd w:id="134"/>
      <w:bookmarkEnd w:id="135"/>
    </w:p>
    <w:p w14:paraId="472A5A2C" w14:textId="77777777" w:rsidR="008300D5" w:rsidRPr="008748AC" w:rsidRDefault="008300D5" w:rsidP="003B5BCC">
      <w:pPr>
        <w:pStyle w:val="tier1Itext"/>
      </w:pPr>
      <w:r w:rsidRPr="008748AC">
        <w:t xml:space="preserve">As operações de desmobilização visam o retorno ordenado, seguro e eficiente de um recurso ao seu local </w:t>
      </w:r>
      <w:r>
        <w:t>de origem e condições de operações iniciais</w:t>
      </w:r>
      <w:r w:rsidRPr="008748AC">
        <w:t>. Essas ações devem ser avaliadas e conduzidas ao longo de toda a resposta a emergência a fim de que os recursos sem atribuição em um determinado momento ou área de operação possam ser disponibilizados para outras áreas de operação ou, retornados a área/base de apoio ou fornecedor</w:t>
      </w:r>
      <w:r>
        <w:t xml:space="preserve">, não incidindo em </w:t>
      </w:r>
      <w:r w:rsidR="005D2FF0">
        <w:t xml:space="preserve">indisponibilidade do recurso para outra operação e a incidência de </w:t>
      </w:r>
      <w:r>
        <w:t>custos desnecessários dispendidos na resposta</w:t>
      </w:r>
      <w:r w:rsidRPr="008748AC">
        <w:t>.</w:t>
      </w:r>
    </w:p>
    <w:p w14:paraId="3ED212AA" w14:textId="77777777" w:rsidR="008300D5" w:rsidRPr="008748AC" w:rsidRDefault="008300D5" w:rsidP="003B5BCC">
      <w:pPr>
        <w:pStyle w:val="tier1Itext"/>
      </w:pPr>
      <w:r w:rsidRPr="00F93AF0">
        <w:t>Aspectos que podem ser utilizados como indicadores de potencial necessidade de conduzir as ações de desmobilização incluem</w:t>
      </w:r>
      <w:r w:rsidRPr="008748AC">
        <w:t>:</w:t>
      </w:r>
    </w:p>
    <w:p w14:paraId="1C22E4F1" w14:textId="77777777" w:rsidR="008300D5" w:rsidRPr="009B756F" w:rsidRDefault="008300D5" w:rsidP="00EA2A77">
      <w:pPr>
        <w:pStyle w:val="OCEBulle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9B756F">
        <w:rPr>
          <w:rFonts w:asciiTheme="majorHAnsi" w:hAnsiTheme="majorHAnsi"/>
        </w:rPr>
        <w:t>Recursos mobilizados sem atribuição prevista no curto prazo;</w:t>
      </w:r>
    </w:p>
    <w:p w14:paraId="01B5BB96" w14:textId="77777777" w:rsidR="008300D5" w:rsidRPr="009B756F" w:rsidRDefault="008300D5" w:rsidP="00EA2A77">
      <w:pPr>
        <w:pStyle w:val="OCEBulle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9B756F">
        <w:rPr>
          <w:rFonts w:asciiTheme="majorHAnsi" w:hAnsiTheme="majorHAnsi"/>
        </w:rPr>
        <w:t>Excesso de recursos identificados durante o processo de planejamento;</w:t>
      </w:r>
    </w:p>
    <w:p w14:paraId="33EA084A" w14:textId="77777777" w:rsidR="008300D5" w:rsidRPr="009B756F" w:rsidRDefault="008300D5" w:rsidP="00EA2A77">
      <w:pPr>
        <w:pStyle w:val="OCEBulle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9B756F">
        <w:rPr>
          <w:rFonts w:asciiTheme="majorHAnsi" w:hAnsiTheme="majorHAnsi"/>
        </w:rPr>
        <w:t>Objetivos das ações de resposta alcançados.</w:t>
      </w:r>
    </w:p>
    <w:p w14:paraId="344CCB77" w14:textId="77777777" w:rsidR="008300D5" w:rsidRPr="009B756F" w:rsidRDefault="008300D5" w:rsidP="00EA2A77">
      <w:pPr>
        <w:pStyle w:val="OCEBulle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9B756F">
        <w:rPr>
          <w:rFonts w:asciiTheme="majorHAnsi" w:hAnsiTheme="majorHAnsi"/>
        </w:rPr>
        <w:t>Técnicas de resposta descontinuadas.</w:t>
      </w:r>
    </w:p>
    <w:p w14:paraId="012650C7" w14:textId="05A6CBFD" w:rsidR="008300D5" w:rsidRDefault="008300D5" w:rsidP="003B5BCC">
      <w:pPr>
        <w:pStyle w:val="tier1Itext"/>
      </w:pPr>
      <w:r>
        <w:t xml:space="preserve">A </w:t>
      </w:r>
      <w:r w:rsidRPr="0083428F">
        <w:rPr>
          <w:b/>
        </w:rPr>
        <w:fldChar w:fldCharType="begin"/>
      </w:r>
      <w:r w:rsidRPr="0083428F">
        <w:rPr>
          <w:b/>
        </w:rPr>
        <w:instrText xml:space="preserve"> REF _Ref411620521 \h </w:instrText>
      </w:r>
      <w:r>
        <w:rPr>
          <w:b/>
        </w:rPr>
        <w:instrText xml:space="preserve"> \* MERGEFORMAT </w:instrText>
      </w:r>
      <w:r w:rsidRPr="0083428F">
        <w:rPr>
          <w:b/>
        </w:rPr>
      </w:r>
      <w:r w:rsidRPr="0083428F">
        <w:rPr>
          <w:b/>
        </w:rPr>
        <w:fldChar w:fldCharType="separate"/>
      </w:r>
      <w:r w:rsidR="00A50E67" w:rsidRPr="00A50E67">
        <w:rPr>
          <w:b/>
        </w:rPr>
        <w:t xml:space="preserve">Figura </w:t>
      </w:r>
      <w:r w:rsidR="00A50E67" w:rsidRPr="00A50E67">
        <w:rPr>
          <w:b/>
          <w:noProof/>
        </w:rPr>
        <w:t>8</w:t>
      </w:r>
      <w:r w:rsidRPr="0083428F">
        <w:rPr>
          <w:b/>
        </w:rPr>
        <w:fldChar w:fldCharType="end"/>
      </w:r>
      <w:r>
        <w:t xml:space="preserve"> apresenta uma visão geral do processo de desmobilização de recursos táticos.</w:t>
      </w:r>
    </w:p>
    <w:p w14:paraId="35F58CC7" w14:textId="77777777" w:rsidR="008300D5" w:rsidRDefault="008300D5" w:rsidP="003B5BCC">
      <w:pPr>
        <w:pStyle w:val="Legenda"/>
        <w:keepNext w:val="0"/>
        <w:spacing w:before="0" w:after="0" w:line="240" w:lineRule="auto"/>
      </w:pPr>
      <w:r w:rsidRPr="00260F00">
        <w:rPr>
          <w:noProof/>
          <w:lang w:val="en-US"/>
        </w:rPr>
        <w:drawing>
          <wp:inline distT="0" distB="0" distL="0" distR="0" wp14:anchorId="03601BE1" wp14:editId="191A34E6">
            <wp:extent cx="5299820" cy="4080933"/>
            <wp:effectExtent l="0" t="0" r="0" b="0"/>
            <wp:docPr id="295" name="Imagem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06454" cy="4086041"/>
                    </a:xfrm>
                    <a:prstGeom prst="rect">
                      <a:avLst/>
                    </a:prstGeom>
                    <a:noFill/>
                    <a:ln>
                      <a:noFill/>
                    </a:ln>
                  </pic:spPr>
                </pic:pic>
              </a:graphicData>
            </a:graphic>
          </wp:inline>
        </w:drawing>
      </w:r>
    </w:p>
    <w:p w14:paraId="282687C3" w14:textId="3183A2BF" w:rsidR="008300D5" w:rsidRDefault="008300D5" w:rsidP="003B5BCC">
      <w:pPr>
        <w:pStyle w:val="Legenda"/>
        <w:keepNext w:val="0"/>
        <w:spacing w:before="0" w:after="0" w:line="240" w:lineRule="auto"/>
        <w:rPr>
          <w:b w:val="0"/>
        </w:rPr>
      </w:pPr>
      <w:bookmarkStart w:id="136" w:name="_Ref411620521"/>
      <w:bookmarkStart w:id="137" w:name="_Toc413848075"/>
      <w:bookmarkStart w:id="138" w:name="_Toc527990455"/>
      <w:r w:rsidRPr="008300D5">
        <w:t xml:space="preserve">Figura </w:t>
      </w:r>
      <w:fldSimple w:instr=" SEQ Figura \* ARABIC ">
        <w:r w:rsidR="00A50E67">
          <w:rPr>
            <w:noProof/>
          </w:rPr>
          <w:t>8</w:t>
        </w:r>
      </w:fldSimple>
      <w:bookmarkEnd w:id="136"/>
      <w:r w:rsidRPr="008300D5">
        <w:t>: Processo de desmobilização de recursos táticos</w:t>
      </w:r>
      <w:bookmarkEnd w:id="137"/>
      <w:r w:rsidR="008D6541">
        <w:t xml:space="preserve"> </w:t>
      </w:r>
      <w:r w:rsidR="008D6541" w:rsidRPr="00946134">
        <w:t>(</w:t>
      </w:r>
      <w:r w:rsidR="00B86422">
        <w:t>Fonte: Witt|O’Brien’s</w:t>
      </w:r>
      <w:r w:rsidR="008D6541" w:rsidRPr="00946134">
        <w:t>)</w:t>
      </w:r>
      <w:r w:rsidR="008D6541">
        <w:t>.</w:t>
      </w:r>
      <w:bookmarkEnd w:id="138"/>
    </w:p>
    <w:p w14:paraId="6932FE22" w14:textId="0B80F288" w:rsidR="008300D5" w:rsidRDefault="008300D5" w:rsidP="008300D5">
      <w:pPr>
        <w:pStyle w:val="tier1Itext"/>
      </w:pPr>
      <w:r w:rsidRPr="0081168D">
        <w:lastRenderedPageBreak/>
        <w:t xml:space="preserve">Até a desmobilização completa e encerramento das ações de resposta (descrito </w:t>
      </w:r>
      <w:r w:rsidRPr="002D2F32">
        <w:t xml:space="preserve">no item </w:t>
      </w:r>
      <w:r w:rsidR="009B756F" w:rsidRPr="002D2F32">
        <w:rPr>
          <w:highlight w:val="yellow"/>
        </w:rPr>
        <w:fldChar w:fldCharType="begin"/>
      </w:r>
      <w:r w:rsidR="009B756F" w:rsidRPr="002D2F32">
        <w:instrText xml:space="preserve"> REF _Ref414456392 \r \h </w:instrText>
      </w:r>
      <w:r w:rsidR="002D2F32" w:rsidRPr="002D2F32">
        <w:rPr>
          <w:highlight w:val="yellow"/>
        </w:rPr>
        <w:instrText xml:space="preserve"> \* MERGEFORMAT </w:instrText>
      </w:r>
      <w:r w:rsidR="009B756F" w:rsidRPr="002D2F32">
        <w:rPr>
          <w:highlight w:val="yellow"/>
        </w:rPr>
      </w:r>
      <w:r w:rsidR="009B756F" w:rsidRPr="002D2F32">
        <w:rPr>
          <w:highlight w:val="yellow"/>
        </w:rPr>
        <w:fldChar w:fldCharType="separate"/>
      </w:r>
      <w:r w:rsidR="00A50E67">
        <w:t>10</w:t>
      </w:r>
      <w:r w:rsidR="009B756F" w:rsidRPr="002D2F32">
        <w:rPr>
          <w:highlight w:val="yellow"/>
        </w:rPr>
        <w:fldChar w:fldCharType="end"/>
      </w:r>
      <w:r w:rsidRPr="002D2F32">
        <w:t>),</w:t>
      </w:r>
      <w:r w:rsidRPr="0081168D">
        <w:t xml:space="preserve"> a </w:t>
      </w:r>
      <w:r>
        <w:t>BP Energy</w:t>
      </w:r>
      <w:r w:rsidRPr="0081168D">
        <w:t xml:space="preserve"> deverá manter mobilizadas as funções da </w:t>
      </w:r>
      <w:r w:rsidR="005B3229">
        <w:t>IMT</w:t>
      </w:r>
      <w:r w:rsidRPr="0081168D">
        <w:t xml:space="preserve"> </w:t>
      </w:r>
      <w:r>
        <w:t>e recursos táticos necessário</w:t>
      </w:r>
      <w:r w:rsidRPr="0081168D">
        <w:t xml:space="preserve">s para garantir o controle da situação, </w:t>
      </w:r>
      <w:r>
        <w:t xml:space="preserve">o gerenciamento da fase da resposta (incluindo ajustes nas estratégias em função de </w:t>
      </w:r>
      <w:r w:rsidRPr="0081168D">
        <w:t>eventuais mudanças no cenário acidental</w:t>
      </w:r>
      <w:r>
        <w:t>)</w:t>
      </w:r>
      <w:r w:rsidRPr="0081168D">
        <w:t xml:space="preserve"> e para </w:t>
      </w:r>
      <w:r>
        <w:t>minimizar</w:t>
      </w:r>
      <w:r w:rsidRPr="0081168D">
        <w:t xml:space="preserve"> os riscos de ocorrência de outr</w:t>
      </w:r>
      <w:r>
        <w:t>os eventos emergenciais, como resultado d</w:t>
      </w:r>
      <w:r w:rsidRPr="0081168D">
        <w:t>o incidente inicial.</w:t>
      </w:r>
    </w:p>
    <w:p w14:paraId="644C4454" w14:textId="77777777" w:rsidR="008300D5" w:rsidRDefault="008300D5" w:rsidP="008300D5">
      <w:pPr>
        <w:pStyle w:val="tier1Itext"/>
      </w:pPr>
      <w:r>
        <w:t>Em diversas situações, a desmobilização de recursos deverá ser realizada de maneira acoplada a procedimentos de descontaminação, sendo esses descritos no capítulo a seguir.</w:t>
      </w:r>
    </w:p>
    <w:p w14:paraId="5CE62C85" w14:textId="099E73E5" w:rsidR="008300D5" w:rsidRPr="005B3229" w:rsidRDefault="005B3229" w:rsidP="006F18B8">
      <w:pPr>
        <w:pStyle w:val="Ttulo3"/>
        <w:ind w:left="1224"/>
        <w:rPr>
          <w:lang w:val="pt-BR"/>
        </w:rPr>
      </w:pPr>
      <w:bookmarkStart w:id="139" w:name="_Toc411257114"/>
      <w:bookmarkStart w:id="140" w:name="_Toc413848027"/>
      <w:r w:rsidRPr="005B3229">
        <w:rPr>
          <w:lang w:val="pt-BR"/>
        </w:rPr>
        <w:t xml:space="preserve"> </w:t>
      </w:r>
      <w:bookmarkStart w:id="141" w:name="_Toc527990417"/>
      <w:r w:rsidR="008300D5" w:rsidRPr="005B3229">
        <w:rPr>
          <w:lang w:val="pt-BR"/>
        </w:rPr>
        <w:t>Descontaminação de recursos e instalações</w:t>
      </w:r>
      <w:bookmarkEnd w:id="139"/>
      <w:bookmarkEnd w:id="140"/>
      <w:bookmarkEnd w:id="141"/>
    </w:p>
    <w:p w14:paraId="0546DAA3" w14:textId="77777777" w:rsidR="008300D5" w:rsidRPr="00D83A16" w:rsidRDefault="008300D5" w:rsidP="003B5BCC">
      <w:pPr>
        <w:pStyle w:val="tier1Itext"/>
      </w:pPr>
      <w:r w:rsidRPr="00D83A16">
        <w:t>De forma similar às ações de desmobilização, a descontaminação de recursos deve ser avaliada e conduzida ao longo de toda a resposta a emergência.</w:t>
      </w:r>
    </w:p>
    <w:p w14:paraId="0A3E5D69" w14:textId="77777777" w:rsidR="008300D5" w:rsidRPr="00D83A16" w:rsidRDefault="008300D5" w:rsidP="003B5BCC">
      <w:pPr>
        <w:pStyle w:val="tier1Itext"/>
      </w:pPr>
      <w:r w:rsidRPr="00D83A16">
        <w:t>Os objetivos das ações de descontaminação são:</w:t>
      </w:r>
    </w:p>
    <w:p w14:paraId="15922F7B" w14:textId="77777777" w:rsidR="008300D5" w:rsidRPr="008300D5" w:rsidRDefault="008300D5" w:rsidP="003B5BCC">
      <w:pPr>
        <w:pStyle w:val="PargrafodaLista"/>
        <w:spacing w:after="0" w:line="360" w:lineRule="auto"/>
        <w:ind w:left="714" w:hanging="357"/>
      </w:pPr>
      <w:r w:rsidRPr="008300D5">
        <w:t>Minimizar o contato da equipe de resposta com o óleo e outros contaminantes;</w:t>
      </w:r>
    </w:p>
    <w:p w14:paraId="24344D37" w14:textId="77777777" w:rsidR="008300D5" w:rsidRPr="008300D5" w:rsidRDefault="008300D5" w:rsidP="003B5BCC">
      <w:pPr>
        <w:pStyle w:val="PargrafodaLista"/>
        <w:spacing w:before="0" w:after="0" w:line="360" w:lineRule="auto"/>
        <w:ind w:left="714" w:hanging="357"/>
      </w:pPr>
      <w:r w:rsidRPr="008300D5">
        <w:t>Evitar a contaminação de áreas, equipamentos e população não impactados;</w:t>
      </w:r>
    </w:p>
    <w:p w14:paraId="0582EE0F" w14:textId="77777777" w:rsidR="008300D5" w:rsidRPr="008300D5" w:rsidRDefault="008300D5" w:rsidP="003B5BCC">
      <w:pPr>
        <w:pStyle w:val="PargrafodaLista"/>
        <w:spacing w:before="0" w:after="240" w:line="360" w:lineRule="auto"/>
        <w:ind w:left="714" w:hanging="357"/>
      </w:pPr>
      <w:r w:rsidRPr="008300D5">
        <w:t>Remover os contaminantes dos equipamentos para permitir a sua reutilização.</w:t>
      </w:r>
    </w:p>
    <w:p w14:paraId="0AF355F9" w14:textId="22F79AAE" w:rsidR="008300D5" w:rsidRPr="00EA5883" w:rsidRDefault="008300D5" w:rsidP="003B5BCC">
      <w:pPr>
        <w:pStyle w:val="tier1Itext"/>
      </w:pPr>
      <w:r w:rsidRPr="00EA5883">
        <w:t xml:space="preserve">Desse modo, todos os recursos humanos e/ou materiais que estiverem em rota de saída da região do incidente (conhecida como “Zona Quente”, ou “Zona de Exclusão”) deverão ser submetidos à descontaminação (a ser realizada na região conhecida como “Zona Morna”, ou “Zona de Redução da Contaminação”), antes que adentrem regiões não contaminadas (“Zona Fria”), conforme ilustrado na </w:t>
      </w:r>
      <w:r w:rsidRPr="009317D9">
        <w:rPr>
          <w:b/>
        </w:rPr>
        <w:fldChar w:fldCharType="begin"/>
      </w:r>
      <w:r w:rsidRPr="009317D9">
        <w:rPr>
          <w:b/>
        </w:rPr>
        <w:instrText xml:space="preserve"> REF _Ref411614983 \h  \* MERGEFORMAT </w:instrText>
      </w:r>
      <w:r w:rsidRPr="009317D9">
        <w:rPr>
          <w:b/>
        </w:rPr>
      </w:r>
      <w:r w:rsidRPr="009317D9">
        <w:rPr>
          <w:b/>
        </w:rPr>
        <w:fldChar w:fldCharType="separate"/>
      </w:r>
      <w:r w:rsidR="00A50E67" w:rsidRPr="00A50E67">
        <w:rPr>
          <w:b/>
        </w:rPr>
        <w:t>Figura 9</w:t>
      </w:r>
      <w:r w:rsidRPr="009317D9">
        <w:rPr>
          <w:b/>
        </w:rPr>
        <w:fldChar w:fldCharType="end"/>
      </w:r>
      <w:r w:rsidRPr="00EA5883">
        <w:t>.</w:t>
      </w:r>
    </w:p>
    <w:p w14:paraId="3435DE7D" w14:textId="77777777" w:rsidR="008300D5" w:rsidRDefault="008300D5" w:rsidP="003B5BCC">
      <w:pPr>
        <w:pStyle w:val="tier1Itext"/>
        <w:spacing w:before="0" w:after="0" w:line="240" w:lineRule="auto"/>
        <w:jc w:val="center"/>
      </w:pPr>
      <w:r>
        <w:rPr>
          <w:noProof/>
          <w:lang w:val="en-US"/>
        </w:rPr>
        <w:lastRenderedPageBreak/>
        <w:drawing>
          <wp:inline distT="0" distB="0" distL="0" distR="0" wp14:anchorId="1D6C0AD6" wp14:editId="54E87ED2">
            <wp:extent cx="5278755" cy="3347336"/>
            <wp:effectExtent l="0" t="0" r="0" b="5715"/>
            <wp:docPr id="296" name="Imagem 296" descr="C:\Users\lucas.fantinato\Desktop\zon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ucas.fantinato\Desktop\zonas.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78755" cy="3347336"/>
                    </a:xfrm>
                    <a:prstGeom prst="rect">
                      <a:avLst/>
                    </a:prstGeom>
                    <a:noFill/>
                    <a:ln>
                      <a:noFill/>
                    </a:ln>
                  </pic:spPr>
                </pic:pic>
              </a:graphicData>
            </a:graphic>
          </wp:inline>
        </w:drawing>
      </w:r>
    </w:p>
    <w:p w14:paraId="11A5419F" w14:textId="493178DA" w:rsidR="008300D5" w:rsidRPr="008300D5" w:rsidRDefault="008300D5" w:rsidP="003B5BCC">
      <w:pPr>
        <w:pStyle w:val="Legenda"/>
        <w:spacing w:before="0" w:after="0" w:line="240" w:lineRule="auto"/>
      </w:pPr>
      <w:bookmarkStart w:id="142" w:name="_Ref411614983"/>
      <w:bookmarkStart w:id="143" w:name="_Toc413848076"/>
      <w:bookmarkStart w:id="144" w:name="_Toc527990456"/>
      <w:r w:rsidRPr="008300D5">
        <w:t xml:space="preserve">Figura </w:t>
      </w:r>
      <w:fldSimple w:instr=" SEQ Figura \* ARABIC ">
        <w:r w:rsidR="00A50E67">
          <w:rPr>
            <w:noProof/>
          </w:rPr>
          <w:t>9</w:t>
        </w:r>
      </w:fldSimple>
      <w:bookmarkEnd w:id="142"/>
      <w:r w:rsidRPr="008300D5">
        <w:t xml:space="preserve">: Representação esquemática dos locais de descontaminação (situados na “Zona Morna”) no zoneamento das áreas de resposta à </w:t>
      </w:r>
      <w:r w:rsidRPr="009A234A">
        <w:t>emergência</w:t>
      </w:r>
      <w:bookmarkEnd w:id="143"/>
      <w:r w:rsidR="008D6541" w:rsidRPr="009A234A">
        <w:t xml:space="preserve"> (Fonte: </w:t>
      </w:r>
      <w:r w:rsidR="009A234A" w:rsidRPr="009A234A">
        <w:t>Witt|O’Brien’s, 201</w:t>
      </w:r>
      <w:r w:rsidR="009A234A">
        <w:t>4</w:t>
      </w:r>
      <w:r w:rsidR="00605F99" w:rsidRPr="009A234A">
        <w:t>)</w:t>
      </w:r>
      <w:r w:rsidR="008D6541" w:rsidRPr="009A234A">
        <w:t>.</w:t>
      </w:r>
      <w:bookmarkEnd w:id="144"/>
    </w:p>
    <w:p w14:paraId="0BD32CEF" w14:textId="77777777" w:rsidR="008300D5" w:rsidRDefault="008300D5" w:rsidP="00BB36FA">
      <w:pPr>
        <w:pStyle w:val="tier1Itext"/>
        <w:spacing w:before="360"/>
      </w:pPr>
      <w:r>
        <w:t xml:space="preserve">O procedimento de descontaminação a ser adotado deverá ser estabelecido com o suporte de especialistas, considerando o tipo de produto e do </w:t>
      </w:r>
      <w:r w:rsidR="003B5BCC">
        <w:t>grau de contaminação associado.</w:t>
      </w:r>
    </w:p>
    <w:p w14:paraId="3F6F7AD5" w14:textId="28DD60AA" w:rsidR="008300D5" w:rsidRDefault="008300D5" w:rsidP="000E5237">
      <w:pPr>
        <w:pStyle w:val="tier1Itext"/>
      </w:pPr>
      <w:r>
        <w:t>Entretanto, r</w:t>
      </w:r>
      <w:r w:rsidRPr="0081168D">
        <w:t>essalta-se que, de acord</w:t>
      </w:r>
      <w:r>
        <w:t xml:space="preserve">o com a Resolução CONAMA n° </w:t>
      </w:r>
      <w:r w:rsidR="005B3229">
        <w:t>472</w:t>
      </w:r>
      <w:r>
        <w:t xml:space="preserve"> de </w:t>
      </w:r>
      <w:r w:rsidRPr="0081168D">
        <w:t>20</w:t>
      </w:r>
      <w:r w:rsidR="005B3229">
        <w:t>15 (Artigo 7, Alínea V)</w:t>
      </w:r>
      <w:r w:rsidRPr="0081168D">
        <w:t>, o uso de dispersantes químicos é proibido nas operações de descontaminação de instalações portuárias, embarcações e equipamentos utilizados na operação de resposta ao derram</w:t>
      </w:r>
      <w:r w:rsidR="005D2FF0">
        <w:t>am</w:t>
      </w:r>
      <w:r w:rsidRPr="0081168D">
        <w:t>e</w:t>
      </w:r>
      <w:r w:rsidR="005D2FF0">
        <w:t>nto</w:t>
      </w:r>
      <w:r w:rsidRPr="0081168D">
        <w:t xml:space="preserve"> de petróleo ou derivados.</w:t>
      </w:r>
    </w:p>
    <w:p w14:paraId="32C80516" w14:textId="6286F4EA" w:rsidR="008300D5" w:rsidRPr="002D2F32" w:rsidRDefault="008300D5" w:rsidP="000E5237">
      <w:pPr>
        <w:pStyle w:val="tier1Itext"/>
      </w:pPr>
      <w:r>
        <w:t xml:space="preserve">Adicionalmente, o gerenciamento dos resíduos gerados durante as ações de descontaminação devem seguir o </w:t>
      </w:r>
      <w:r w:rsidRPr="002D2F32">
        <w:t xml:space="preserve">disposto no </w:t>
      </w:r>
      <w:r w:rsidR="005B3229">
        <w:t xml:space="preserve">Capítulo </w:t>
      </w:r>
      <w:r w:rsidR="00DB2BC5">
        <w:rPr>
          <w:highlight w:val="yellow"/>
        </w:rPr>
        <w:fldChar w:fldCharType="begin"/>
      </w:r>
      <w:r w:rsidR="00DB2BC5">
        <w:instrText xml:space="preserve"> REF _Ref415230275 \r \h </w:instrText>
      </w:r>
      <w:r w:rsidR="00DB2BC5">
        <w:rPr>
          <w:highlight w:val="yellow"/>
        </w:rPr>
      </w:r>
      <w:r w:rsidR="00DB2BC5">
        <w:rPr>
          <w:highlight w:val="yellow"/>
        </w:rPr>
        <w:fldChar w:fldCharType="separate"/>
      </w:r>
      <w:r w:rsidR="00A50E67">
        <w:t>8.10</w:t>
      </w:r>
      <w:r w:rsidR="00DB2BC5">
        <w:rPr>
          <w:highlight w:val="yellow"/>
        </w:rPr>
        <w:fldChar w:fldCharType="end"/>
      </w:r>
      <w:r w:rsidR="005B3229">
        <w:t xml:space="preserve"> deste Plano.</w:t>
      </w:r>
    </w:p>
    <w:p w14:paraId="3E77F050" w14:textId="77777777" w:rsidR="008300D5" w:rsidRDefault="008300D5" w:rsidP="000E5237">
      <w:pPr>
        <w:pStyle w:val="tier1Itext"/>
      </w:pPr>
      <w:r>
        <w:t>De forma a melhor gerenciar as ações de descontaminação a serem feitas durante a resposta a um vazamento, planos específicos de descontaminação por local e/ou técnica de resposta serão elaborados pelos especialistas da IMT, considerando aspectos de segurança operacional, avaliação ambiental e necessidades logísticas para o suporte destas operações.</w:t>
      </w:r>
    </w:p>
    <w:p w14:paraId="1A4B064E" w14:textId="77777777" w:rsidR="00B52C01" w:rsidRPr="004D0716" w:rsidRDefault="00B52C01" w:rsidP="009D01BE">
      <w:pPr>
        <w:pStyle w:val="Ttulo1"/>
      </w:pPr>
      <w:bookmarkStart w:id="145" w:name="_Ref414612277"/>
      <w:bookmarkStart w:id="146" w:name="_Ref414612335"/>
      <w:bookmarkStart w:id="147" w:name="_Ref414612526"/>
      <w:bookmarkStart w:id="148" w:name="_Ref414612532"/>
      <w:bookmarkStart w:id="149" w:name="_Ref414612561"/>
      <w:bookmarkStart w:id="150" w:name="_Ref414612568"/>
      <w:bookmarkStart w:id="151" w:name="_Toc527990418"/>
      <w:r w:rsidRPr="004D0716">
        <w:lastRenderedPageBreak/>
        <w:t>PROCEDIMENTOS OPERACIONAIS DE RESPOSTA</w:t>
      </w:r>
      <w:bookmarkEnd w:id="145"/>
      <w:bookmarkEnd w:id="146"/>
      <w:bookmarkEnd w:id="147"/>
      <w:bookmarkEnd w:id="148"/>
      <w:bookmarkEnd w:id="149"/>
      <w:bookmarkEnd w:id="150"/>
      <w:bookmarkEnd w:id="151"/>
    </w:p>
    <w:p w14:paraId="4B3D9EA0" w14:textId="77777777" w:rsidR="00B97508" w:rsidRPr="00EE0E12" w:rsidRDefault="00B97508" w:rsidP="000E5237">
      <w:pPr>
        <w:pStyle w:val="tier1Itext"/>
      </w:pPr>
      <w:r w:rsidRPr="00EE0E12">
        <w:t xml:space="preserve">Cada incidente em particular é altamente único na sua </w:t>
      </w:r>
      <w:r w:rsidRPr="00723A97">
        <w:t>natureza e apresenta ampla variedade da resposta a ser dada dependendo das situações no momento de sua ocorrência. A estratégia de resposta a ser adotada deve ser definida em termos de uma combinação de técnicas aplicáveis de acordo com os tempos de resposta desejados e/ou requeridos. Assim sendo, considerando a filosofia de resposta da BP de “exceder a reação e a resposta”</w:t>
      </w:r>
      <w:r w:rsidRPr="00C45C9A">
        <w:rPr>
          <w:vertAlign w:val="superscript"/>
        </w:rPr>
        <w:footnoteReference w:id="23"/>
      </w:r>
      <w:r w:rsidRPr="00723A97">
        <w:t>, todas as técnicas no conjunto da resposta devem ser consideradas durante o planejamento da estratégia de combate a um incidente, ajustando o seu momento de aplicação de maneira a otimizar a máxima eficiência destas respostas, definidas pelo pleno alcance dos principais objetivos da BP, a saber:</w:t>
      </w:r>
      <w:r w:rsidRPr="00EE0E12">
        <w:t xml:space="preserve"> </w:t>
      </w:r>
    </w:p>
    <w:p w14:paraId="15FB341F" w14:textId="77777777"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EE0E12">
        <w:rPr>
          <w:rFonts w:asciiTheme="majorHAnsi" w:hAnsiTheme="majorHAnsi"/>
        </w:rPr>
        <w:t>Segurança de todo o pessoal envolvido na resposta;</w:t>
      </w:r>
    </w:p>
    <w:p w14:paraId="610B547D" w14:textId="77777777"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 xml:space="preserve">Estabilização do incidente; </w:t>
      </w:r>
    </w:p>
    <w:p w14:paraId="0AB52757" w14:textId="77777777"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Proteção do meio ambiente e populações envolvidas (minimizando os impactos); e</w:t>
      </w:r>
    </w:p>
    <w:p w14:paraId="62B2E59B" w14:textId="77777777"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EE0E12">
        <w:rPr>
          <w:rFonts w:asciiTheme="majorHAnsi" w:hAnsiTheme="majorHAnsi"/>
        </w:rPr>
        <w:t>Segurança das instalações e a continuidade dos negócios.</w:t>
      </w:r>
    </w:p>
    <w:p w14:paraId="041F6393" w14:textId="77777777" w:rsidR="00B97508" w:rsidRPr="00EE0E12" w:rsidRDefault="00B97508" w:rsidP="000E5237">
      <w:pPr>
        <w:pStyle w:val="tier1Itext"/>
      </w:pPr>
      <w:r w:rsidRPr="00EE0E12">
        <w:t>Quando da definição de uma estratégia de resposta, as técnicas aplicáveis aos diferentes ambientes geográficos (alto mar [</w:t>
      </w:r>
      <w:r w:rsidRPr="00EE0E12">
        <w:rPr>
          <w:i/>
        </w:rPr>
        <w:t>offshore</w:t>
      </w:r>
      <w:r w:rsidRPr="00EE0E12">
        <w:t>], próximo da costa [</w:t>
      </w:r>
      <w:r w:rsidRPr="00EE0E12">
        <w:rPr>
          <w:i/>
        </w:rPr>
        <w:t>nearshore</w:t>
      </w:r>
      <w:r w:rsidRPr="00EE0E12">
        <w:t>] e em terra) devem ser avaliados à luz dos seguintes pontos, ainda que não exclusivamente:</w:t>
      </w:r>
    </w:p>
    <w:p w14:paraId="433B9FF8" w14:textId="77777777"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EE0E12">
        <w:rPr>
          <w:rFonts w:asciiTheme="majorHAnsi" w:hAnsiTheme="majorHAnsi"/>
        </w:rPr>
        <w:t>A segurança das operações nas diversas frentes;</w:t>
      </w:r>
    </w:p>
    <w:p w14:paraId="6174D551" w14:textId="77777777"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A efetividade de cada resposta individualmente;</w:t>
      </w:r>
    </w:p>
    <w:p w14:paraId="5A2877AA" w14:textId="77777777"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 xml:space="preserve">A viabilidade de mobilização nas condições operacionais e ambientais predominantes; </w:t>
      </w:r>
    </w:p>
    <w:p w14:paraId="5D839C88" w14:textId="77777777"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As sensibilidades ambientais e socioeconômicas locais e regionais, e a sua priorização para proteção e/ou resposta; e</w:t>
      </w:r>
    </w:p>
    <w:p w14:paraId="1D18FD34" w14:textId="77777777" w:rsidR="00B97508"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EE0E12">
        <w:rPr>
          <w:rFonts w:asciiTheme="majorHAnsi" w:hAnsiTheme="majorHAnsi"/>
        </w:rPr>
        <w:t>A disponibilidade de capacidades de recursos Tier 1, Tier 2 e Tier 3.</w:t>
      </w:r>
    </w:p>
    <w:p w14:paraId="62B667AA" w14:textId="5D0FE231" w:rsidR="00B97508" w:rsidRPr="00EE0E12" w:rsidRDefault="00B97508" w:rsidP="000E5237">
      <w:pPr>
        <w:pStyle w:val="tier1Itext"/>
      </w:pPr>
      <w:r w:rsidRPr="00EE0E12">
        <w:t xml:space="preserve">Neste Plano de Emergência Individual (PEI) </w:t>
      </w:r>
      <w:r w:rsidR="00311EC3">
        <w:t xml:space="preserve">da unidade ENSCO DS-9 </w:t>
      </w:r>
      <w:r w:rsidRPr="00EE0E12">
        <w:t>para as operações no Bloco FZA-M-59, alguns cenários potenciais chave de derram</w:t>
      </w:r>
      <w:r w:rsidR="005D2FF0">
        <w:t>am</w:t>
      </w:r>
      <w:r w:rsidRPr="00EE0E12">
        <w:t>e</w:t>
      </w:r>
      <w:r w:rsidR="005D2FF0">
        <w:t>ntos</w:t>
      </w:r>
      <w:r w:rsidRPr="00EE0E12">
        <w:t xml:space="preserve"> foram definidos previamente, ajudando na identificação dos fatores essenciais de planejamento também envolvidos nas avaliações das técnicas nas suas respostas.</w:t>
      </w:r>
    </w:p>
    <w:p w14:paraId="0AB3D24E" w14:textId="184BA5BB" w:rsidR="00B97508" w:rsidRPr="00EE0E12" w:rsidRDefault="00B97508" w:rsidP="000E5237">
      <w:pPr>
        <w:pStyle w:val="tier1Itext"/>
      </w:pPr>
      <w:r w:rsidRPr="00923DD3">
        <w:lastRenderedPageBreak/>
        <w:t>Outro critério</w:t>
      </w:r>
      <w:r w:rsidRPr="00EE0E12">
        <w:t xml:space="preserve"> essencial de adoção para cada técnica de resposta é a sua aplicabilidade sob os requerimentos regulatórios ambientais e legais brasileiros, considerando as prioridades dadas a proteção e/ou resposta, restrições e critérios de desempenho. Atualmente, algumas das técnicas são regidas sob as amplas diretrizes da Lei Federal n. 9966/00 (a chamada “Lei do Óleo”) e as Resoluções CONAMA Nº </w:t>
      </w:r>
      <w:r w:rsidR="00311EC3">
        <w:t>472</w:t>
      </w:r>
      <w:r w:rsidRPr="00EE0E12">
        <w:t>/</w:t>
      </w:r>
      <w:r w:rsidR="00311EC3">
        <w:t>15</w:t>
      </w:r>
      <w:r w:rsidRPr="00EE0E12">
        <w:t xml:space="preserve"> e Nº 398/08, que regem os critérios de aplicação de dispersantes e o dimensionamento dos recursos mínimos para o PEI, respectivamente.</w:t>
      </w:r>
    </w:p>
    <w:p w14:paraId="2F97C33E" w14:textId="77777777" w:rsidR="00B97508" w:rsidRPr="00EE0E12" w:rsidRDefault="00B97508" w:rsidP="000E5237">
      <w:pPr>
        <w:pStyle w:val="tier1Itext"/>
      </w:pPr>
      <w:r w:rsidRPr="00EE0E12">
        <w:t xml:space="preserve">É extremamente indicado também o emprego do NEBA (do inglês </w:t>
      </w:r>
      <w:r w:rsidRPr="00311EC3">
        <w:rPr>
          <w:i/>
        </w:rPr>
        <w:t>Net Environmental Benefit Analysis</w:t>
      </w:r>
      <w:r w:rsidRPr="00EE0E12">
        <w:t xml:space="preserve"> - Análise de Benefício Ambiental Líquido), um processo no qual os impactos ambientais e socioeconômicos potenciais de um derrame de óleo são considerados, juntamente com a identificação da viabilidade e dos benefícios das diferentes técnicas de resposta (incluindo a intervenção limitada). Nesta análise também são avaliados os possíveis impactos secundários resultantes da aplicação das técnicas (de forma individual ou combinada), níveis e prazos de resposta; a partir de onde é obtido um balanço geral das medidas de resposta a serem adotadas que oferecem um alto nível de efetividade, evitando e/ou mitigando os impactos e resultando em um maior benefício ambiental </w:t>
      </w:r>
      <w:r w:rsidR="000E5237">
        <w:t>e socioeconômico líquido geral.</w:t>
      </w:r>
    </w:p>
    <w:p w14:paraId="6C29F13F" w14:textId="2921BBF2" w:rsidR="00B97508" w:rsidRPr="00EE0E12" w:rsidRDefault="00B97508" w:rsidP="000E5237">
      <w:pPr>
        <w:pStyle w:val="tier1Itext"/>
      </w:pPr>
      <w:r w:rsidRPr="00EE0E12">
        <w:t xml:space="preserve">A abordagem do NEBA está </w:t>
      </w:r>
      <w:r w:rsidR="00311EC3">
        <w:t xml:space="preserve">diretamente </w:t>
      </w:r>
      <w:r w:rsidRPr="00EE0E12">
        <w:t>alinhada com os dados da Análise de Risco Ambiental disponíveis e também considera os históricos de respostas dadas e seus resultados atingidos em casos de derrames ocorridos anteriormente.</w:t>
      </w:r>
    </w:p>
    <w:p w14:paraId="2018E1EB" w14:textId="0E33F18F" w:rsidR="00B97508" w:rsidRPr="00EE0E12" w:rsidRDefault="00B97508" w:rsidP="000E5237">
      <w:pPr>
        <w:pStyle w:val="tier1Itext"/>
      </w:pPr>
      <w:r w:rsidRPr="00EE0E12">
        <w:t xml:space="preserve">Algumas técnicas estão em constante desenvolvimento, exibindo melhoras no dimensionamento de equipamentos, procedimentos e desempenho. Algumas vezes a resposta pode requerer uma concepção diferente daquela inicialmente descrita neste plano, até considerando o uso de alguns equipamentos ou componentes diferentes, porém ainda sob o mesmo escopo da técnica. Nestes casos, os argumentos que suportam essa aplicação serão </w:t>
      </w:r>
      <w:r w:rsidR="00311EC3">
        <w:t xml:space="preserve">submetidos e </w:t>
      </w:r>
      <w:r w:rsidRPr="00EE0E12">
        <w:t>discutidos com os representantes governamentais antecipadamente, de maneira a buscar acordo sobre a aplicação desta técnica modificada.</w:t>
      </w:r>
    </w:p>
    <w:p w14:paraId="759FBABA" w14:textId="77777777" w:rsidR="00B97508" w:rsidRPr="00EE0E12" w:rsidRDefault="00B97508" w:rsidP="00121F26">
      <w:pPr>
        <w:pStyle w:val="tier1Itext"/>
      </w:pPr>
      <w:r w:rsidRPr="00EE0E12">
        <w:lastRenderedPageBreak/>
        <w:t>As boas práticas internacionais também estão no bojo estrutural da definição das técnicas, principalmente aquelas definidas pela IPIECA</w:t>
      </w:r>
      <w:r w:rsidRPr="00EE0E12">
        <w:rPr>
          <w:rStyle w:val="Refdenotaderodap"/>
        </w:rPr>
        <w:footnoteReference w:id="24"/>
      </w:r>
      <w:r w:rsidRPr="00EE0E12">
        <w:t>, IMO</w:t>
      </w:r>
      <w:r w:rsidRPr="00EE0E12">
        <w:rPr>
          <w:rStyle w:val="Refdenotaderodap"/>
        </w:rPr>
        <w:footnoteReference w:id="25"/>
      </w:r>
      <w:r w:rsidRPr="00EE0E12">
        <w:t xml:space="preserve"> e ITOPF</w:t>
      </w:r>
      <w:r w:rsidRPr="00EE0E12">
        <w:rPr>
          <w:rStyle w:val="Refdenotaderodap"/>
        </w:rPr>
        <w:footnoteReference w:id="26"/>
      </w:r>
      <w:r w:rsidRPr="00EE0E12">
        <w:t xml:space="preserve">, resumidas na </w:t>
      </w:r>
      <w:r w:rsidRPr="00EE0E12">
        <w:rPr>
          <w:i/>
        </w:rPr>
        <w:t>Oil Spill Report Series</w:t>
      </w:r>
      <w:r w:rsidRPr="00EE0E12">
        <w:rPr>
          <w:i/>
          <w:vertAlign w:val="superscript"/>
        </w:rPr>
        <w:t>®</w:t>
      </w:r>
      <w:r w:rsidR="000E5237">
        <w:t>.</w:t>
      </w:r>
    </w:p>
    <w:p w14:paraId="0BCB60EB" w14:textId="77777777" w:rsidR="00B97508" w:rsidRPr="00EE0E12" w:rsidRDefault="00B97508" w:rsidP="000E5237">
      <w:pPr>
        <w:pStyle w:val="tier1Itext"/>
      </w:pPr>
      <w:r w:rsidRPr="00EE0E12">
        <w:t>Neste contexto, a decisão pela(s) estratégia(s) de resposta mais adequada(s) está sujeita a uma avaliação permanente do cenário acidental e atualização contínua do planejamento da resposta (ICS 201 [Relat</w:t>
      </w:r>
      <w:r w:rsidR="00C85C06">
        <w:t xml:space="preserve">ório Geral </w:t>
      </w:r>
      <w:r w:rsidRPr="00EE0E12">
        <w:t>do Incidente - do termo em inglês “</w:t>
      </w:r>
      <w:r w:rsidRPr="00EE0E12">
        <w:rPr>
          <w:i/>
        </w:rPr>
        <w:t>Incident Briefing Form</w:t>
      </w:r>
      <w:r w:rsidRPr="00EE0E12">
        <w:t>”] ou IAP - Plano de Ação do Incidente, do termo em inlgês “</w:t>
      </w:r>
      <w:r w:rsidRPr="00EE0E12">
        <w:rPr>
          <w:i/>
        </w:rPr>
        <w:t>Incident Action Plan</w:t>
      </w:r>
      <w:r w:rsidRPr="00EE0E12">
        <w:t>”), através de um esforço conjunto das equipes de gerenciamento e de resposta tática da BP. Relembra-se, contudo, que as ações previstas no planejamento deverão ser executadas sempre respeitando-se os principais objetivos de resposta da empresa.</w:t>
      </w:r>
    </w:p>
    <w:p w14:paraId="1451C7DA" w14:textId="290589C4" w:rsidR="00B97508" w:rsidRPr="00EE0E12" w:rsidRDefault="00B97508" w:rsidP="000E5237">
      <w:pPr>
        <w:pStyle w:val="tier1Itext"/>
      </w:pPr>
      <w:r w:rsidRPr="00EE0E12">
        <w:t xml:space="preserve">Convém ressaltar que os procedimentos operacionais descritos nesta seção são aplicáveis para qualquer tipo de resposta. No caso de ações a serem realizadas fora de áreas sob jurisdição da República Federativa do Brasil, a adoção de qualquer operação de resposta deverá também considerar os regulamentos internacionais e dos países potencialmente </w:t>
      </w:r>
      <w:r w:rsidR="00311EC3">
        <w:t>envolvidos</w:t>
      </w:r>
      <w:r w:rsidRPr="00EE0E12">
        <w:t>.</w:t>
      </w:r>
    </w:p>
    <w:p w14:paraId="206CBDAE" w14:textId="6EBD8D5E" w:rsidR="00B97508" w:rsidRDefault="00B97508" w:rsidP="000E5237">
      <w:pPr>
        <w:pStyle w:val="tier1Itext"/>
      </w:pPr>
      <w:r w:rsidRPr="004D0716">
        <w:t xml:space="preserve">Conforme redação do Decreto nº 8.127 de 2013, que institui o Plano Nacional de Contingência para Incidentes de Poluição por Óleo em Águas sob Jurisdição Nacional, a possibilidade de um derramamento de óleo no mar atingir águas jurisdicionais de países vizinhos constitui um dos critérios a serem analisados pelo Grupo de Acompanhamento e Avaliação </w:t>
      </w:r>
      <w:r w:rsidR="0077216E">
        <w:t xml:space="preserve">- </w:t>
      </w:r>
      <w:r w:rsidRPr="00B8011A">
        <w:rPr>
          <w:highlight w:val="lightGray"/>
        </w:rPr>
        <w:t>GAA</w:t>
      </w:r>
      <w:r w:rsidR="0077216E" w:rsidRPr="00B8011A">
        <w:rPr>
          <w:highlight w:val="lightGray"/>
        </w:rPr>
        <w:t xml:space="preserve"> (inciso VII do Art 17º), e potencialmente classificá-lo como de significância nacional. Assim, coforme apresentado na Seção 7.2.3, espera-se que o Ministério das Relaç</w:t>
      </w:r>
      <w:r w:rsidR="00605B0B" w:rsidRPr="00B8011A">
        <w:rPr>
          <w:highlight w:val="lightGray"/>
        </w:rPr>
        <w:t>õ</w:t>
      </w:r>
      <w:r w:rsidR="0077216E" w:rsidRPr="00B8011A">
        <w:rPr>
          <w:highlight w:val="lightGray"/>
        </w:rPr>
        <w:t>es Exteriores seja ativado no Comitê de Suporte</w:t>
      </w:r>
      <w:r w:rsidRPr="00B8011A">
        <w:rPr>
          <w:highlight w:val="lightGray"/>
        </w:rPr>
        <w:t>.</w:t>
      </w:r>
      <w:r w:rsidR="00E0701C">
        <w:t xml:space="preserve"> </w:t>
      </w:r>
    </w:p>
    <w:p w14:paraId="1EA46B66" w14:textId="050A8373" w:rsidR="0095658D" w:rsidRDefault="0095658D" w:rsidP="000E5237">
      <w:pPr>
        <w:pStyle w:val="tier1Itext"/>
      </w:pPr>
    </w:p>
    <w:p w14:paraId="5B489EB5" w14:textId="1DC4F405" w:rsidR="0077216E" w:rsidRPr="00B8011A" w:rsidRDefault="0077216E" w:rsidP="0077216E">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ind w:left="714" w:hanging="357"/>
        <w:rPr>
          <w:rFonts w:asciiTheme="majorHAnsi" w:hAnsiTheme="majorHAnsi"/>
          <w:highlight w:val="lightGray"/>
        </w:rPr>
      </w:pPr>
      <w:r w:rsidRPr="00B8011A">
        <w:rPr>
          <w:rFonts w:asciiTheme="majorHAnsi" w:hAnsiTheme="majorHAnsi"/>
          <w:highlight w:val="lightGray"/>
        </w:rPr>
        <w:lastRenderedPageBreak/>
        <w:t>Resposta Transfronteiriça</w:t>
      </w:r>
    </w:p>
    <w:p w14:paraId="73DEED9A" w14:textId="77777777" w:rsidR="003B1D4B" w:rsidRPr="00B8011A" w:rsidRDefault="0077216E" w:rsidP="000E5237">
      <w:pPr>
        <w:pStyle w:val="tier1Itext"/>
        <w:rPr>
          <w:highlight w:val="lightGray"/>
          <w:lang w:val="pt-PT"/>
        </w:rPr>
      </w:pPr>
      <w:r w:rsidRPr="00B8011A">
        <w:rPr>
          <w:highlight w:val="lightGray"/>
          <w:lang w:val="pt-PT"/>
        </w:rPr>
        <w:t>O limite fronteiriço marítimo entre dois países não é considerado como um elem</w:t>
      </w:r>
      <w:r w:rsidR="004C15BC" w:rsidRPr="00B8011A">
        <w:rPr>
          <w:highlight w:val="lightGray"/>
          <w:lang w:val="pt-PT"/>
        </w:rPr>
        <w:t>e</w:t>
      </w:r>
      <w:r w:rsidRPr="00B8011A">
        <w:rPr>
          <w:highlight w:val="lightGray"/>
          <w:lang w:val="pt-PT"/>
        </w:rPr>
        <w:t xml:space="preserve">nto físico impeditivo ao deslocamento de embarcações, que navegam livremente através destas regiões. Para tanto, </w:t>
      </w:r>
      <w:r w:rsidR="004C15BC" w:rsidRPr="00B8011A">
        <w:rPr>
          <w:highlight w:val="lightGray"/>
          <w:lang w:val="pt-PT"/>
        </w:rPr>
        <w:t xml:space="preserve">em alguns casos, </w:t>
      </w:r>
      <w:r w:rsidRPr="00B8011A">
        <w:rPr>
          <w:highlight w:val="lightGray"/>
          <w:lang w:val="pt-PT"/>
        </w:rPr>
        <w:t xml:space="preserve">é </w:t>
      </w:r>
      <w:r w:rsidR="004C15BC" w:rsidRPr="00B8011A">
        <w:rPr>
          <w:highlight w:val="lightGray"/>
          <w:lang w:val="pt-PT"/>
        </w:rPr>
        <w:t xml:space="preserve">somente </w:t>
      </w:r>
      <w:r w:rsidRPr="00B8011A">
        <w:rPr>
          <w:highlight w:val="lightGray"/>
          <w:lang w:val="pt-PT"/>
        </w:rPr>
        <w:t>necessária</w:t>
      </w:r>
      <w:r w:rsidR="004C15BC" w:rsidRPr="00B8011A">
        <w:rPr>
          <w:highlight w:val="lightGray"/>
          <w:lang w:val="pt-PT"/>
        </w:rPr>
        <w:t xml:space="preserve"> a manifestação da derrota desta embarcação para o possível acompanhamento de seu registro no sistema de rastreio de navegação.</w:t>
      </w:r>
    </w:p>
    <w:p w14:paraId="3A70BD92" w14:textId="4B00AD14" w:rsidR="005C646B" w:rsidRPr="00B8011A" w:rsidRDefault="003B1D4B" w:rsidP="000E5237">
      <w:pPr>
        <w:pStyle w:val="tier1Itext"/>
        <w:rPr>
          <w:highlight w:val="lightGray"/>
          <w:lang w:val="pt-PT"/>
        </w:rPr>
      </w:pPr>
      <w:r w:rsidRPr="00B8011A">
        <w:rPr>
          <w:highlight w:val="lightGray"/>
          <w:lang w:val="pt-PT"/>
        </w:rPr>
        <w:t>Tanto o Brasil</w:t>
      </w:r>
      <w:r w:rsidRPr="00B8011A">
        <w:rPr>
          <w:rStyle w:val="Refdenotaderodap"/>
          <w:highlight w:val="lightGray"/>
          <w:lang w:val="pt-PT"/>
        </w:rPr>
        <w:footnoteReference w:id="27"/>
      </w:r>
      <w:r w:rsidRPr="00B8011A">
        <w:rPr>
          <w:highlight w:val="lightGray"/>
          <w:lang w:val="pt-PT"/>
        </w:rPr>
        <w:t xml:space="preserve"> quanto a França e alguns dos demais países do Caribe, são signatários da Convenção Internacional sobre Preparo, Resposta e Cooperação no Caso de Poluição </w:t>
      </w:r>
      <w:r w:rsidR="0077216E" w:rsidRPr="00B8011A">
        <w:rPr>
          <w:highlight w:val="lightGray"/>
          <w:lang w:val="pt-PT"/>
        </w:rPr>
        <w:t xml:space="preserve"> </w:t>
      </w:r>
      <w:r w:rsidRPr="00B8011A">
        <w:rPr>
          <w:highlight w:val="lightGray"/>
          <w:lang w:val="pt-PT"/>
        </w:rPr>
        <w:t xml:space="preserve">por Óleo (OPRC-90), que trata, em seu Art 7º, da “cooperação internacional na resposta a um evento de poluição”. Em seu inciso (ii) diz especificamente que as Partes adotarão medidas de carácter jurídico e/ou administrativo necessárias para facilitar a chegada, uso e saída </w:t>
      </w:r>
      <w:r w:rsidR="005C646B" w:rsidRPr="00B8011A">
        <w:rPr>
          <w:highlight w:val="lightGray"/>
          <w:lang w:val="pt-PT"/>
        </w:rPr>
        <w:t xml:space="preserve">de seus territórios </w:t>
      </w:r>
      <w:r w:rsidRPr="00B8011A">
        <w:rPr>
          <w:highlight w:val="lightGray"/>
          <w:lang w:val="pt-PT"/>
        </w:rPr>
        <w:t xml:space="preserve">de recursos </w:t>
      </w:r>
      <w:r w:rsidR="005C646B" w:rsidRPr="00B8011A">
        <w:rPr>
          <w:highlight w:val="lightGray"/>
          <w:lang w:val="pt-PT"/>
        </w:rPr>
        <w:t xml:space="preserve">(navios, aeronaves e outros meios de transporte de pessoal, carga, material e/ou equipamentos) </w:t>
      </w:r>
      <w:r w:rsidRPr="00B8011A">
        <w:rPr>
          <w:highlight w:val="lightGray"/>
          <w:lang w:val="pt-PT"/>
        </w:rPr>
        <w:t xml:space="preserve">envolvidos na resposta a um incidente de </w:t>
      </w:r>
      <w:r w:rsidR="005C646B" w:rsidRPr="00B8011A">
        <w:rPr>
          <w:highlight w:val="lightGray"/>
          <w:lang w:val="pt-PT"/>
        </w:rPr>
        <w:t xml:space="preserve">poluição por óleo.  Em seu Art 10º, determina que os países (Partes) se esforçarão em concluir acordos bilaterais e multilaterais para preparo e resposta a estas situações. </w:t>
      </w:r>
    </w:p>
    <w:p w14:paraId="4A6B2343" w14:textId="4CDAEF86" w:rsidR="004C15BC" w:rsidRDefault="005C646B" w:rsidP="000E5237">
      <w:pPr>
        <w:pStyle w:val="tier1Itext"/>
        <w:rPr>
          <w:lang w:val="pt-PT"/>
        </w:rPr>
      </w:pPr>
      <w:r w:rsidRPr="00B8011A">
        <w:rPr>
          <w:highlight w:val="lightGray"/>
          <w:lang w:val="pt-PT"/>
        </w:rPr>
        <w:t>No entanto, reconhecendo as dificuldades regulamentares existentes na celebração destes acordos, a IMO editou em 2006, a Resolução A.983 (24), que teve por objetivo estabelecer diretrizes para a facilitação de respostas, orientando a assistência mútua entre países mesmo quando não exista acordos bilaterais e multilaterais sobre o assunto.</w:t>
      </w:r>
      <w:r w:rsidR="00E0701C">
        <w:rPr>
          <w:lang w:val="pt-PT"/>
        </w:rPr>
        <w:t xml:space="preserve"> </w:t>
      </w:r>
    </w:p>
    <w:p w14:paraId="0623D740" w14:textId="164B6F4B" w:rsidR="00DE2D1F" w:rsidRDefault="00DE2D1F" w:rsidP="000E5237">
      <w:pPr>
        <w:pStyle w:val="tier1Itext"/>
        <w:rPr>
          <w:lang w:val="pt-PT"/>
        </w:rPr>
      </w:pPr>
      <w:r w:rsidRPr="00B8011A">
        <w:rPr>
          <w:highlight w:val="lightGray"/>
          <w:lang w:val="pt-PT"/>
        </w:rPr>
        <w:lastRenderedPageBreak/>
        <w:t>Ainda que mais focada em acidentes de navegação, a Convenção Internacional Relativa a Intervenção em Alto-Mar em Casos de Acidentes com Poluição por Óleo,  de 1969 (que entrou em vigência em 1975 e teve sua lista de produtos atualizada em 2016)  define que “as Partes (países) podem tomar, em alto mar, as medidas necessárias para prevenir, atenuar ou eliminar os perigos graves e iminentes de poluição ou ameaça de poluição das águas do mar por óleo, para suas costas ou interesses conexos, resultante de um acidente marítimo ou das ações relacionadas a tal acidente, suscetíveis, segundo tudo indique, de ter graves conseqüências prejudiciais”. Esta convenção também é ratificada pelo Brasil</w:t>
      </w:r>
      <w:r w:rsidR="00E651E8" w:rsidRPr="00B8011A">
        <w:rPr>
          <w:rStyle w:val="Refdenotaderodap"/>
          <w:highlight w:val="lightGray"/>
          <w:lang w:val="pt-PT"/>
        </w:rPr>
        <w:footnoteReference w:id="28"/>
      </w:r>
      <w:r w:rsidRPr="00B8011A">
        <w:rPr>
          <w:highlight w:val="lightGray"/>
          <w:lang w:val="pt-PT"/>
        </w:rPr>
        <w:t xml:space="preserve"> e pela França, o que reforça a idéia que</w:t>
      </w:r>
      <w:r w:rsidR="00E651E8" w:rsidRPr="00B8011A">
        <w:rPr>
          <w:highlight w:val="lightGray"/>
          <w:lang w:val="pt-PT"/>
        </w:rPr>
        <w:t>,</w:t>
      </w:r>
      <w:r w:rsidRPr="00B8011A">
        <w:rPr>
          <w:highlight w:val="lightGray"/>
          <w:lang w:val="pt-PT"/>
        </w:rPr>
        <w:t xml:space="preserve"> mesmo em águas consideradas internacionais, as ações de combate a um vazamento</w:t>
      </w:r>
      <w:r w:rsidR="00E651E8" w:rsidRPr="00B8011A">
        <w:rPr>
          <w:highlight w:val="lightGray"/>
          <w:lang w:val="pt-PT"/>
        </w:rPr>
        <w:t xml:space="preserve"> não precisarão ser interrompidas, garantindo sua maior efetividade nas regiões onde teoricamente o óleo está mais concentrado e menos intemperizado.</w:t>
      </w:r>
    </w:p>
    <w:p w14:paraId="6D543039" w14:textId="37BA4C3B" w:rsidR="00E0701C" w:rsidRDefault="00E0701C" w:rsidP="000E5237">
      <w:pPr>
        <w:pStyle w:val="tier1Itext"/>
        <w:rPr>
          <w:lang w:val="pt-PT"/>
        </w:rPr>
      </w:pPr>
      <w:r w:rsidRPr="00B8011A">
        <w:rPr>
          <w:highlight w:val="lightGray"/>
          <w:lang w:val="pt-PT"/>
        </w:rPr>
        <w:t>Assim sendo, a BP entende que no caso de um vazamento que apresente deriva para fora de águas nacionais em direção a águas jurisdicionais de outro país, a estratégia de comunicação com os pontos focais destes principais países potencialmente impactados, mais destacamente a Guiana Francesa (França), será bastante para que as autorizações necessárias sejam dadas para a continuidade do combate além da fronteira. Em função da evolução desta resposta, recursos administrados pela OSRL poderão ser ativados na região do Caribe, complementando os esforços no combate ao vazamento, de forma integrada e alinhada aos preceitos legais destes.</w:t>
      </w:r>
      <w:r>
        <w:rPr>
          <w:lang w:val="pt-PT"/>
        </w:rPr>
        <w:t xml:space="preserve">  </w:t>
      </w:r>
    </w:p>
    <w:p w14:paraId="010B4303" w14:textId="77777777" w:rsidR="00494C5F" w:rsidRDefault="00494C5F" w:rsidP="000E5237">
      <w:pPr>
        <w:pStyle w:val="tier1Itext"/>
        <w:rPr>
          <w:lang w:val="pt-PT"/>
        </w:rPr>
      </w:pPr>
    </w:p>
    <w:p w14:paraId="06B57AA1" w14:textId="77777777" w:rsidR="00B97508" w:rsidRPr="000E5237" w:rsidRDefault="00B97508"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ind w:left="714" w:hanging="357"/>
        <w:rPr>
          <w:rFonts w:asciiTheme="majorHAnsi" w:hAnsiTheme="majorHAnsi"/>
        </w:rPr>
      </w:pPr>
      <w:r w:rsidRPr="000E5237">
        <w:rPr>
          <w:rFonts w:asciiTheme="majorHAnsi" w:hAnsiTheme="majorHAnsi"/>
        </w:rPr>
        <w:t>Dimensionamento da capacidade mínima de resposta e inventário de recursos</w:t>
      </w:r>
    </w:p>
    <w:p w14:paraId="7B2E31B9" w14:textId="2A211558" w:rsidR="00B97508" w:rsidRPr="00EE0E12" w:rsidRDefault="00B97508" w:rsidP="000E5237">
      <w:pPr>
        <w:pStyle w:val="tier1Itext"/>
      </w:pPr>
      <w:r w:rsidRPr="00EE0E12">
        <w:t>O dimensionamento da capacidade mínima de resposta foi calculado em consonância com os critérios de descargas pequena (8 m</w:t>
      </w:r>
      <w:r w:rsidRPr="00EE0E12">
        <w:rPr>
          <w:vertAlign w:val="superscript"/>
        </w:rPr>
        <w:t>3</w:t>
      </w:r>
      <w:r w:rsidRPr="00B8011A">
        <w:rPr>
          <w:highlight w:val="lightGray"/>
        </w:rPr>
        <w:t>)</w:t>
      </w:r>
      <w:r w:rsidR="006D5286" w:rsidRPr="00B8011A">
        <w:rPr>
          <w:highlight w:val="lightGray"/>
        </w:rPr>
        <w:t xml:space="preserve"> e</w:t>
      </w:r>
      <w:r w:rsidR="006D5286">
        <w:t xml:space="preserve"> </w:t>
      </w:r>
      <w:r w:rsidRPr="00EE0E12">
        <w:t>média (até 200 m</w:t>
      </w:r>
      <w:r w:rsidRPr="00EE0E12">
        <w:rPr>
          <w:vertAlign w:val="superscript"/>
        </w:rPr>
        <w:t>3</w:t>
      </w:r>
      <w:r w:rsidRPr="00EE0E12">
        <w:t xml:space="preserve">) </w:t>
      </w:r>
      <w:r w:rsidR="006D5286" w:rsidRPr="00EE0E12">
        <w:t xml:space="preserve">estabelecidas na Resolução </w:t>
      </w:r>
      <w:r w:rsidR="006D5286" w:rsidRPr="006D5286">
        <w:t xml:space="preserve">CONAMA n° 398/2008, Anexo III, </w:t>
      </w:r>
      <w:r w:rsidRPr="00B8011A">
        <w:rPr>
          <w:highlight w:val="lightGray"/>
        </w:rPr>
        <w:t xml:space="preserve">e de pior caso identificado para a atividade, </w:t>
      </w:r>
      <w:r w:rsidR="006D5286" w:rsidRPr="00B8011A">
        <w:rPr>
          <w:highlight w:val="lightGray"/>
        </w:rPr>
        <w:t>em atendimento ao texto da Resolução CONAMA 398, Artigo 5</w:t>
      </w:r>
      <w:r w:rsidR="006D5286" w:rsidRPr="00B8011A">
        <w:rPr>
          <w:highlight w:val="lightGray"/>
        </w:rPr>
        <w:sym w:font="Symbol" w:char="F0B0"/>
      </w:r>
      <w:r w:rsidR="006D5286" w:rsidRPr="00B8011A">
        <w:rPr>
          <w:highlight w:val="lightGray"/>
        </w:rPr>
        <w:t xml:space="preserve"> § 3</w:t>
      </w:r>
      <w:r w:rsidR="006D5286" w:rsidRPr="00B8011A">
        <w:rPr>
          <w:highlight w:val="lightGray"/>
        </w:rPr>
        <w:sym w:font="Symbol" w:char="F0B0"/>
      </w:r>
      <w:r w:rsidR="006D5286" w:rsidRPr="00B8011A">
        <w:rPr>
          <w:highlight w:val="lightGray"/>
        </w:rPr>
        <w:t xml:space="preserve">, frente à manifestação do Parecer Técnico 106/17, onde é determinada a adoção do volume de 30 dias para estimativa da CEDRO. </w:t>
      </w:r>
      <w:r w:rsidR="00231A54" w:rsidRPr="00B8011A">
        <w:rPr>
          <w:highlight w:val="lightGray"/>
        </w:rPr>
        <w:t>Alguns recursos para identificação e monitoramento de manchas são baseados nas especificações complementares emitidas na NT 03/13</w:t>
      </w:r>
      <w:r w:rsidR="00231A54">
        <w:t xml:space="preserve">. </w:t>
      </w:r>
      <w:r w:rsidRPr="00EE0E12">
        <w:t xml:space="preserve">O </w:t>
      </w:r>
      <w:r w:rsidR="000E5237" w:rsidRPr="003F5ADD">
        <w:rPr>
          <w:b/>
        </w:rPr>
        <w:t xml:space="preserve">APÊNDICE </w:t>
      </w:r>
      <w:r w:rsidR="00311EC3" w:rsidRPr="003F5ADD">
        <w:rPr>
          <w:b/>
        </w:rPr>
        <w:t>E</w:t>
      </w:r>
      <w:r w:rsidR="000E5237">
        <w:t xml:space="preserve"> </w:t>
      </w:r>
      <w:r w:rsidRPr="00EE0E12">
        <w:t>apresenta os cálculos utilizados para este dimensionamento.</w:t>
      </w:r>
    </w:p>
    <w:p w14:paraId="36369219" w14:textId="78E55498" w:rsidR="00B97508" w:rsidRDefault="00B97508" w:rsidP="000E5237">
      <w:pPr>
        <w:pStyle w:val="tier1Itext"/>
      </w:pPr>
      <w:r w:rsidRPr="00EE0E12">
        <w:lastRenderedPageBreak/>
        <w:t>Os equipamentos necessários para a operacionalização dos procedimentos previstos neste Plano estarão disponíveis na base de apoio da atividade, na embarcação dedicada do tipo OSRV</w:t>
      </w:r>
      <w:r w:rsidR="00311EC3">
        <w:t xml:space="preserve"> e</w:t>
      </w:r>
      <w:r w:rsidRPr="00EE0E12">
        <w:t xml:space="preserve"> nas embarcações de apoio do tipo PSV. Caso a empresa avalie a necessidade de utilização de embarcações adicionais, as mesmas também poderão ser dotadas de equipamentos, alinhadas com a função que irão desempenhar, o que permitirá a mobilização a partir da base de apoio logístico </w:t>
      </w:r>
      <w:r w:rsidRPr="00EE0E12">
        <w:rPr>
          <w:i/>
        </w:rPr>
        <w:t>onshore</w:t>
      </w:r>
      <w:r w:rsidRPr="00EE0E12">
        <w:t>. O inventário completo dos recursos disponíveis para operacionalização das estratégias de resposta é apresentado no</w:t>
      </w:r>
      <w:r w:rsidR="000E5237">
        <w:t xml:space="preserve"> </w:t>
      </w:r>
      <w:r w:rsidR="000E5237" w:rsidRPr="000E5237">
        <w:rPr>
          <w:b/>
        </w:rPr>
        <w:t xml:space="preserve">APÊNDICE </w:t>
      </w:r>
      <w:r w:rsidR="00311EC3">
        <w:rPr>
          <w:b/>
        </w:rPr>
        <w:t>F</w:t>
      </w:r>
      <w:r w:rsidRPr="00EE0E12">
        <w:t>.</w:t>
      </w:r>
      <w:r w:rsidR="00656D39">
        <w:t xml:space="preserve"> </w:t>
      </w:r>
      <w:r w:rsidRPr="00EE0E12">
        <w:t>As fichas técnicas das embarcações encontram-se no</w:t>
      </w:r>
      <w:r w:rsidR="000E5237">
        <w:t xml:space="preserve"> </w:t>
      </w:r>
      <w:r w:rsidR="000E5237" w:rsidRPr="000E5237">
        <w:rPr>
          <w:b/>
        </w:rPr>
        <w:t>ANEXO A</w:t>
      </w:r>
      <w:r w:rsidRPr="00EE0E12">
        <w:t>.</w:t>
      </w:r>
    </w:p>
    <w:p w14:paraId="0D76BCEE" w14:textId="523CA8C9" w:rsidR="00605B0B" w:rsidRPr="00B8011A" w:rsidRDefault="00605B0B" w:rsidP="00605B0B">
      <w:pPr>
        <w:pStyle w:val="tier1Itext"/>
        <w:rPr>
          <w:highlight w:val="lightGray"/>
        </w:rPr>
      </w:pPr>
      <w:r w:rsidRPr="00B8011A">
        <w:rPr>
          <w:highlight w:val="lightGray"/>
        </w:rPr>
        <w:t>A nível estratégico, para perfuração no FZA-M-59, a BP Energy tem como premissa que, na área do Bloco, sempre estarão a embarcação OSRV e um dos PSV’s de apoio à operação. Conforme apresentado, todas as embarcações PSV, além da OSRV, estarão equipadas com recursos para a execução da resposta, podendo ser considerado como o recurso redundante solicitado no quantitativo de embarcações de resposta. A troca entre as embarcações PSV na área do Bloco serão feitas de acordo com a janela de tempo acordada com o órgão ambiental.</w:t>
      </w:r>
    </w:p>
    <w:p w14:paraId="7C23FC5C" w14:textId="6772593F" w:rsidR="006D5286" w:rsidRDefault="006D5286" w:rsidP="00605B0B">
      <w:pPr>
        <w:pStyle w:val="tier1Itext"/>
      </w:pPr>
      <w:r w:rsidRPr="00B8011A">
        <w:rPr>
          <w:highlight w:val="lightGray"/>
        </w:rPr>
        <w:t xml:space="preserve">Também é válido destacar que, de forma a minimizar </w:t>
      </w:r>
      <w:r w:rsidR="00F06117" w:rsidRPr="00B8011A">
        <w:rPr>
          <w:highlight w:val="lightGray"/>
        </w:rPr>
        <w:t>a possibilidade de ausência da embarcação OSRV no período mais crítico da atividade (perfuração da fase de 8 ½”) em função de necessidades logísticas (troca de pessoal e/ou reabastecimento), qualquer demanda neste sentido será planejada para ocorrer antes desta fase, ou após o final da perfuração, com a garantia das condições adequadas de abandono do poço.</w:t>
      </w:r>
    </w:p>
    <w:p w14:paraId="0B7E88E7" w14:textId="77777777" w:rsidR="00694383" w:rsidRPr="00605B0B" w:rsidRDefault="00694383" w:rsidP="00605B0B">
      <w:pPr>
        <w:pStyle w:val="tier1Itext"/>
      </w:pPr>
    </w:p>
    <w:p w14:paraId="668FA7B7" w14:textId="77777777" w:rsidR="00B97508" w:rsidRPr="000E5237" w:rsidRDefault="00B97508"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ind w:left="714" w:hanging="357"/>
        <w:rPr>
          <w:rFonts w:asciiTheme="majorHAnsi" w:hAnsiTheme="majorHAnsi"/>
        </w:rPr>
      </w:pPr>
      <w:r w:rsidRPr="000E5237">
        <w:rPr>
          <w:rFonts w:asciiTheme="majorHAnsi" w:hAnsiTheme="majorHAnsi"/>
        </w:rPr>
        <w:lastRenderedPageBreak/>
        <w:t>Funções e Responsabilidades Primárias na Definição e Coordenação da Estratégia de Resposta</w:t>
      </w:r>
    </w:p>
    <w:p w14:paraId="30220121" w14:textId="21750169" w:rsidR="00B97508" w:rsidRPr="00EE0E12" w:rsidRDefault="00B97508" w:rsidP="000E5237">
      <w:pPr>
        <w:pStyle w:val="tier1Itext"/>
      </w:pPr>
      <w:r w:rsidRPr="00EE0E12">
        <w:t>Este Plano de Emergência Individual está em linha com o OSROP</w:t>
      </w:r>
      <w:r w:rsidRPr="00EE0E12">
        <w:rPr>
          <w:rStyle w:val="Refdenotaderodap"/>
          <w:rFonts w:cstheme="majorHAnsi"/>
          <w:szCs w:val="22"/>
        </w:rPr>
        <w:footnoteReference w:id="29"/>
      </w:r>
      <w:r w:rsidRPr="00EE0E12">
        <w:t xml:space="preserve"> da BP e com o Manual de Táticas de Resposta a Derrames de Óleo da BP, um documento de diretrizes para respondedores de derramamentos de óleo, no qual o alinhamento adequado com as </w:t>
      </w:r>
      <w:r w:rsidR="00C85C06">
        <w:t>posições</w:t>
      </w:r>
      <w:r w:rsidR="00C85C06" w:rsidRPr="00EE0E12">
        <w:t xml:space="preserve"> </w:t>
      </w:r>
      <w:r w:rsidRPr="00EE0E12">
        <w:t xml:space="preserve">da IMT foi realizado. Considerando que as especificidades de qualquer incidente em particular são altamente individuais em natureza e variam muito dependendo das circunstâncias presentes, esta abordagem tática de resposta é útil para guiar a sua resposta. Também considera a ligação com outros documentos e ferramentas </w:t>
      </w:r>
      <w:r w:rsidR="00C85C06">
        <w:t>necessárias</w:t>
      </w:r>
      <w:r w:rsidR="00C85C06" w:rsidRPr="00EE0E12">
        <w:t xml:space="preserve"> </w:t>
      </w:r>
      <w:r w:rsidRPr="00EE0E12">
        <w:t>durante a resposta, como os Planos de Gestão de Resíduos, de Descontaminação e de Relações com Partes Envolvidas e Comunidades, entre outros de suporte.</w:t>
      </w:r>
    </w:p>
    <w:p w14:paraId="23922D2D" w14:textId="112D58B0" w:rsidR="00B97508" w:rsidRPr="00EE0E12" w:rsidRDefault="00B97508" w:rsidP="000E5237">
      <w:pPr>
        <w:pStyle w:val="tier1Itext"/>
        <w:rPr>
          <w:bCs/>
        </w:rPr>
      </w:pPr>
      <w:r w:rsidRPr="00EE0E12">
        <w:t xml:space="preserve">O Chefe da Seção de Operações (OSC) deve providenciar a diretriz inicial discutindo a estratégia inicial com o Comandante do Incidente (IC em si ou seu delegado [DIC]) e outros Oficiais adequados, membros </w:t>
      </w:r>
      <w:r w:rsidR="00C85C06" w:rsidRPr="00EE0E12">
        <w:t>d</w:t>
      </w:r>
      <w:r w:rsidR="00C85C06">
        <w:t>a</w:t>
      </w:r>
      <w:r w:rsidR="00C85C06" w:rsidRPr="00EE0E12">
        <w:t xml:space="preserve"> </w:t>
      </w:r>
      <w:r w:rsidRPr="00EE0E12">
        <w:t xml:space="preserve">IMT. Este </w:t>
      </w:r>
      <w:r w:rsidRPr="00EE0E12">
        <w:rPr>
          <w:bCs/>
        </w:rPr>
        <w:t>deve garantir que as equipes envolvidas nas operações táticas de resposta no local tenham o pessoal, equipamentos, materiais e insumos necessários para realizar as operações de maneira segura, efetiva e eficiente. As ações de resposta deverão seguir os procedimentos descritos no ICS 204 para as frentes de combate ao vazamento (</w:t>
      </w:r>
      <w:r w:rsidR="00C85C06">
        <w:rPr>
          <w:bCs/>
        </w:rPr>
        <w:t xml:space="preserve">inicialmente as </w:t>
      </w:r>
      <w:r w:rsidRPr="00EE0E12">
        <w:rPr>
          <w:bCs/>
        </w:rPr>
        <w:t>embarcações e Unidade de Controle da Fonte [</w:t>
      </w:r>
      <w:r w:rsidRPr="00EE0E12">
        <w:rPr>
          <w:bCs/>
          <w:i/>
        </w:rPr>
        <w:t>Source Control</w:t>
      </w:r>
      <w:r w:rsidRPr="00EE0E12">
        <w:rPr>
          <w:bCs/>
        </w:rPr>
        <w:t>]).</w:t>
      </w:r>
    </w:p>
    <w:p w14:paraId="39DBD730" w14:textId="6F7F5FC8" w:rsidR="00B97508" w:rsidRPr="00EE0E12" w:rsidRDefault="00B97508" w:rsidP="000E5237">
      <w:pPr>
        <w:pStyle w:val="tier1Itext"/>
      </w:pPr>
      <w:r w:rsidRPr="00EE0E12">
        <w:t xml:space="preserve">Caso a avaliação inicial do incidente indique o rápido escalonamento da resposta para ações de mais longo prazo, uma divisão de Resposta </w:t>
      </w:r>
      <w:r w:rsidRPr="00EE0E12">
        <w:rPr>
          <w:i/>
        </w:rPr>
        <w:t>Offshore</w:t>
      </w:r>
      <w:r w:rsidRPr="00EE0E12">
        <w:t xml:space="preserve"> (</w:t>
      </w:r>
      <w:r w:rsidRPr="00EE0E12">
        <w:rPr>
          <w:i/>
        </w:rPr>
        <w:t>Offshore Division</w:t>
      </w:r>
      <w:r w:rsidRPr="00EE0E12">
        <w:t>) deverá ser considerada na Seção de Operações, que ficará diretamente resposável pela coordenação das ações de combate ao vazamento. Este procedimento de avaliação também indicará a melhor localização da divisão (n</w:t>
      </w:r>
      <w:r w:rsidR="00311EC3">
        <w:t>o ICP</w:t>
      </w:r>
      <w:r w:rsidRPr="00EE0E12">
        <w:t xml:space="preserve"> ou na Filial</w:t>
      </w:r>
      <w:r w:rsidRPr="00EE0E12">
        <w:rPr>
          <w:rStyle w:val="Refdenotaderodap"/>
          <w:rFonts w:cstheme="majorHAnsi"/>
          <w:bCs/>
          <w:szCs w:val="22"/>
        </w:rPr>
        <w:footnoteReference w:id="30"/>
      </w:r>
      <w:r w:rsidRPr="00EE0E12">
        <w:t>, caso esta seja constituída).</w:t>
      </w:r>
    </w:p>
    <w:p w14:paraId="41DB1CFC" w14:textId="027C9DDE" w:rsidR="00B97508" w:rsidRPr="00EE0E12" w:rsidRDefault="00B97508" w:rsidP="000E5237">
      <w:pPr>
        <w:pStyle w:val="tier1Itext"/>
      </w:pPr>
      <w:r w:rsidRPr="00EE0E12">
        <w:lastRenderedPageBreak/>
        <w:t xml:space="preserve">Todas as ações de resposta devem ser realizadas de acordo com os protocolos e requerimentos regulatórios e corporativos de segurança. Os Oficiais de Segurança Locais e os comandantes das embarcações dedicada e de apoio (representantes da segurança a bordo das embarcações consideradas na resposta), com o apoio do Oficial de Segurança da IMT, terão autoridade e responsabilidade pelo cumprimento total dos procedimentos durante </w:t>
      </w:r>
      <w:r w:rsidR="00311EC3">
        <w:t>um</w:t>
      </w:r>
      <w:r w:rsidRPr="00EE0E12">
        <w:t xml:space="preserve">a resposta. </w:t>
      </w:r>
    </w:p>
    <w:p w14:paraId="0DF3D381" w14:textId="77777777" w:rsidR="00B97508" w:rsidRPr="00EE0E12" w:rsidRDefault="00B97508" w:rsidP="000E5237">
      <w:pPr>
        <w:pStyle w:val="tier1Itext"/>
      </w:pPr>
      <w:r w:rsidRPr="00EE0E12">
        <w:t xml:space="preserve">O Coordenador de CCMER e o Líder da Unidade de RC&amp;E são responsáveis por providenciar instrução técnica para a Seção de Operações nas ações de resposta operacional e quanto aos potenciais impactos ambientais relacionados. Ambas as </w:t>
      </w:r>
      <w:r w:rsidR="00C85C06">
        <w:t>posições</w:t>
      </w:r>
      <w:r w:rsidR="00C85C06" w:rsidRPr="00EE0E12">
        <w:t xml:space="preserve"> </w:t>
      </w:r>
      <w:r w:rsidRPr="00EE0E12">
        <w:t>devem garantir a adequação da estratégia de resposta a partir de um ponto de vista tático de viabilidade e ambiental, respectivamente. Também estarão encarregados pela elaboração das argumentações técnicas adequadas para apresentação de novos procedimentos ou equipamentos para incidentes</w:t>
      </w:r>
      <w:r w:rsidR="00C85C06">
        <w:t>,</w:t>
      </w:r>
      <w:r w:rsidRPr="00EE0E12">
        <w:t xml:space="preserve"> </w:t>
      </w:r>
      <w:r w:rsidR="00C85C06">
        <w:t xml:space="preserve">ainda </w:t>
      </w:r>
      <w:r w:rsidRPr="00EE0E12">
        <w:t xml:space="preserve">não descritos aos representantes governamentais. Podem também proceder com a gestão e discussão destas informações em nível técnico com </w:t>
      </w:r>
      <w:r w:rsidR="00C85C06">
        <w:t>estes</w:t>
      </w:r>
      <w:r w:rsidR="00C85C06" w:rsidRPr="00EE0E12">
        <w:t xml:space="preserve"> </w:t>
      </w:r>
      <w:r w:rsidRPr="00EE0E12">
        <w:t>representantes governamentais, caso designado pelo IC, ou suportar o Oficial de Relações (Governo), caso esta seja a forma definida de abordagem.</w:t>
      </w:r>
    </w:p>
    <w:p w14:paraId="5E05BB2D" w14:textId="77777777" w:rsidR="00B97508" w:rsidRPr="00EE0E12" w:rsidRDefault="00B97508" w:rsidP="000E5237">
      <w:pPr>
        <w:pStyle w:val="tier1Itext"/>
      </w:pPr>
      <w:r w:rsidRPr="00EE0E12">
        <w:t>O Líder da Unidade RC&amp;E também é responsável por obter as aprovações ambientais apropriadas de planos de ação para as técnicas descritas e não descritas, de acordo com os requisitos regulatórios.</w:t>
      </w:r>
    </w:p>
    <w:p w14:paraId="1CEA99D9" w14:textId="77777777" w:rsidR="00B97508" w:rsidRPr="000E5237" w:rsidRDefault="00B97508"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ind w:left="714" w:hanging="357"/>
        <w:rPr>
          <w:rFonts w:asciiTheme="majorHAnsi" w:hAnsiTheme="majorHAnsi"/>
        </w:rPr>
      </w:pPr>
      <w:r w:rsidRPr="000E5237">
        <w:rPr>
          <w:rFonts w:asciiTheme="majorHAnsi" w:hAnsiTheme="majorHAnsi"/>
        </w:rPr>
        <w:t xml:space="preserve">Avaliação das Técnicas de Resposta </w:t>
      </w:r>
      <w:r w:rsidR="000807DF">
        <w:rPr>
          <w:rFonts w:asciiTheme="majorHAnsi" w:hAnsiTheme="majorHAnsi"/>
        </w:rPr>
        <w:t>–</w:t>
      </w:r>
      <w:r w:rsidRPr="000E5237">
        <w:rPr>
          <w:rFonts w:asciiTheme="majorHAnsi" w:hAnsiTheme="majorHAnsi"/>
        </w:rPr>
        <w:t xml:space="preserve"> Janelas de Oportunidades</w:t>
      </w:r>
    </w:p>
    <w:p w14:paraId="6F1CCDE8" w14:textId="77777777" w:rsidR="00B97508" w:rsidRPr="00EE0E12" w:rsidRDefault="00B97508" w:rsidP="000E5237">
      <w:pPr>
        <w:pStyle w:val="tier1Itext"/>
      </w:pPr>
      <w:r w:rsidRPr="00EE0E12">
        <w:t>É consenso geral que nos derramamentos de pequeno e médio porte, sempre que as condições operacionais predominantes assim o permitam, devem ser mobilizados os recursos de resposta considerados e disponíveis para a realização de recuperação mecânica, priorizando esta técnica. Porém, dependendo da avaliação dos aspectos de segurança, da efetividade da resposta e da priorização de proteção das unidades ou ambientes sensíveis regionais próximos, outras técnicas também devem ser consideradas para mobilização em paralelo, de acordo com suas janelas operacionais.</w:t>
      </w:r>
    </w:p>
    <w:p w14:paraId="3F142056" w14:textId="08A5849C" w:rsidR="00B97508" w:rsidRPr="00EE0E12" w:rsidRDefault="00B97508" w:rsidP="000E5237">
      <w:pPr>
        <w:pStyle w:val="tier1Itext"/>
      </w:pPr>
      <w:r w:rsidRPr="00EE0E12">
        <w:t xml:space="preserve">No caso da avaliação inicial do incidente indicar um grande potencial para crescimento em magnitude e complexidade, esta estratégia de mobilização combinada se torna realmente crítica para alcançar um dos principais objetivos, que é a minimização dos impactos gerais sobre o ambiente. Conforme pode ser visto na </w:t>
      </w:r>
      <w:r w:rsidRPr="00EE0E12">
        <w:rPr>
          <w:b/>
        </w:rPr>
        <w:fldChar w:fldCharType="begin"/>
      </w:r>
      <w:r w:rsidRPr="00EE0E12">
        <w:rPr>
          <w:b/>
        </w:rPr>
        <w:instrText xml:space="preserve"> REF _Ref412811966 \h  \* MERGEFORMAT </w:instrText>
      </w:r>
      <w:r w:rsidRPr="00EE0E12">
        <w:rPr>
          <w:b/>
        </w:rPr>
      </w:r>
      <w:r w:rsidRPr="00EE0E12">
        <w:rPr>
          <w:b/>
        </w:rPr>
        <w:fldChar w:fldCharType="separate"/>
      </w:r>
      <w:r w:rsidR="00A50E67" w:rsidRPr="00A50E67">
        <w:rPr>
          <w:b/>
        </w:rPr>
        <w:t xml:space="preserve">Figura </w:t>
      </w:r>
      <w:r w:rsidR="00A50E67" w:rsidRPr="00A50E67">
        <w:rPr>
          <w:b/>
          <w:noProof/>
        </w:rPr>
        <w:t>10</w:t>
      </w:r>
      <w:r w:rsidRPr="00EE0E12">
        <w:rPr>
          <w:b/>
        </w:rPr>
        <w:fldChar w:fldCharType="end"/>
      </w:r>
      <w:r w:rsidRPr="00EE0E12">
        <w:t>, algumas técnicas podem ser consideradas em certas condições ambientais predominantes e condições de manchas similares, como recuperação mecânica, queima controlada e aplicação de dispersantes químicos. As principais diferenças estão relacionadas com o destino final do óleo e a eficiência de cada técnica.</w:t>
      </w:r>
    </w:p>
    <w:p w14:paraId="0229622E" w14:textId="77777777" w:rsidR="00B97508" w:rsidRPr="00EE0E12" w:rsidRDefault="00B97508" w:rsidP="000E5237">
      <w:pPr>
        <w:pStyle w:val="tier1Itext"/>
      </w:pPr>
      <w:r w:rsidRPr="00EE0E12">
        <w:lastRenderedPageBreak/>
        <w:t>A recuperação mecânica é a principal técnica que remove fisicamente quantidades de óleo do mar, apesar de ter reduzida eficiência em grandes vazamentos, o que a torna mais adequada para derrames de pequeno e médio porte, quando esta eficiência não constitui um fator de grande relevância. Ainda assim, a eficiência dessa técnica depende da capacidade de concentração do óleo a ser recolhido, em função da perícia das equipes envolvidas na operação</w:t>
      </w:r>
      <w:r w:rsidR="009F5EAF">
        <w:t>, dimensionamento dos equipamentos utilizados (</w:t>
      </w:r>
      <w:r w:rsidR="009F5EAF" w:rsidRPr="00C45C9A">
        <w:rPr>
          <w:i/>
        </w:rPr>
        <w:t>encounter rate</w:t>
      </w:r>
      <w:r w:rsidR="009F5EAF">
        <w:t xml:space="preserve"> e capacidade nominal)</w:t>
      </w:r>
      <w:r w:rsidRPr="00EE0E12">
        <w:t xml:space="preserve"> e das características físico-químicas do óleo derramado. A utilização de sistemas oleofílicos aumenta consideravelmente a eficiência desta técnica, pois aumenta a quantidade efetiva de óleo recolhido e não de efluente oleoso (água e óleo), através do aumento da eficiência da operação, quando comparada aos sistemas vertedouros tradicionais, mesmo com a redução frente às capacidades efetivas de bombeamento destes últimos sistemas.</w:t>
      </w:r>
    </w:p>
    <w:p w14:paraId="08A83783" w14:textId="77777777" w:rsidR="00B97508" w:rsidRPr="00EE0E12" w:rsidRDefault="00B97508" w:rsidP="00723A97">
      <w:pPr>
        <w:pStyle w:val="tier1Itext"/>
      </w:pPr>
      <w:r w:rsidRPr="00EE0E12">
        <w:t>Apesar do ponto positivo da remoção do óleo do mar, ainda existe um aspecto adverso do destino final em terra desta água oleosa recuperada, onde este efluente é direcionado para tratamento nas instalações para o óleo recuperado (reprocessamento, aterro industrial ou queima) e para a água oleosa residual, descartada de acordo com os padrões legais, na área costeira. Dessa forma, como alternativa, o produto recolhido pode ser tratado no cenário de operações e parte de seu teor de água descartado desde que dentro dos limites legais (15 ppm), através da utilização de sistemas separadores água e óleo, que concentram este efluente oleoso a ser descartado, reduzindo ain</w:t>
      </w:r>
      <w:r w:rsidR="000E5237">
        <w:t>da mais sua quantidade efetiva.</w:t>
      </w:r>
    </w:p>
    <w:p w14:paraId="386643EE" w14:textId="77777777" w:rsidR="00B97508" w:rsidRPr="00EE0E12" w:rsidRDefault="00B97508" w:rsidP="000E5237">
      <w:pPr>
        <w:pStyle w:val="tier1Itext"/>
      </w:pPr>
      <w:r w:rsidRPr="00EE0E12">
        <w:t>A queima controlada também é outra técnica que remove fisicamente certas quantidades de óleo do mar, com eficiência de remoção extremamente alta, sendo considerada em derrames de médio e grande porte, sempre que a pré-avaliação técnica da atividade assim o permitir. Apesar do aspecto positivo da remoção de grandes quantidades de óleo em curto espaço de tempo, existe também um aspecto adverso relacionado às colunas de fumaça e aos resíduos da queima, emitidas para a atmosfera e que perman</w:t>
      </w:r>
      <w:r w:rsidR="00C50A34">
        <w:t>e</w:t>
      </w:r>
      <w:r w:rsidRPr="00EE0E12">
        <w:t>cem no mar, respectivamente. Esta técnica também demanda um plano de monitoramento de sua aplicação, que deve ser discutido e aprovado previamente com o órgão ambiental. Outro ponto a ser considerado é a inexistência de texto legal que regulamente a aplicação desta técnica no Brasil, o que demanda uma discussão prévia com o órgão ambiental para a consideração de sua utilização, caso esta seja indicada pelas avaliações sobre a resposta ao incidente.</w:t>
      </w:r>
    </w:p>
    <w:p w14:paraId="4648D9CB" w14:textId="41E8D484" w:rsidR="00B97508" w:rsidRPr="00EE0E12" w:rsidRDefault="00B97508" w:rsidP="000E5237">
      <w:pPr>
        <w:pStyle w:val="tier1Itext"/>
      </w:pPr>
      <w:r w:rsidRPr="00EE0E12">
        <w:t xml:space="preserve">Porém, como pode ser visto na </w:t>
      </w:r>
      <w:r w:rsidRPr="00EE0E12">
        <w:rPr>
          <w:b/>
        </w:rPr>
        <w:fldChar w:fldCharType="begin"/>
      </w:r>
      <w:r w:rsidRPr="00EE0E12">
        <w:rPr>
          <w:b/>
        </w:rPr>
        <w:instrText xml:space="preserve"> REF _Ref412811966 \h  \* MERGEFORMAT </w:instrText>
      </w:r>
      <w:r w:rsidRPr="00EE0E12">
        <w:rPr>
          <w:b/>
        </w:rPr>
      </w:r>
      <w:r w:rsidRPr="00EE0E12">
        <w:rPr>
          <w:b/>
        </w:rPr>
        <w:fldChar w:fldCharType="separate"/>
      </w:r>
      <w:r w:rsidR="00A50E67" w:rsidRPr="00A50E67">
        <w:rPr>
          <w:b/>
        </w:rPr>
        <w:t xml:space="preserve">Figura </w:t>
      </w:r>
      <w:r w:rsidR="00A50E67" w:rsidRPr="00A50E67">
        <w:rPr>
          <w:b/>
          <w:noProof/>
        </w:rPr>
        <w:t>10</w:t>
      </w:r>
      <w:r w:rsidRPr="00EE0E12">
        <w:rPr>
          <w:b/>
        </w:rPr>
        <w:fldChar w:fldCharType="end"/>
      </w:r>
      <w:r w:rsidRPr="00EE0E12">
        <w:t>, ambas as técnicas possuem condições de mobilização limitadas em relação ao estado do mar e às variações de espessura média do óleo, o que reforça a importância da avaliação do incidente considerando todos os potenciais impactos de acordo com a sua magnitude.</w:t>
      </w:r>
    </w:p>
    <w:p w14:paraId="73D81137" w14:textId="77777777" w:rsidR="00B97508" w:rsidRPr="000E5237" w:rsidRDefault="00B97508" w:rsidP="004B4E3F">
      <w:pPr>
        <w:keepNext/>
        <w:spacing w:before="0" w:line="240" w:lineRule="auto"/>
        <w:jc w:val="center"/>
        <w:rPr>
          <w:rStyle w:val="tier1ItextChar"/>
          <w:rFonts w:eastAsiaTheme="minorEastAsia"/>
        </w:rPr>
      </w:pPr>
      <w:r w:rsidRPr="00EE0E12">
        <w:rPr>
          <w:rFonts w:asciiTheme="majorHAnsi" w:hAnsiTheme="majorHAnsi"/>
          <w:noProof/>
          <w:lang w:val="en-US" w:eastAsia="en-US"/>
        </w:rPr>
        <w:lastRenderedPageBreak/>
        <w:drawing>
          <wp:inline distT="0" distB="0" distL="0" distR="0" wp14:anchorId="76561846" wp14:editId="5FEE3B66">
            <wp:extent cx="5278755" cy="4093155"/>
            <wp:effectExtent l="0" t="0" r="0" b="3175"/>
            <wp:docPr id="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278755" cy="4093155"/>
                    </a:xfrm>
                    <a:prstGeom prst="rect">
                      <a:avLst/>
                    </a:prstGeom>
                  </pic:spPr>
                </pic:pic>
              </a:graphicData>
            </a:graphic>
          </wp:inline>
        </w:drawing>
      </w:r>
    </w:p>
    <w:p w14:paraId="43196E54" w14:textId="0F0300FA" w:rsidR="00B97508" w:rsidRPr="00723A97" w:rsidRDefault="00B97508" w:rsidP="004B4E3F">
      <w:pPr>
        <w:pStyle w:val="Legenda"/>
        <w:keepNext w:val="0"/>
        <w:spacing w:before="0" w:after="0" w:line="240" w:lineRule="auto"/>
      </w:pPr>
      <w:bookmarkStart w:id="152" w:name="_Ref412811966"/>
      <w:bookmarkStart w:id="153" w:name="_Toc412812280"/>
      <w:bookmarkStart w:id="154" w:name="_Toc527990457"/>
      <w:r w:rsidRPr="00723A97">
        <w:t xml:space="preserve">Figura </w:t>
      </w:r>
      <w:fldSimple w:instr=" SEQ Figura \* ARABIC ">
        <w:r w:rsidR="00A50E67">
          <w:rPr>
            <w:noProof/>
          </w:rPr>
          <w:t>10</w:t>
        </w:r>
      </w:fldSimple>
      <w:bookmarkEnd w:id="152"/>
      <w:r w:rsidRPr="00723A97">
        <w:t>: Condições limitantes de vazamentos para aplicação de cada técnica de resposta</w:t>
      </w:r>
      <w:r w:rsidR="008D6541">
        <w:t xml:space="preserve"> </w:t>
      </w:r>
      <w:r w:rsidR="008D6541" w:rsidRPr="00C45C9A">
        <w:t>(Fonte:</w:t>
      </w:r>
      <w:r w:rsidR="00F02028">
        <w:t xml:space="preserve"> Modificado a partir de original em </w:t>
      </w:r>
      <w:r w:rsidR="00BE2E8B" w:rsidRPr="00C45C9A">
        <w:t>BP, 20</w:t>
      </w:r>
      <w:r w:rsidR="00F02028">
        <w:t>12</w:t>
      </w:r>
      <w:r w:rsidR="008D6541" w:rsidRPr="00C45C9A">
        <w:t>)</w:t>
      </w:r>
      <w:r w:rsidRPr="00BE2E8B">
        <w:t>.</w:t>
      </w:r>
      <w:bookmarkEnd w:id="153"/>
      <w:bookmarkEnd w:id="154"/>
    </w:p>
    <w:p w14:paraId="41AA7664" w14:textId="77777777" w:rsidR="00B97508" w:rsidRPr="00EE0E12" w:rsidRDefault="00B97508" w:rsidP="000E5237">
      <w:pPr>
        <w:pStyle w:val="tier1Itext"/>
        <w:spacing w:before="360"/>
      </w:pPr>
      <w:r w:rsidRPr="00EE0E12">
        <w:t>A aplicação de dispersantes químicos na superfície não remove fisicamente o óleo do mar, mas aumenta a sua dispersão na coluna de água em pequenas gotículas, favorecendo o processo de biodegradação. Esta técnica pode apresentar alta eficiência na dispersão e degradação do óleo e é adequada para mobilização em condições de mar mais variadas e em diferentes espessuras médias de óleo, sendo mais efetiva em ambientes de alta energia. O aspecto adverso está relacionado com a extensão dos impactos dos dispersantes no meio ambiente, principalmente a quantidade que não tenha reagido com o óleo, o que demanda o cumprimento de procedimentos específicos de sua operacionalização. Também necessita de um detalhado plano de monitoramento para a avaliação de sua eficácia, que complementa as análises visuais dos resultados de sua aplicação.</w:t>
      </w:r>
    </w:p>
    <w:p w14:paraId="438CA70E" w14:textId="77777777" w:rsidR="00B97508" w:rsidRPr="00EE0E12" w:rsidRDefault="00B97508" w:rsidP="000E5237">
      <w:pPr>
        <w:pStyle w:val="tier1Itext"/>
      </w:pPr>
      <w:r w:rsidRPr="00EE0E12">
        <w:lastRenderedPageBreak/>
        <w:t>A aplicação submarina de dispersantes químicos possui o mesmo princípio da sua aplicação em superfície, porém aumentada de maneira significativa em função do fluxo de saída e da flutuabilidade do óleo (causando a agitação requerida para mistura) e à dispersão ao longo dos três eixos (planos ao longo da coluna de água). A gestão de atmosferas tóxicas e explosivas de VOC (compostos orgânicos de carbono, do termo em inglês “</w:t>
      </w:r>
      <w:r w:rsidRPr="00EE0E12">
        <w:rPr>
          <w:i/>
        </w:rPr>
        <w:t>Volatile Organic Compounds</w:t>
      </w:r>
      <w:r w:rsidRPr="00EE0E12">
        <w:t>”), principalmente considerando a sua significativa redução e a possibilidade de adoção de técnicas de resposta mais rapidamente e/ou mais próximas à fonte do vazamento, é o fator chave na consideração da aplicação submarina de dispersante. Este é o caso em que são consideradas técnicas de controle de fonte tais como intervenção e coleta (CRS, do termo em inglês “</w:t>
      </w:r>
      <w:r w:rsidRPr="00EE0E12">
        <w:rPr>
          <w:i/>
        </w:rPr>
        <w:t>Contaiment and Recovery System</w:t>
      </w:r>
      <w:r w:rsidRPr="00EE0E12">
        <w:t>”), onde é imperativo que as operações sejam efetuadas o mais próximo possível da fonte com as embarcações e dispositivos de resposta. O aspecto adverso está relacionado com a extensão dos impactos agregando profundidade, e consequentemente diferentes temperaturas e pressões como novos parâmetros analíticos.</w:t>
      </w:r>
    </w:p>
    <w:p w14:paraId="05F19DEE" w14:textId="77777777" w:rsidR="00B97508" w:rsidRPr="00EE0E12" w:rsidRDefault="00B97508" w:rsidP="000E5237">
      <w:pPr>
        <w:pStyle w:val="tier1Itext"/>
      </w:pPr>
      <w:r w:rsidRPr="00EE0E12">
        <w:t xml:space="preserve">Outro </w:t>
      </w:r>
      <w:r w:rsidR="00314A01">
        <w:t>aspecto</w:t>
      </w:r>
      <w:r w:rsidR="00314A01" w:rsidRPr="00EE0E12">
        <w:t xml:space="preserve"> </w:t>
      </w:r>
      <w:r w:rsidRPr="00EE0E12">
        <w:t>importante para esta avaliação é o tempo decorrido desde a ocorrência do derram</w:t>
      </w:r>
      <w:r w:rsidR="00314A01">
        <w:t>am</w:t>
      </w:r>
      <w:r w:rsidRPr="00EE0E12">
        <w:t>e</w:t>
      </w:r>
      <w:r w:rsidR="00314A01">
        <w:t>nto</w:t>
      </w:r>
      <w:r w:rsidRPr="00EE0E12">
        <w:t>. Ele está intrinsecamente relacionado com a espessura média do óleo (que se torna mais fino com o passar do tempo, causado pela dispersão e advecção pela superfície) e também cria uma limitação funcional para as técnicas. Nenhuma ação de resposta deve ser realizada antes da análise de segurança (em linha com os Planos de Segurança do Local - ICS 208) da atmosfera local, especialmente relacionado com as medidas de VOC (compostos orgânicos voláteis – atmosferas potencialmente explosivas e nocivas à saúde humana). Então, quando permitido, a recuperação mecânica e a queima controlada devem ser priorizadas no entorno da área da fonte do derram</w:t>
      </w:r>
      <w:r w:rsidR="00314A01">
        <w:t>am</w:t>
      </w:r>
      <w:r w:rsidRPr="00EE0E12">
        <w:t>e</w:t>
      </w:r>
      <w:r w:rsidR="00314A01">
        <w:t>nto</w:t>
      </w:r>
      <w:r w:rsidRPr="00EE0E12">
        <w:t>, para garantir acesso ao óleo mais espesso e reduzir a demanda de longo prazo de barreiras de contenção até a criação de volume/espessura suficiente para mobilização eficiente dos equipamentos adequados de resposta.</w:t>
      </w:r>
    </w:p>
    <w:p w14:paraId="21445EC6" w14:textId="157A9A70" w:rsidR="00B97508" w:rsidRPr="00EE0E12" w:rsidRDefault="00B97508" w:rsidP="000E5237">
      <w:pPr>
        <w:pStyle w:val="tier1Itext"/>
      </w:pPr>
      <w:r w:rsidRPr="00EE0E12">
        <w:t xml:space="preserve">A aplicação de dispersantes químicos em superfície também tem um prazo considerado ótimo, por volta de dois a três dias a partir do afloramento do vazamento, quando a maioria dos tipos de óleo apresenta condições adequadas para a reação química com o produto. Então, dependendo da disponibilidade e número de microrganismos degradadores de óleo, temperatura da água, dinâmica ambiental e exposição ao sol, pode levar até quatro semanas até o consumo total das gotículas de óleo e dos microrganismos por outras comunidades de organismos do plâncton, conforme pode ser visto na </w:t>
      </w:r>
      <w:r w:rsidRPr="00EE0E12">
        <w:rPr>
          <w:b/>
        </w:rPr>
        <w:fldChar w:fldCharType="begin"/>
      </w:r>
      <w:r w:rsidRPr="00EE0E12">
        <w:rPr>
          <w:b/>
        </w:rPr>
        <w:instrText xml:space="preserve"> REF _Ref412807177 \h  \* MERGEFORMAT </w:instrText>
      </w:r>
      <w:r w:rsidRPr="00EE0E12">
        <w:rPr>
          <w:b/>
        </w:rPr>
      </w:r>
      <w:r w:rsidRPr="00EE0E12">
        <w:rPr>
          <w:b/>
        </w:rPr>
        <w:fldChar w:fldCharType="separate"/>
      </w:r>
      <w:r w:rsidR="00A50E67" w:rsidRPr="00A50E67">
        <w:rPr>
          <w:b/>
        </w:rPr>
        <w:t xml:space="preserve">Figura </w:t>
      </w:r>
      <w:r w:rsidR="00A50E67" w:rsidRPr="00A50E67">
        <w:rPr>
          <w:b/>
          <w:noProof/>
        </w:rPr>
        <w:t>11</w:t>
      </w:r>
      <w:r w:rsidRPr="00EE0E12">
        <w:rPr>
          <w:b/>
        </w:rPr>
        <w:fldChar w:fldCharType="end"/>
      </w:r>
      <w:r w:rsidRPr="00EE0E12">
        <w:t>, a seguir.</w:t>
      </w:r>
    </w:p>
    <w:p w14:paraId="56F484F4" w14:textId="77777777" w:rsidR="00B97508" w:rsidRPr="00A928B5" w:rsidRDefault="00B97508" w:rsidP="00A928B5">
      <w:pPr>
        <w:spacing w:before="0" w:line="240" w:lineRule="auto"/>
        <w:jc w:val="center"/>
        <w:rPr>
          <w:rStyle w:val="tier1ItextChar"/>
          <w:rFonts w:eastAsiaTheme="minorEastAsia"/>
        </w:rPr>
      </w:pPr>
      <w:r w:rsidRPr="00EE0E12">
        <w:rPr>
          <w:rFonts w:asciiTheme="majorHAnsi" w:hAnsiTheme="majorHAnsi"/>
          <w:noProof/>
          <w:lang w:val="en-US" w:eastAsia="en-US"/>
        </w:rPr>
        <w:lastRenderedPageBreak/>
        <w:drawing>
          <wp:inline distT="0" distB="0" distL="0" distR="0" wp14:anchorId="5169AF91" wp14:editId="5E811CA6">
            <wp:extent cx="5260864" cy="2509284"/>
            <wp:effectExtent l="0" t="0" r="0" b="5715"/>
            <wp:docPr id="4" name="Picture 1" descr="Description: Figure 7 Dispersant Time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Figure 7 Dispersant Timefram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82311" cy="2519514"/>
                    </a:xfrm>
                    <a:prstGeom prst="rect">
                      <a:avLst/>
                    </a:prstGeom>
                    <a:noFill/>
                    <a:ln>
                      <a:noFill/>
                    </a:ln>
                  </pic:spPr>
                </pic:pic>
              </a:graphicData>
            </a:graphic>
          </wp:inline>
        </w:drawing>
      </w:r>
    </w:p>
    <w:p w14:paraId="7D9D793A" w14:textId="2C8F20B7" w:rsidR="00B97508" w:rsidRPr="00EE0E12" w:rsidRDefault="00B97508" w:rsidP="00A928B5">
      <w:pPr>
        <w:pStyle w:val="Legenda"/>
        <w:spacing w:before="0" w:after="0" w:line="240" w:lineRule="auto"/>
      </w:pPr>
      <w:bookmarkStart w:id="155" w:name="_Ref412807177"/>
      <w:bookmarkStart w:id="156" w:name="_Toc412812281"/>
      <w:bookmarkStart w:id="157" w:name="_Toc527990458"/>
      <w:r w:rsidRPr="00EE0E12">
        <w:t xml:space="preserve">Figura </w:t>
      </w:r>
      <w:fldSimple w:instr=" SEQ Figura \* ARABIC ">
        <w:r w:rsidR="00A50E67">
          <w:rPr>
            <w:noProof/>
          </w:rPr>
          <w:t>11</w:t>
        </w:r>
      </w:fldSimple>
      <w:bookmarkEnd w:id="155"/>
      <w:r w:rsidRPr="00EE0E12">
        <w:t>: Esquema de degradação de óleo dispersado quimicamente</w:t>
      </w:r>
      <w:r w:rsidR="00605F99">
        <w:t xml:space="preserve"> (</w:t>
      </w:r>
      <w:r w:rsidR="00605F99" w:rsidRPr="00C45C9A">
        <w:t xml:space="preserve">Fonte: </w:t>
      </w:r>
      <w:r w:rsidR="00F02028">
        <w:t xml:space="preserve">Modificado a partir do original em </w:t>
      </w:r>
      <w:r w:rsidR="00314A01">
        <w:t>BP, 20</w:t>
      </w:r>
      <w:r w:rsidR="00F02028">
        <w:t>12</w:t>
      </w:r>
      <w:r w:rsidR="00605F99">
        <w:t>)</w:t>
      </w:r>
      <w:r w:rsidRPr="00EE0E12">
        <w:t>.</w:t>
      </w:r>
      <w:bookmarkEnd w:id="156"/>
      <w:bookmarkEnd w:id="157"/>
    </w:p>
    <w:p w14:paraId="1D409830" w14:textId="2CBCC4A3" w:rsidR="00B97508" w:rsidRPr="00EE0E12" w:rsidRDefault="00B97508" w:rsidP="00A928B5">
      <w:pPr>
        <w:pStyle w:val="tier1Itext"/>
        <w:spacing w:before="360"/>
      </w:pPr>
      <w:r w:rsidRPr="00EE0E12">
        <w:t xml:space="preserve">Os itens apresentados a seguir no Plano visam apresentar </w:t>
      </w:r>
      <w:r w:rsidR="004C003C">
        <w:t xml:space="preserve">distintas </w:t>
      </w:r>
      <w:r w:rsidRPr="00EE0E12">
        <w:t xml:space="preserve">técnicas de gerenciamento e combate a vazamentos, bem como suas ativações, considerados pela BP Energy em todas as respostas de situações desta natureza, plenamente alinhadas, porém não limitadas, aos itens solicitados na Resolução CONAMA Nº 398/08 - Anexo </w:t>
      </w:r>
      <w:r w:rsidR="00A928B5">
        <w:t>I</w:t>
      </w:r>
      <w:r w:rsidRPr="00EE0E12">
        <w:t>/item 3.5.</w:t>
      </w:r>
    </w:p>
    <w:p w14:paraId="521B357D" w14:textId="77777777" w:rsidR="00B52C01" w:rsidRPr="009E316F" w:rsidRDefault="00B52C01" w:rsidP="009D01BE">
      <w:pPr>
        <w:pStyle w:val="Ttulo2"/>
        <w:rPr>
          <w:lang w:val="pt-BR"/>
        </w:rPr>
      </w:pPr>
      <w:bookmarkStart w:id="158" w:name="_Toc527990419"/>
      <w:r w:rsidRPr="009E316F">
        <w:rPr>
          <w:lang w:val="pt-BR"/>
        </w:rPr>
        <w:t>Saúde e Segurança Durante as Operações de Resposta</w:t>
      </w:r>
      <w:bookmarkEnd w:id="158"/>
    </w:p>
    <w:p w14:paraId="78DFE442" w14:textId="77777777" w:rsidR="00B97508" w:rsidRPr="00EE0E12" w:rsidRDefault="00B97508" w:rsidP="00A928B5">
      <w:pPr>
        <w:pStyle w:val="tier1Itext"/>
      </w:pPr>
      <w:r w:rsidRPr="00EE0E12">
        <w:t>O Ofic</w:t>
      </w:r>
      <w:r w:rsidR="00C50A34">
        <w:t>i</w:t>
      </w:r>
      <w:r w:rsidRPr="00EE0E12">
        <w:t>al de Segurança da IMT (ou pessoa designada) é responsável por estabelecer medidas para que as operações de resposta possam ser realizadas com saúde e segurança para toda a equipe de resposta, devendo configurar entre suas atribuições o estabelecimento de zonas de segurança; a identificação de perigos relacionados às atividades que serão realizadas e a elaboração do(s) Plano(s) de Segurança do Local (ICS 208).</w:t>
      </w:r>
    </w:p>
    <w:p w14:paraId="4044AEBD" w14:textId="77777777" w:rsidR="00B97508" w:rsidRPr="00EE0E12" w:rsidRDefault="00B97508" w:rsidP="00A928B5">
      <w:pPr>
        <w:pStyle w:val="tier1Itext"/>
      </w:pPr>
      <w:r w:rsidRPr="00EE0E12">
        <w:t>Para os aspectos relacionados à saúde do pessoal da resposta, o Oficial de Segurança será suportado pelo Líder da Unidade Médica da Seção de Logística, que revisará o Plano Médico para a resposta ao incidente (ICS 206). Poderão ser desenvolvidos planos específicos para locais não cobertos por procedimentos médicos já existentes (ICP, base de apoio, barcos</w:t>
      </w:r>
      <w:r w:rsidR="00314A01">
        <w:t>,</w:t>
      </w:r>
      <w:r w:rsidRPr="00EE0E12">
        <w:t xml:space="preserve"> etc).</w:t>
      </w:r>
    </w:p>
    <w:p w14:paraId="25F05EC1" w14:textId="1E775E1A" w:rsidR="00B97508" w:rsidRPr="00EE0E12" w:rsidRDefault="00B97508" w:rsidP="00A928B5">
      <w:pPr>
        <w:pStyle w:val="tier1Itext"/>
      </w:pPr>
      <w:r w:rsidRPr="00EE0E12">
        <w:t xml:space="preserve">Não obstante, todos os envolvidos nas ações de resposta a um incidente com derramamento de óleo no mar devem atuar de forma a priorizar os aspectos ligados à segurança - sua própria e das operações. Neste contexto, o </w:t>
      </w:r>
      <w:r w:rsidRPr="00EE0E12">
        <w:rPr>
          <w:i/>
        </w:rPr>
        <w:t>checklist</w:t>
      </w:r>
      <w:r w:rsidRPr="00EE0E12">
        <w:t xml:space="preserve"> abaixo apresentado descreve os itens gerais de segurança que deverão ser seguidos por todos os membros da </w:t>
      </w:r>
      <w:r w:rsidR="004C003C">
        <w:t xml:space="preserve">estrutura de resposta </w:t>
      </w:r>
      <w:r w:rsidRPr="00EE0E12">
        <w:t xml:space="preserve">que forem envolvidos nas ações de </w:t>
      </w:r>
      <w:r w:rsidR="004C003C">
        <w:t>combate</w:t>
      </w:r>
      <w:r w:rsidRPr="00EE0E12">
        <w:t>:</w:t>
      </w:r>
    </w:p>
    <w:p w14:paraId="116FE0A4" w14:textId="77777777" w:rsidR="00B97508" w:rsidRPr="00A928B5"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A928B5">
        <w:rPr>
          <w:rFonts w:asciiTheme="majorHAnsi" w:hAnsiTheme="majorHAnsi"/>
        </w:rPr>
        <w:lastRenderedPageBreak/>
        <w:t xml:space="preserve">Receber um </w:t>
      </w:r>
      <w:r w:rsidRPr="00C45C9A">
        <w:rPr>
          <w:rFonts w:asciiTheme="majorHAnsi" w:hAnsiTheme="majorHAnsi"/>
          <w:i/>
        </w:rPr>
        <w:t>briefing</w:t>
      </w:r>
      <w:r w:rsidRPr="00A928B5">
        <w:rPr>
          <w:rFonts w:asciiTheme="majorHAnsi" w:hAnsiTheme="majorHAnsi"/>
        </w:rPr>
        <w:t xml:space="preserve"> de segurança do seu supervisor ou do Oficial de Segurança antes de iniciar em qualquer atividade relacionada à resposta;</w:t>
      </w:r>
    </w:p>
    <w:p w14:paraId="0C09B4D8" w14:textId="77777777"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Não executar qualquer tarefa para a qual não tenha sido devidamente treinado e solicitado;</w:t>
      </w:r>
    </w:p>
    <w:p w14:paraId="6B6B7DF6" w14:textId="77777777" w:rsidR="00B97508" w:rsidRPr="00A928B5"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A928B5">
        <w:rPr>
          <w:rFonts w:asciiTheme="majorHAnsi" w:hAnsiTheme="majorHAnsi"/>
        </w:rPr>
        <w:t>Utilizar o equipamento de proteção individual (EPI) adequado, conforme orientado pelo seu supervisor, Oficial de Segurança ou pessoa designada;</w:t>
      </w:r>
    </w:p>
    <w:p w14:paraId="15CC28C0" w14:textId="77777777" w:rsidR="00B97508" w:rsidRPr="00A928B5"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A928B5">
        <w:rPr>
          <w:rFonts w:asciiTheme="majorHAnsi" w:hAnsiTheme="majorHAnsi"/>
        </w:rPr>
        <w:t>Avaliar regularmente a segurança das operações de resposta e informar a existência de condições de risco (por exemplo, risco de incêndio e explosão, exposição química, segurança em operações marítima, dentre outros);</w:t>
      </w:r>
    </w:p>
    <w:p w14:paraId="54441442" w14:textId="77777777"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Reportar quaisquer condições inseguras ao seu supervisor e ao Oficial de Segurança ou pessoa designada (conforme estabelecido no protocolo de comunicação interno);</w:t>
      </w:r>
    </w:p>
    <w:p w14:paraId="52C9FEE4" w14:textId="77777777"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Reportar qualquer acidente e/ou lesões para o seu supervisor;</w:t>
      </w:r>
    </w:p>
    <w:p w14:paraId="2A4465A5" w14:textId="77777777"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Manter a integridade das zonas de segurança (quente, fria) a fim de prevenir a disseminação da contaminação;</w:t>
      </w:r>
    </w:p>
    <w:p w14:paraId="1CFC253D" w14:textId="77777777" w:rsidR="00B97508" w:rsidRPr="00A928B5"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A928B5">
        <w:rPr>
          <w:rFonts w:asciiTheme="majorHAnsi" w:hAnsiTheme="majorHAnsi"/>
        </w:rPr>
        <w:t>Ler a Ficha de Informações de Segurança de Produtos Químicos (FISPQ) dos produtos que seja necessário utilizar;</w:t>
      </w:r>
    </w:p>
    <w:p w14:paraId="102D54C7" w14:textId="77777777"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Seguir os procedimentos de descontaminação estabelecidos; e</w:t>
      </w:r>
    </w:p>
    <w:p w14:paraId="361A11F0" w14:textId="201FA527"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EE0E12">
        <w:rPr>
          <w:rFonts w:asciiTheme="majorHAnsi" w:hAnsiTheme="majorHAnsi"/>
        </w:rPr>
        <w:t xml:space="preserve">Segregar os resíduos gerados de acordo com o procedimento estabelecido, conforme indicado pelo Plano de Gerenciamento de Resíduos (item </w:t>
      </w:r>
      <w:r w:rsidR="00DB2BC5">
        <w:rPr>
          <w:rFonts w:asciiTheme="majorHAnsi" w:hAnsiTheme="majorHAnsi"/>
        </w:rPr>
        <w:fldChar w:fldCharType="begin"/>
      </w:r>
      <w:r w:rsidR="00DB2BC5">
        <w:rPr>
          <w:rFonts w:asciiTheme="majorHAnsi" w:hAnsiTheme="majorHAnsi"/>
        </w:rPr>
        <w:instrText xml:space="preserve"> REF _Ref415230290 \r \h </w:instrText>
      </w:r>
      <w:r w:rsidR="00DB2BC5">
        <w:rPr>
          <w:rFonts w:asciiTheme="majorHAnsi" w:hAnsiTheme="majorHAnsi"/>
        </w:rPr>
      </w:r>
      <w:r w:rsidR="00DB2BC5">
        <w:rPr>
          <w:rFonts w:asciiTheme="majorHAnsi" w:hAnsiTheme="majorHAnsi"/>
        </w:rPr>
        <w:fldChar w:fldCharType="separate"/>
      </w:r>
      <w:r w:rsidR="00A50E67">
        <w:rPr>
          <w:rFonts w:asciiTheme="majorHAnsi" w:hAnsiTheme="majorHAnsi"/>
        </w:rPr>
        <w:t>8.10</w:t>
      </w:r>
      <w:r w:rsidR="00DB2BC5">
        <w:rPr>
          <w:rFonts w:asciiTheme="majorHAnsi" w:hAnsiTheme="majorHAnsi"/>
        </w:rPr>
        <w:fldChar w:fldCharType="end"/>
      </w:r>
      <w:r w:rsidRPr="00EE0E12">
        <w:rPr>
          <w:rFonts w:asciiTheme="majorHAnsi" w:hAnsiTheme="majorHAnsi"/>
        </w:rPr>
        <w:t>).</w:t>
      </w:r>
    </w:p>
    <w:p w14:paraId="212EEE25" w14:textId="77777777" w:rsidR="00B97508" w:rsidRPr="00EE0E12" w:rsidRDefault="00B97508" w:rsidP="00A928B5">
      <w:pPr>
        <w:pStyle w:val="tier1Itext"/>
      </w:pPr>
      <w:r w:rsidRPr="00EE0E12">
        <w:t>As versões finais dos Planos de Segurança do Local (ICS 208) e Médico (ICS 206) para as unidades de resposta serão revistos e validados nas primeiras horas da instalação da estrutura de combate à emergência e os procedimentos específicos dependerão dos fatores de momento e das técnicas a serem consideradas para adoção, sendo avaliados a medida que forem acontecendo.</w:t>
      </w:r>
    </w:p>
    <w:p w14:paraId="2072BFA2" w14:textId="77777777" w:rsidR="00B52C01" w:rsidRPr="009E316F" w:rsidRDefault="00B52C01" w:rsidP="009D01BE">
      <w:pPr>
        <w:pStyle w:val="Ttulo2"/>
        <w:rPr>
          <w:lang w:val="pt-BR"/>
        </w:rPr>
      </w:pPr>
      <w:bookmarkStart w:id="159" w:name="_Ref414612432"/>
      <w:bookmarkStart w:id="160" w:name="_Ref414612440"/>
      <w:bookmarkStart w:id="161" w:name="_Ref414612584"/>
      <w:bookmarkStart w:id="162" w:name="_Ref414612875"/>
      <w:bookmarkStart w:id="163" w:name="_Toc527990420"/>
      <w:r w:rsidRPr="009E316F">
        <w:rPr>
          <w:lang w:val="pt-BR"/>
        </w:rPr>
        <w:t>Sistema de Alerta e Procedimento para a Interrupção da Descarga de Óleo</w:t>
      </w:r>
      <w:bookmarkEnd w:id="159"/>
      <w:bookmarkEnd w:id="160"/>
      <w:bookmarkEnd w:id="161"/>
      <w:bookmarkEnd w:id="162"/>
      <w:bookmarkEnd w:id="163"/>
    </w:p>
    <w:p w14:paraId="6D2E7A8C" w14:textId="7790E17B" w:rsidR="00B97508" w:rsidRPr="00EE0E12" w:rsidRDefault="00B97508" w:rsidP="00A928B5">
      <w:pPr>
        <w:pStyle w:val="tier1Itext"/>
      </w:pPr>
      <w:r w:rsidRPr="00EE0E12">
        <w:t xml:space="preserve">A identificação de um eventual derramamento de óleo e a rápida ativação do PEI constituem procedimentos decisivos para a eficiência da resposta. Por este motivo as tripulações da </w:t>
      </w:r>
      <w:r w:rsidR="00EE16FF">
        <w:t>unidade de perfuração</w:t>
      </w:r>
      <w:r w:rsidRPr="00EE0E12">
        <w:t xml:space="preserve"> e das embarcações envolvidas nas atividades da BP Energy deverão ser capacitadas para a identificação visual e notificação de qualquer mancha de óleo no mar. Além da observação visual, a identificação de um derramamento de óleo a partir da unidade </w:t>
      </w:r>
      <w:r w:rsidR="00314A01" w:rsidRPr="00C45C9A">
        <w:t>de perfuração</w:t>
      </w:r>
      <w:r w:rsidR="00314A01" w:rsidRPr="00EE0E12">
        <w:t xml:space="preserve"> </w:t>
      </w:r>
      <w:r w:rsidRPr="00EE0E12">
        <w:t>também poderá ser feita a partir de sensores de equipamentos e controle de parâmetros existentes na plataforma</w:t>
      </w:r>
      <w:r w:rsidRPr="00EE0E12">
        <w:rPr>
          <w:i/>
        </w:rPr>
        <w:t>.</w:t>
      </w:r>
    </w:p>
    <w:p w14:paraId="2B203EC1" w14:textId="61F41A33" w:rsidR="00B97508" w:rsidRPr="00EE0E12" w:rsidRDefault="00B97508" w:rsidP="00A928B5">
      <w:pPr>
        <w:pStyle w:val="tier1Itext"/>
      </w:pPr>
      <w:r w:rsidRPr="00EE0E12">
        <w:lastRenderedPageBreak/>
        <w:t xml:space="preserve">Após a identificação do incidente, este deverá ser imediatamente reportado ao supervisor de área ou diretamente ao Capitão na ponte de comando (passadiço) para que a cadeia de comunicação </w:t>
      </w:r>
      <w:r w:rsidRPr="00E24DBF">
        <w:t xml:space="preserve">descrita no </w:t>
      </w:r>
      <w:r w:rsidR="004C003C">
        <w:t xml:space="preserve">Capítulo </w:t>
      </w:r>
      <w:r w:rsidR="00A928B5" w:rsidRPr="00E24DBF">
        <w:fldChar w:fldCharType="begin"/>
      </w:r>
      <w:r w:rsidR="00A928B5" w:rsidRPr="00E24DBF">
        <w:instrText xml:space="preserve"> REF _Ref414537621 \r \h  \* MERGEFORMAT </w:instrText>
      </w:r>
      <w:r w:rsidR="00A928B5" w:rsidRPr="00E24DBF">
        <w:fldChar w:fldCharType="separate"/>
      </w:r>
      <w:r w:rsidR="00A50E67">
        <w:t>6</w:t>
      </w:r>
      <w:r w:rsidR="00A928B5" w:rsidRPr="00E24DBF">
        <w:fldChar w:fldCharType="end"/>
      </w:r>
      <w:r w:rsidRPr="00E24DBF">
        <w:t xml:space="preserve"> seja iniciada</w:t>
      </w:r>
      <w:r w:rsidRPr="00EE0E12">
        <w:t>, e as ações de controle da fonte e de atendimento à emergência sejam efetuadas prontamente.</w:t>
      </w:r>
    </w:p>
    <w:p w14:paraId="0F142930" w14:textId="77777777" w:rsidR="00B97508" w:rsidRPr="00EE0E12" w:rsidRDefault="00B97508" w:rsidP="00A928B5">
      <w:pPr>
        <w:pStyle w:val="tier1Itext"/>
      </w:pPr>
      <w:r w:rsidRPr="00EE0E12">
        <w:t>Caso o derram</w:t>
      </w:r>
      <w:r w:rsidR="00314A01">
        <w:t>am</w:t>
      </w:r>
      <w:r w:rsidRPr="00EE0E12">
        <w:t>e</w:t>
      </w:r>
      <w:r w:rsidR="00314A01">
        <w:t>nto</w:t>
      </w:r>
      <w:r w:rsidRPr="00EE0E12">
        <w:t xml:space="preserve"> seja a bordo da embarcação dedicada ou de apoio, o Comandante desta embarcação deverá ativar o </w:t>
      </w:r>
      <w:r w:rsidRPr="00EE0E12">
        <w:rPr>
          <w:i/>
        </w:rPr>
        <w:t>Shipboard Oil Pollution Emergency Plan</w:t>
      </w:r>
      <w:r w:rsidRPr="00EE0E12">
        <w:t xml:space="preserve"> – SOPEP imediatamente após receber o alerta do derramamento. O mesmo pode ser considerado para a plataforma de perfuração, considerando a ativação relacionada no SOPEP pelo Capitão da unidade.</w:t>
      </w:r>
    </w:p>
    <w:p w14:paraId="137CDD53" w14:textId="02EA0E83" w:rsidR="00B97508" w:rsidRPr="00EE0E12" w:rsidRDefault="00B97508" w:rsidP="00A928B5">
      <w:pPr>
        <w:pStyle w:val="tier1Itext"/>
        <w:rPr>
          <w:rFonts w:cstheme="majorHAnsi"/>
          <w:szCs w:val="22"/>
        </w:rPr>
      </w:pPr>
      <w:r w:rsidRPr="00EE0E12">
        <w:t xml:space="preserve">Independentemente do tipo de substância oleosa envolvida, os procedimentos para a interrupção da descarga de óleo referentes aos cenários acidentais envolvendo ruptura em tanques, linhas e/ou acessórios (descritos no item </w:t>
      </w:r>
      <w:r w:rsidR="002D2F32">
        <w:fldChar w:fldCharType="begin"/>
      </w:r>
      <w:r w:rsidR="002D2F32">
        <w:instrText xml:space="preserve"> REF _Ref414525557 \r \h </w:instrText>
      </w:r>
      <w:r w:rsidR="002D2F32">
        <w:fldChar w:fldCharType="separate"/>
      </w:r>
      <w:r w:rsidR="00A50E67">
        <w:t>3</w:t>
      </w:r>
      <w:r w:rsidR="002D2F32">
        <w:fldChar w:fldCharType="end"/>
      </w:r>
      <w:r w:rsidRPr="00EE0E12">
        <w:t xml:space="preserve">), envolvem uma ou a combinação das seguintes medidas: (i) interrupção do fluxo, (ii) isolamento das seções avariadas e (iii) drenagem do conteúdo e transferência para sistemas não danificados. </w:t>
      </w:r>
      <w:r w:rsidRPr="00EE0E12">
        <w:rPr>
          <w:rFonts w:cstheme="majorHAnsi"/>
          <w:szCs w:val="22"/>
        </w:rPr>
        <w:t>Apesar de algumas ações serem específicas em função das particularidades do sistema de gestão operacional da unidade, alguns passos gerais comuns a estes procedimentos são apresentados a seguir.</w:t>
      </w:r>
    </w:p>
    <w:p w14:paraId="3843662F" w14:textId="77777777" w:rsidR="00B97508" w:rsidRPr="00EE0E12" w:rsidRDefault="00B97508" w:rsidP="00EA2A77">
      <w:pPr>
        <w:pStyle w:val="bartfogalt3checkbox"/>
        <w:keepNext/>
        <w:keepLines/>
        <w:numPr>
          <w:ilvl w:val="0"/>
          <w:numId w:val="17"/>
        </w:numPr>
        <w:tabs>
          <w:tab w:val="clear" w:pos="1170"/>
          <w:tab w:val="num" w:pos="-2692"/>
        </w:tabs>
        <w:spacing w:before="120" w:after="240" w:line="360" w:lineRule="auto"/>
        <w:ind w:left="357" w:hanging="357"/>
        <w:jc w:val="both"/>
        <w:rPr>
          <w:rFonts w:asciiTheme="majorHAnsi" w:hAnsiTheme="majorHAnsi" w:cstheme="majorHAnsi"/>
          <w:i/>
          <w:sz w:val="22"/>
          <w:szCs w:val="22"/>
          <w:u w:val="single"/>
          <w:lang w:val="pt-BR"/>
        </w:rPr>
      </w:pPr>
      <w:r w:rsidRPr="00EE0E12">
        <w:rPr>
          <w:rFonts w:asciiTheme="majorHAnsi" w:hAnsiTheme="majorHAnsi" w:cstheme="majorHAnsi"/>
          <w:i/>
          <w:sz w:val="22"/>
          <w:szCs w:val="22"/>
          <w:u w:val="single"/>
          <w:lang w:val="pt-BR"/>
        </w:rPr>
        <w:t>Derramamentos de óleo a partir da ruptura ou vazamento de mangueiras, linhas, conexões, válvulas ou bombas de sistemas a bordo de uma instalação/embarcação de apoio</w:t>
      </w:r>
    </w:p>
    <w:p w14:paraId="0CB3F949" w14:textId="13B023D8" w:rsidR="00B97508" w:rsidRPr="00EE0E12" w:rsidRDefault="00B97508" w:rsidP="00A928B5">
      <w:pPr>
        <w:pStyle w:val="tier1Itext"/>
      </w:pPr>
      <w:r w:rsidRPr="00EE0E12">
        <w:t>No caso de um derram</w:t>
      </w:r>
      <w:r w:rsidR="00314A01">
        <w:t>am</w:t>
      </w:r>
      <w:r w:rsidRPr="00EE0E12">
        <w:t>e</w:t>
      </w:r>
      <w:r w:rsidR="00314A01">
        <w:t>nto</w:t>
      </w:r>
      <w:r w:rsidRPr="00EE0E12">
        <w:t xml:space="preserve"> significativo</w:t>
      </w:r>
      <w:r w:rsidRPr="00EE0E12">
        <w:rPr>
          <w:rStyle w:val="Refdenotaderodap"/>
          <w:rFonts w:cstheme="majorHAnsi"/>
        </w:rPr>
        <w:footnoteReference w:id="31"/>
      </w:r>
      <w:r w:rsidRPr="00EE0E12">
        <w:t>, o Capitão deve iniciar o procedimento para suspensão de atividades e adoção das ações de resposta requeridas. Para este e para todos os outros cenários de derram</w:t>
      </w:r>
      <w:r w:rsidR="00314A01">
        <w:t>am</w:t>
      </w:r>
      <w:r w:rsidRPr="00EE0E12">
        <w:t>e</w:t>
      </w:r>
      <w:r w:rsidR="00314A01">
        <w:t>nto</w:t>
      </w:r>
      <w:r w:rsidRPr="00EE0E12">
        <w:t>, ele ativará a busca e controle da fonte do vazamento, procedendo com a identificação da maneira adequada para cessar o mesmo. O SOPEP é ativado.</w:t>
      </w:r>
    </w:p>
    <w:p w14:paraId="6F6F21AF" w14:textId="77777777" w:rsidR="00B97508" w:rsidRPr="00EE0E12" w:rsidRDefault="00B97508" w:rsidP="00A928B5">
      <w:pPr>
        <w:pStyle w:val="tier1Itext"/>
      </w:pPr>
      <w:r w:rsidRPr="00EE0E12">
        <w:t>As ações principais para controle do vazamento dentro de sistemas contidos envolve a parada dos mesmos de modo seguro e em tempo hábil (p.ex. estágio da perfuração). Todas as ações relacionadas para responder ao derram</w:t>
      </w:r>
      <w:r w:rsidR="00314A01">
        <w:t>am</w:t>
      </w:r>
      <w:r w:rsidRPr="00EE0E12">
        <w:t>e</w:t>
      </w:r>
      <w:r w:rsidR="00314A01">
        <w:t>nto</w:t>
      </w:r>
      <w:r w:rsidRPr="00EE0E12">
        <w:t xml:space="preserve"> devem ser mobilizadas, visando evitar que o mesmo chegue ao mar. Caso não seja possível, o PEI é ativado.</w:t>
      </w:r>
    </w:p>
    <w:p w14:paraId="156C314F" w14:textId="77777777" w:rsidR="00B97508" w:rsidRPr="00EE0E12" w:rsidRDefault="00B97508" w:rsidP="00A928B5">
      <w:pPr>
        <w:pStyle w:val="tier1Itext"/>
      </w:pPr>
      <w:r w:rsidRPr="00EE0E12">
        <w:lastRenderedPageBreak/>
        <w:t>No caso da embarcação de apoio, o Capitão avalia a situação para definir se a parada de um sistema que está gerando o vazamento é necessária ou pode gerar uma ameaça para a estabilidade da embarcação e/ou a capacidade de navegação da mesma. Se este for o caso, o Capitão deve solicitar ajuda de outras embarcações e tentar navegar para uma área onde possa esperar a chegada de apoio. O Plano de Resposta de Emergência deve ser acionado e o PEI será acionado em estado de prontidão.</w:t>
      </w:r>
    </w:p>
    <w:p w14:paraId="72AC6B8D" w14:textId="77777777" w:rsidR="00B97508" w:rsidRPr="00EE0E12" w:rsidRDefault="00B97508" w:rsidP="00A928B5">
      <w:pPr>
        <w:pStyle w:val="tier1Itext"/>
      </w:pPr>
      <w:r w:rsidRPr="00EE0E12">
        <w:t>Em último caso, o Capitão dará ordem para a parada do sistema que está causando o derram</w:t>
      </w:r>
      <w:r w:rsidR="00314A01">
        <w:t>am</w:t>
      </w:r>
      <w:r w:rsidRPr="00EE0E12">
        <w:t>e</w:t>
      </w:r>
      <w:r w:rsidR="00314A01">
        <w:t>nto</w:t>
      </w:r>
      <w:r w:rsidRPr="00EE0E12">
        <w:t>, para cessar a fonte e proceder com a manutenção corretiva adequada. O SOPEP é ativado. Todas as ações relacionadas para responder ao vazamento devem ser mobilizadas, visando evitar que o óleo chegue ao mar. Caso não seja possível, o PEI é ativado.</w:t>
      </w:r>
    </w:p>
    <w:p w14:paraId="5BA707D7" w14:textId="77777777" w:rsidR="00B97508" w:rsidRPr="00EE0E12" w:rsidRDefault="00B97508" w:rsidP="00EA2A77">
      <w:pPr>
        <w:pStyle w:val="bartfogalt3checkbox"/>
        <w:keepNext/>
        <w:keepLines/>
        <w:numPr>
          <w:ilvl w:val="0"/>
          <w:numId w:val="17"/>
        </w:numPr>
        <w:tabs>
          <w:tab w:val="clear" w:pos="1170"/>
          <w:tab w:val="num" w:pos="-2256"/>
        </w:tabs>
        <w:spacing w:before="120" w:after="240" w:line="360" w:lineRule="auto"/>
        <w:ind w:left="357" w:hanging="357"/>
        <w:jc w:val="both"/>
        <w:rPr>
          <w:rFonts w:asciiTheme="majorHAnsi" w:hAnsiTheme="majorHAnsi" w:cstheme="majorHAnsi"/>
          <w:i/>
          <w:sz w:val="22"/>
          <w:szCs w:val="22"/>
          <w:u w:val="single"/>
          <w:lang w:val="pt-BR"/>
        </w:rPr>
      </w:pPr>
      <w:r w:rsidRPr="00EE0E12">
        <w:rPr>
          <w:rFonts w:asciiTheme="majorHAnsi" w:hAnsiTheme="majorHAnsi" w:cstheme="majorHAnsi"/>
          <w:i/>
          <w:sz w:val="22"/>
          <w:szCs w:val="22"/>
          <w:u w:val="single"/>
          <w:lang w:val="pt-BR"/>
        </w:rPr>
        <w:t>Derram</w:t>
      </w:r>
      <w:r w:rsidR="00314A01">
        <w:rPr>
          <w:rFonts w:asciiTheme="majorHAnsi" w:hAnsiTheme="majorHAnsi" w:cstheme="majorHAnsi"/>
          <w:i/>
          <w:sz w:val="22"/>
          <w:szCs w:val="22"/>
          <w:u w:val="single"/>
          <w:lang w:val="pt-BR"/>
        </w:rPr>
        <w:t>am</w:t>
      </w:r>
      <w:r w:rsidRPr="00EE0E12">
        <w:rPr>
          <w:rFonts w:asciiTheme="majorHAnsi" w:hAnsiTheme="majorHAnsi" w:cstheme="majorHAnsi"/>
          <w:i/>
          <w:sz w:val="22"/>
          <w:szCs w:val="22"/>
          <w:u w:val="single"/>
          <w:lang w:val="pt-BR"/>
        </w:rPr>
        <w:t>e</w:t>
      </w:r>
      <w:r w:rsidR="00314A01">
        <w:rPr>
          <w:rFonts w:asciiTheme="majorHAnsi" w:hAnsiTheme="majorHAnsi" w:cstheme="majorHAnsi"/>
          <w:i/>
          <w:sz w:val="22"/>
          <w:szCs w:val="22"/>
          <w:u w:val="single"/>
          <w:lang w:val="pt-BR"/>
        </w:rPr>
        <w:t>nto</w:t>
      </w:r>
      <w:r w:rsidRPr="00EE0E12">
        <w:rPr>
          <w:rFonts w:asciiTheme="majorHAnsi" w:hAnsiTheme="majorHAnsi" w:cstheme="majorHAnsi"/>
          <w:i/>
          <w:sz w:val="22"/>
          <w:szCs w:val="22"/>
          <w:u w:val="single"/>
          <w:lang w:val="pt-BR"/>
        </w:rPr>
        <w:t xml:space="preserve"> de óleo a partir de vazamento ou ruptura de mangueira de transferência de material</w:t>
      </w:r>
    </w:p>
    <w:p w14:paraId="31E4BA9E" w14:textId="77777777" w:rsidR="00B97508" w:rsidRPr="00EE0E12" w:rsidRDefault="00B97508" w:rsidP="00A928B5">
      <w:pPr>
        <w:pStyle w:val="tier1Itext"/>
      </w:pPr>
      <w:r w:rsidRPr="00EE0E12">
        <w:t>O alerta fornecido pelo sistema de monitoramento de vazamentos da mangueira de transferência de material fará com que o coordenador da operação de transferência (Supervisor de Operações Marítimas ou similar) dê a ordem para parar a transferência, informando também ao coordenador de transferência e/ou ao Capitão da embarcação de apoio. Caso seja viável, o óleo residual no interior da mangueira deve ser drenado ao tanque de óleo sujo (</w:t>
      </w:r>
      <w:r w:rsidRPr="00EE0E12">
        <w:rPr>
          <w:i/>
        </w:rPr>
        <w:t>slop</w:t>
      </w:r>
      <w:r w:rsidRPr="00EE0E12">
        <w:t>) da instalação ou da embarcação. O SOPEP é ativado, e caso o vazamento chegue ao mar, o PEI também é ativado.</w:t>
      </w:r>
    </w:p>
    <w:p w14:paraId="2ED80E60" w14:textId="77777777" w:rsidR="00B97508" w:rsidRPr="00EE0E12" w:rsidRDefault="00B97508" w:rsidP="00EA2A77">
      <w:pPr>
        <w:pStyle w:val="bartfogalt3checkbox"/>
        <w:keepNext/>
        <w:keepLines/>
        <w:numPr>
          <w:ilvl w:val="0"/>
          <w:numId w:val="17"/>
        </w:numPr>
        <w:tabs>
          <w:tab w:val="clear" w:pos="1170"/>
          <w:tab w:val="num" w:pos="-1820"/>
        </w:tabs>
        <w:spacing w:before="120" w:after="240" w:line="360" w:lineRule="auto"/>
        <w:ind w:left="357" w:hanging="357"/>
        <w:jc w:val="both"/>
        <w:rPr>
          <w:rFonts w:asciiTheme="majorHAnsi" w:hAnsiTheme="majorHAnsi" w:cstheme="majorHAnsi"/>
          <w:i/>
          <w:sz w:val="22"/>
          <w:szCs w:val="22"/>
          <w:u w:val="single"/>
          <w:lang w:val="pt-BR"/>
        </w:rPr>
      </w:pPr>
      <w:r w:rsidRPr="00EE0E12">
        <w:rPr>
          <w:rFonts w:asciiTheme="majorHAnsi" w:hAnsiTheme="majorHAnsi" w:cstheme="majorHAnsi"/>
          <w:i/>
          <w:sz w:val="22"/>
          <w:szCs w:val="22"/>
          <w:u w:val="single"/>
          <w:lang w:val="pt-BR"/>
        </w:rPr>
        <w:t>Derramamento de óleo dos sistemas de armazenamento (tanques)</w:t>
      </w:r>
    </w:p>
    <w:p w14:paraId="31AC3D96" w14:textId="77777777" w:rsidR="00B97508" w:rsidRPr="00EE0E12" w:rsidRDefault="00B97508" w:rsidP="00A928B5">
      <w:pPr>
        <w:pStyle w:val="tier1Itext"/>
      </w:pPr>
      <w:r w:rsidRPr="00EE0E12">
        <w:t>Existem três tipos diferentes de incidentes considerando um vazamento potencial envolvendo os tanques de armazenamento de óleo da unidade: (i) transbordamento do tanque durante a transferência; (ii) ruptura de tanques sem comprometer a estabilidade da unidade, e (iii) ruptura de tanques comprometendo a estabilidade da unidade.</w:t>
      </w:r>
    </w:p>
    <w:p w14:paraId="37C36C9F" w14:textId="77777777" w:rsidR="00B97508" w:rsidRPr="00EE0E12" w:rsidRDefault="00B97508" w:rsidP="00A928B5">
      <w:pPr>
        <w:pStyle w:val="tier1Itext"/>
      </w:pPr>
      <w:r w:rsidRPr="00EE0E12">
        <w:t xml:space="preserve">No primeiro caso, o pessoal encarregado de monitorar a transferência deve imediatamente ordenar que o operador de bombas pare a operação e o engenheiro chefe desvie o fluxo de entrada para um tanque vazio ou com espaço suficiente para receber este óleo. Caso nenhum tanque tenha espaço suficiente para isto, o fluxo de entrada deve ser desviado para o tanque de </w:t>
      </w:r>
      <w:r w:rsidRPr="00EE0E12">
        <w:rPr>
          <w:i/>
        </w:rPr>
        <w:t>slop</w:t>
      </w:r>
      <w:r w:rsidRPr="00EE0E12">
        <w:t>. O SOPEP é ativado. Todas as ações relacionadas para combater ao derram</w:t>
      </w:r>
      <w:r w:rsidR="008E0D40">
        <w:t>am</w:t>
      </w:r>
      <w:r w:rsidRPr="00EE0E12">
        <w:t>e</w:t>
      </w:r>
      <w:r w:rsidR="008E0D40">
        <w:t>nto</w:t>
      </w:r>
      <w:r w:rsidRPr="00EE0E12">
        <w:t xml:space="preserve"> devem ser mobilizadas, visando evitar que o vazamento chegue ao mar. Caso não seja possível, o PEI é ativado.</w:t>
      </w:r>
    </w:p>
    <w:p w14:paraId="5F2AF464" w14:textId="77777777" w:rsidR="00B97508" w:rsidRPr="00EE0E12" w:rsidRDefault="00B97508" w:rsidP="00A928B5">
      <w:pPr>
        <w:pStyle w:val="tier1Itext"/>
      </w:pPr>
      <w:r w:rsidRPr="00EE0E12">
        <w:lastRenderedPageBreak/>
        <w:t>No segundo caso, o Capitão e o engenheiro de lastro (caso não seja o Capitão) avaliam os danos nos tanques afetados e, caso viável, iniciam a transferência do óleo restante para os outros tanques com espaço livre suficiente disponível, de acordo com as diretrizes de lastro da unidade. O SOPEP é ativado. Todas as ações relacionadas para responder ao vazamento devem ser mobilizadas, visando evitar que chegue ao mar. Caso não seja possível, o PEI é ativado.</w:t>
      </w:r>
    </w:p>
    <w:p w14:paraId="0DEE77FF" w14:textId="77777777" w:rsidR="00B97508" w:rsidRPr="00EE0E12" w:rsidRDefault="00B97508" w:rsidP="00A928B5">
      <w:pPr>
        <w:pStyle w:val="tier1Itext"/>
      </w:pPr>
      <w:r w:rsidRPr="00EE0E12">
        <w:t>No último caso, o Capitão dará ordem de abandonar a instalação de acordo com o Plano de Resposta a Emergências da unidade. Os responsáveis pelo lastreamento da unidade devem tentar garantir que a estabilidade durante a evacuação e que os tanques operacionais restantes sejam fechados de forma a se tentar evitar outros vazamentos. O PEI é ativado.</w:t>
      </w:r>
    </w:p>
    <w:p w14:paraId="107E390C" w14:textId="77777777" w:rsidR="00B97508" w:rsidRPr="00EE0E12" w:rsidRDefault="00B97508" w:rsidP="00EA2A77">
      <w:pPr>
        <w:pStyle w:val="bartfogalt3checkbox"/>
        <w:keepNext/>
        <w:keepLines/>
        <w:numPr>
          <w:ilvl w:val="0"/>
          <w:numId w:val="17"/>
        </w:numPr>
        <w:tabs>
          <w:tab w:val="clear" w:pos="1170"/>
          <w:tab w:val="num" w:pos="-1384"/>
        </w:tabs>
        <w:spacing w:before="120" w:after="240" w:line="360" w:lineRule="auto"/>
        <w:ind w:left="357" w:hanging="357"/>
        <w:jc w:val="both"/>
        <w:rPr>
          <w:rFonts w:asciiTheme="majorHAnsi" w:hAnsiTheme="majorHAnsi" w:cstheme="majorHAnsi"/>
          <w:sz w:val="22"/>
          <w:szCs w:val="22"/>
          <w:lang w:val="pt-BR"/>
        </w:rPr>
      </w:pPr>
      <w:r w:rsidRPr="00EE0E12">
        <w:rPr>
          <w:rFonts w:asciiTheme="majorHAnsi" w:hAnsiTheme="majorHAnsi" w:cstheme="majorHAnsi"/>
          <w:i/>
          <w:sz w:val="22"/>
          <w:szCs w:val="22"/>
          <w:u w:val="single"/>
          <w:lang w:val="pt-BR"/>
        </w:rPr>
        <w:t>Vazamento de óleo do sistema secundário de contenção</w:t>
      </w:r>
      <w:r w:rsidRPr="00EE0E12">
        <w:rPr>
          <w:rStyle w:val="Refdenotaderodap"/>
          <w:rFonts w:asciiTheme="majorHAnsi" w:hAnsiTheme="majorHAnsi" w:cstheme="majorHAnsi"/>
          <w:sz w:val="22"/>
          <w:szCs w:val="22"/>
        </w:rPr>
        <w:footnoteReference w:id="32"/>
      </w:r>
      <w:r w:rsidRPr="00EE0E12">
        <w:rPr>
          <w:rFonts w:asciiTheme="majorHAnsi" w:hAnsiTheme="majorHAnsi" w:cstheme="majorHAnsi"/>
          <w:sz w:val="22"/>
          <w:szCs w:val="22"/>
          <w:lang w:val="pt-BR"/>
        </w:rPr>
        <w:t xml:space="preserve"> </w:t>
      </w:r>
    </w:p>
    <w:p w14:paraId="555F38CE" w14:textId="77777777" w:rsidR="00B97508" w:rsidRPr="00EE0E12" w:rsidRDefault="00B97508" w:rsidP="00A928B5">
      <w:pPr>
        <w:pStyle w:val="tier1Itext"/>
      </w:pPr>
      <w:r w:rsidRPr="00EE0E12">
        <w:t>O Supervisor de Operações Marítimas ou pessoa designada será encarregado(a) de identificar a fonte de vazamento e ativar o Time de Resposta Local para proceder com a limpeza/remoção da obstrução da contenção secundária. O SOPEP é ativado.</w:t>
      </w:r>
    </w:p>
    <w:p w14:paraId="4113208F" w14:textId="77777777" w:rsidR="00B97508" w:rsidRPr="00EE0E12" w:rsidRDefault="00B97508" w:rsidP="00A928B5">
      <w:pPr>
        <w:pStyle w:val="tier1Itext"/>
      </w:pPr>
      <w:r w:rsidRPr="00EE0E12">
        <w:t>No caso dos cenários envolvendo uma potencial perda do controle do poço ([i] quando a plataforma de perfuração perde a sua posição levando à desconexão do LMRP</w:t>
      </w:r>
      <w:r w:rsidRPr="00EE0E12">
        <w:rPr>
          <w:rStyle w:val="Refdenotaderodap"/>
          <w:rFonts w:cstheme="majorHAnsi"/>
          <w:szCs w:val="22"/>
        </w:rPr>
        <w:footnoteReference w:id="33"/>
      </w:r>
      <w:r w:rsidRPr="00EE0E12">
        <w:t xml:space="preserve"> com falha na gaveta cisalhante inferior; ou [ii] o seu total descontrole), as ações de resposta são mais complexas de gerir e deverão ser tomadas conforme os procedimentos estabelecidos de controle de poço e/ou nas orientações a serem passadas pela Unidade de Controle da Fonte da Seção de Operações, </w:t>
      </w:r>
      <w:r w:rsidR="008E0D40">
        <w:t>que será</w:t>
      </w:r>
      <w:r w:rsidRPr="00EE0E12">
        <w:t xml:space="preserve"> constituída.</w:t>
      </w:r>
    </w:p>
    <w:p w14:paraId="15D4F31B" w14:textId="77777777" w:rsidR="00B97508" w:rsidRPr="00EE0E12" w:rsidRDefault="00B97508" w:rsidP="00A928B5">
      <w:pPr>
        <w:pStyle w:val="tier1Itext"/>
      </w:pPr>
      <w:r w:rsidRPr="00EE0E12">
        <w:t>Nestes casos, potencialmente ocorrerá um fluxo descontrolado do poço diretamente para o mar e uma especial intervenção submarina deverá ser considerada, a fim de controlar a fonte do vazamento. Intervenções em três diferentes escalas de tempo devem ser consideradas para alcançar este objetivo:</w:t>
      </w:r>
    </w:p>
    <w:p w14:paraId="257F0E87" w14:textId="77777777" w:rsidR="00B97508" w:rsidRPr="00EE0E12" w:rsidRDefault="00B97508" w:rsidP="00EA2A77">
      <w:pPr>
        <w:pStyle w:val="tier1Itext"/>
        <w:numPr>
          <w:ilvl w:val="0"/>
          <w:numId w:val="29"/>
        </w:numPr>
      </w:pPr>
      <w:r w:rsidRPr="00EE0E12">
        <w:rPr>
          <w:b/>
          <w:i/>
        </w:rPr>
        <w:lastRenderedPageBreak/>
        <w:t>Ativação ROV-BOP</w:t>
      </w:r>
      <w:r w:rsidRPr="00EE0E12">
        <w:rPr>
          <w:rStyle w:val="Refdenotaderodap"/>
          <w:rFonts w:cstheme="majorHAnsi"/>
          <w:b/>
          <w:i/>
        </w:rPr>
        <w:footnoteReference w:id="34"/>
      </w:r>
      <w:r w:rsidRPr="00EE0E12">
        <w:t xml:space="preserve">: definida como uma intervenção de curta duração (poucos dias), considerando o tempo de mobilização de uma embarcação com ROV, com capacidade para ser lançado na área do poço, e seu deslocamento até o </w:t>
      </w:r>
      <w:r w:rsidR="008E0D40">
        <w:t>bloco</w:t>
      </w:r>
      <w:r w:rsidRPr="00EE0E12">
        <w:t>. Precauções especiais devem ser adotadas no monitoramento da concentração de VOCs, de forma a definir a melhor estratégia de abordagem para a embarcação de ROV, garantindo o cumprimento da tarefa sem riscos para a tripulação da embarcação.</w:t>
      </w:r>
    </w:p>
    <w:p w14:paraId="165D21F8" w14:textId="77777777" w:rsidR="00B97508" w:rsidRPr="00EE0E12" w:rsidRDefault="00B97508" w:rsidP="00A928B5">
      <w:pPr>
        <w:pStyle w:val="tier1Itext"/>
        <w:ind w:left="720"/>
      </w:pPr>
      <w:r w:rsidRPr="00EE0E12">
        <w:t>O ROV tentará ativar a válvula de fechamento do BOP, localizada na cabeça do poço, cessando a fonte do vazamento. Caso não ocorram danos durante a soltura do conector do LMRP da plataforma, esta poderá usar o seu próprio ROV para realização da intervenção;</w:t>
      </w:r>
    </w:p>
    <w:p w14:paraId="0DECE12B" w14:textId="77F3F486" w:rsidR="00B97508" w:rsidRPr="00EE0E12" w:rsidRDefault="00B97508" w:rsidP="00EA2A77">
      <w:pPr>
        <w:pStyle w:val="tier1Itext"/>
        <w:numPr>
          <w:ilvl w:val="0"/>
          <w:numId w:val="29"/>
        </w:numPr>
      </w:pPr>
      <w:r w:rsidRPr="00EE0E12">
        <w:rPr>
          <w:b/>
          <w:i/>
        </w:rPr>
        <w:t>Estratégia de Intervenção e Coleta (CRS)</w:t>
      </w:r>
      <w:r w:rsidRPr="00EE0E12">
        <w:t xml:space="preserve">: É considerada uma intervenção de médio prazo (que pode levar de </w:t>
      </w:r>
      <w:r w:rsidR="004C003C">
        <w:t>25</w:t>
      </w:r>
      <w:r w:rsidRPr="00EE0E12">
        <w:t xml:space="preserve"> a </w:t>
      </w:r>
      <w:r w:rsidR="004C003C">
        <w:t>5</w:t>
      </w:r>
      <w:r w:rsidRPr="00EE0E12">
        <w:t xml:space="preserve">0 dias) para que a solução de controle do vazamento seja obtida. A mesma é baseada no cumprimento do </w:t>
      </w:r>
      <w:r w:rsidRPr="00EE0E12">
        <w:rPr>
          <w:i/>
        </w:rPr>
        <w:t xml:space="preserve">Plano de Ativação do Sistema de </w:t>
      </w:r>
      <w:r w:rsidR="0028055D">
        <w:rPr>
          <w:i/>
        </w:rPr>
        <w:t>Intervenção</w:t>
      </w:r>
      <w:r w:rsidR="0028055D" w:rsidRPr="00EE0E12">
        <w:rPr>
          <w:i/>
        </w:rPr>
        <w:t xml:space="preserve"> </w:t>
      </w:r>
      <w:r w:rsidRPr="00EE0E12">
        <w:rPr>
          <w:i/>
        </w:rPr>
        <w:t>e Coleta da BP Energy do Brasil</w:t>
      </w:r>
      <w:r w:rsidRPr="00EE0E12">
        <w:t xml:space="preserve">, que considera a mobilização dos componentes de intervenção da OSRL em Angra dos Reis ou </w:t>
      </w:r>
      <w:r w:rsidR="004C003C">
        <w:t>de outros provedores em diversos locais do mundo</w:t>
      </w:r>
      <w:r w:rsidRPr="00EE0E12">
        <w:t xml:space="preserve"> para a região Norte do Brasil, os arranjos locais para montagem dos equipamentos, o transporte até o </w:t>
      </w:r>
      <w:r w:rsidR="008E0D40">
        <w:t>bloco</w:t>
      </w:r>
      <w:r w:rsidR="008E0D40" w:rsidRPr="00EE0E12">
        <w:t xml:space="preserve"> </w:t>
      </w:r>
      <w:r w:rsidRPr="00EE0E12">
        <w:t>e a mobilização, juntamente com todos os aspectos de segurança da operação (medição e monitoração de VOCs, requerimentos especiais de içamento, entre outros) e a intervenção em estruturas submarinas para receber os dispositivos de contenção (ferramenta de corte de detritos e a atividade de limpeza da área</w:t>
      </w:r>
      <w:r w:rsidR="008E0D40">
        <w:t xml:space="preserve"> em torno da cabeça do poço</w:t>
      </w:r>
      <w:r w:rsidRPr="00EE0E12">
        <w:t>).</w:t>
      </w:r>
    </w:p>
    <w:p w14:paraId="5386D954" w14:textId="77777777" w:rsidR="00B97508" w:rsidRPr="00EE0E12" w:rsidRDefault="00B97508" w:rsidP="00A928B5">
      <w:pPr>
        <w:pStyle w:val="tier1Itext"/>
        <w:ind w:left="720"/>
      </w:pPr>
      <w:r w:rsidRPr="00EE0E12">
        <w:t xml:space="preserve">Conforme apresentado antes, a aplicação submarina do dispersante é uma técnica requerida para controle dos principais perigos relacionados com a presença da atmosfera tóxica e inflamável de VOC na área sobrejacente onde o óleo aflora na superfície. Considerando que o período de operação para mobilização da estratégia é significativamente maior que o de intervenção do ROV-BOP e que há a necessidade de posicionar-se verticalmente sobre a fonte do vazamento, o simples monitoramento da concentração dos VOCs não é considerado uma barreira de segurança suficiente para alcançar o cumprimento </w:t>
      </w:r>
      <w:r w:rsidR="008E0D40">
        <w:t>deste tipo de</w:t>
      </w:r>
      <w:r w:rsidR="008E0D40" w:rsidRPr="00EE0E12">
        <w:t xml:space="preserve"> </w:t>
      </w:r>
      <w:r w:rsidRPr="00EE0E12">
        <w:t>intervenção.</w:t>
      </w:r>
    </w:p>
    <w:p w14:paraId="774C59E2" w14:textId="77777777" w:rsidR="00B97508" w:rsidRPr="00EE0E12" w:rsidRDefault="00B97508" w:rsidP="00A928B5">
      <w:pPr>
        <w:pStyle w:val="tier1Itext"/>
        <w:ind w:left="720"/>
      </w:pPr>
      <w:r w:rsidRPr="00EE0E12">
        <w:lastRenderedPageBreak/>
        <w:t>Esta estratégia de resposta também considera o uso de uma embarcação de instalação especial, com significativas capacidades de içamento e de DP</w:t>
      </w:r>
      <w:r w:rsidRPr="00EE0E12">
        <w:rPr>
          <w:rStyle w:val="Refdenotaderodap"/>
          <w:rFonts w:cstheme="majorHAnsi"/>
        </w:rPr>
        <w:footnoteReference w:id="35"/>
      </w:r>
      <w:r w:rsidRPr="00EE0E12">
        <w:t>, especialmente desenvolvida para operar as pesadas estruturas que serão mobilizadas na posição vertical ao longo de toda a profundidade local; e MSV (embarcação de apoio de funções múltiplas) com ROV, para apoio nas atividades de remoção de detritos; e</w:t>
      </w:r>
    </w:p>
    <w:p w14:paraId="4721224C" w14:textId="34834BBB" w:rsidR="00B97508" w:rsidRPr="00EE0E12" w:rsidRDefault="00B97508" w:rsidP="00EA2A77">
      <w:pPr>
        <w:pStyle w:val="tier1Itext"/>
        <w:numPr>
          <w:ilvl w:val="0"/>
          <w:numId w:val="29"/>
        </w:numPr>
      </w:pPr>
      <w:r w:rsidRPr="00EE0E12">
        <w:rPr>
          <w:b/>
        </w:rPr>
        <w:t>A perfuração de um poço de alívio</w:t>
      </w:r>
      <w:r w:rsidRPr="00EE0E12">
        <w:t xml:space="preserve">: Considerada como uma solução de longo termo (em função das restrições de infra-estrutura local no Brasil, onde não é comum que existam plataformas ou unidades de perfuração em desuso com vagas disponíveis de acordo com a demanda do setor), o que define um período de </w:t>
      </w:r>
      <w:r w:rsidR="004C003C">
        <w:t>6</w:t>
      </w:r>
      <w:r w:rsidRPr="00EE0E12">
        <w:t>0 a 150 dias entre a contratação da unidade e a finalização da perfuração do poço de alívio.</w:t>
      </w:r>
    </w:p>
    <w:p w14:paraId="5D2D865D" w14:textId="77777777" w:rsidR="00B97508" w:rsidRPr="00EE0E12" w:rsidRDefault="00B97508" w:rsidP="00A928B5">
      <w:pPr>
        <w:pStyle w:val="tier1Itext"/>
        <w:ind w:left="720"/>
      </w:pPr>
      <w:r w:rsidRPr="00EE0E12">
        <w:t>Esta tática exige que a BP Energy tenha acordos de apoio mútuo especiais com outras OCs</w:t>
      </w:r>
      <w:r w:rsidRPr="00EE0E12">
        <w:rPr>
          <w:rStyle w:val="Refdenotaderodap"/>
          <w:rFonts w:cstheme="majorHAnsi"/>
        </w:rPr>
        <w:footnoteReference w:id="36"/>
      </w:r>
      <w:r w:rsidRPr="00EE0E12">
        <w:t xml:space="preserve"> no Brasil, garantindo o apoio destas empresas, caso seja necessário, na liberação de plataformas e/ou embarcações de perfuração adequadas sob suas operações para a BP Energy (e vice-versa) no caso de um vazamento de magnitude tal que considere a adoção desta tática. Normalmente o período requerido para a desmobilização destas unidades de perfuração combina com aqueles para a realização das alternativas de controle de curto e médio prazo, mantendo o alinhamento desta ação de longo termo com todas as outras opções de intervenções de prazos diferentes.</w:t>
      </w:r>
    </w:p>
    <w:p w14:paraId="368885F0" w14:textId="77777777" w:rsidR="00B52C01" w:rsidRPr="00A86E83" w:rsidRDefault="00B52C01" w:rsidP="009D01BE">
      <w:pPr>
        <w:pStyle w:val="Ttulo2"/>
        <w:rPr>
          <w:lang w:val="pt-BR"/>
        </w:rPr>
      </w:pPr>
      <w:bookmarkStart w:id="164" w:name="_Ref414544194"/>
      <w:bookmarkStart w:id="165" w:name="_Toc527990421"/>
      <w:r w:rsidRPr="00A86E83">
        <w:rPr>
          <w:lang w:val="pt-BR"/>
        </w:rPr>
        <w:t>Procedimentos para Avaliação e Monitoramento da Mancha de Óleo</w:t>
      </w:r>
      <w:bookmarkEnd w:id="164"/>
      <w:bookmarkEnd w:id="165"/>
    </w:p>
    <w:p w14:paraId="2E870E19" w14:textId="77777777" w:rsidR="00B97508" w:rsidRPr="00EE0E12" w:rsidRDefault="00B97508" w:rsidP="000807DF">
      <w:pPr>
        <w:pStyle w:val="tier1Itext"/>
      </w:pPr>
      <w:r w:rsidRPr="00EE0E12">
        <w:t>Conforme descrito anteriormente, a definição dos procedimentos operacionais de resposta depende, dentre outros aspectos, do tipo e volume de óleo derramado, podendo essas informações serem obtidas através de medições diretas dos sistemas de controle da unidade de perfuração ou através de métodos de estimativa da aparência e volume de óleo, sendo fundamental nesse último caso o estabelecimento de procedimentos e critérios padrões, garantindo a consistência das informações e possibilidade de avaliação comparativa da evolução do incidente ao longo do tempo.</w:t>
      </w:r>
    </w:p>
    <w:p w14:paraId="0E349A9E" w14:textId="77777777" w:rsidR="00B97508" w:rsidRPr="00EE0E12" w:rsidRDefault="00B97508" w:rsidP="000807DF">
      <w:pPr>
        <w:pStyle w:val="tier1Itext"/>
      </w:pPr>
      <w:r w:rsidRPr="00EE0E12">
        <w:lastRenderedPageBreak/>
        <w:t>A observação e monitoramento são elementos importantes para uma resposta efetiva aos vazamentos de óleo em ambiente marítimo. São técnicas essenciais para se avaliar a quantidade, natureza, direcionamento e comportamento do óleo derramado, assim como para definir a sua localização, dimensão e potencial espalhamento espacial, considerando a identificação das áreas geográficas impactadas e aquelas que ainda podem ser impactadas.</w:t>
      </w:r>
    </w:p>
    <w:p w14:paraId="131C6875" w14:textId="77777777" w:rsidR="00B97508" w:rsidRPr="00EE0E12" w:rsidRDefault="00B97508" w:rsidP="000807DF">
      <w:pPr>
        <w:pStyle w:val="tier1Itext"/>
      </w:pPr>
      <w:r w:rsidRPr="00EE0E12">
        <w:t xml:space="preserve">Um sistema de vigilância e monitoramento efetivo, como o da BP Energy (que integra os procedimentos de uma base de dados georeferenciada espacialmente e </w:t>
      </w:r>
      <w:r w:rsidRPr="00EE0E12">
        <w:rPr>
          <w:i/>
        </w:rPr>
        <w:t>online</w:t>
      </w:r>
      <w:r w:rsidRPr="00EE0E12">
        <w:t>), deve ter métodos implementados que permitam conferir e repassar informação rapidamente das operações de observação para o comando de gerenciamento de incidentes, de modo consistente e que permita:</w:t>
      </w:r>
    </w:p>
    <w:p w14:paraId="43E007CD"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tabs>
          <w:tab w:val="left" w:pos="4536"/>
        </w:tabs>
        <w:spacing w:after="0" w:line="360" w:lineRule="auto"/>
        <w:ind w:left="714" w:hanging="357"/>
        <w:rPr>
          <w:rFonts w:asciiTheme="majorHAnsi" w:hAnsiTheme="majorHAnsi"/>
        </w:rPr>
      </w:pPr>
      <w:r w:rsidRPr="00EE0E12">
        <w:rPr>
          <w:rFonts w:asciiTheme="majorHAnsi" w:hAnsiTheme="majorHAnsi"/>
        </w:rPr>
        <w:t>A identificação e priorização de sensibilidades ambientais e sócio-econômicas para proteção e/ou resposta;</w:t>
      </w:r>
    </w:p>
    <w:p w14:paraId="04981F44"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tabs>
          <w:tab w:val="left" w:pos="4536"/>
        </w:tabs>
        <w:spacing w:before="0" w:after="0" w:line="360" w:lineRule="auto"/>
        <w:ind w:left="714" w:hanging="357"/>
        <w:rPr>
          <w:rFonts w:asciiTheme="majorHAnsi" w:hAnsiTheme="majorHAnsi"/>
        </w:rPr>
      </w:pPr>
      <w:r w:rsidRPr="00EE0E12">
        <w:rPr>
          <w:rFonts w:asciiTheme="majorHAnsi" w:hAnsiTheme="majorHAnsi"/>
        </w:rPr>
        <w:t>A avaliação das técnicas adequadas de resposta a serem selecionadas, alinhadas com a escala atual e prevista do incidente, considerando o planejamento e a gestão de operações simultâneas (</w:t>
      </w:r>
      <w:r w:rsidRPr="00EE0E12">
        <w:rPr>
          <w:rFonts w:asciiTheme="majorHAnsi" w:hAnsiTheme="majorHAnsi"/>
          <w:i/>
        </w:rPr>
        <w:t>Simultaneous Operations</w:t>
      </w:r>
      <w:r w:rsidRPr="00EE0E12">
        <w:rPr>
          <w:rFonts w:asciiTheme="majorHAnsi" w:hAnsiTheme="majorHAnsi"/>
        </w:rPr>
        <w:t xml:space="preserve"> - SIMOPS);</w:t>
      </w:r>
    </w:p>
    <w:p w14:paraId="5AF4145F"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tabs>
          <w:tab w:val="left" w:pos="4536"/>
        </w:tabs>
        <w:spacing w:before="0" w:after="0" w:line="360" w:lineRule="auto"/>
        <w:ind w:left="714" w:hanging="357"/>
        <w:rPr>
          <w:rFonts w:asciiTheme="majorHAnsi" w:hAnsiTheme="majorHAnsi"/>
        </w:rPr>
      </w:pPr>
      <w:r w:rsidRPr="00EE0E12">
        <w:rPr>
          <w:rFonts w:asciiTheme="majorHAnsi" w:hAnsiTheme="majorHAnsi"/>
        </w:rPr>
        <w:t>A orientação das capacidades de resposta e recursos para áreas afetadas com grandes quantidades de óleo e de priorização dos esforços de resposta, de acordo com o mapa de vulnerabilidade e os planos táticos locais de resposta; e</w:t>
      </w:r>
    </w:p>
    <w:p w14:paraId="60BE61D8"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tabs>
          <w:tab w:val="left" w:pos="4536"/>
        </w:tabs>
        <w:spacing w:before="0" w:after="240" w:line="360" w:lineRule="auto"/>
        <w:ind w:left="714" w:hanging="357"/>
        <w:rPr>
          <w:rFonts w:asciiTheme="majorHAnsi" w:hAnsiTheme="majorHAnsi"/>
        </w:rPr>
      </w:pPr>
      <w:r w:rsidRPr="00EE0E12">
        <w:rPr>
          <w:rFonts w:asciiTheme="majorHAnsi" w:hAnsiTheme="majorHAnsi"/>
        </w:rPr>
        <w:t>A avaliação do alcance dos objetivos do gerenciamento da resposta pelas estratégias utilizadas, por meio de determinação das capacidades efetiv</w:t>
      </w:r>
      <w:r w:rsidR="000807DF">
        <w:rPr>
          <w:rFonts w:asciiTheme="majorHAnsi" w:hAnsiTheme="majorHAnsi"/>
        </w:rPr>
        <w:t>as destas técnicas mobilizadas.</w:t>
      </w:r>
    </w:p>
    <w:p w14:paraId="02BC7370" w14:textId="20EA9F4B" w:rsidR="00B97508" w:rsidRPr="00EE0E12" w:rsidRDefault="00B97508" w:rsidP="000807DF">
      <w:pPr>
        <w:pStyle w:val="tier1Itext"/>
      </w:pPr>
      <w:r w:rsidRPr="00EE0E12">
        <w:t xml:space="preserve">Durante a elaboração deste Plano, a BP Energy avaliou e incluiu todas as plataformas de monitoramento (aeronaves, embarcações, instalações, rondas e veículos, entre outros) necessários para apoio das estratégias de resposta consideradas, visando manter uma capacidade escalonada para as áreas </w:t>
      </w:r>
      <w:r w:rsidRPr="00EE0E12">
        <w:rPr>
          <w:i/>
        </w:rPr>
        <w:t>offshore</w:t>
      </w:r>
      <w:r w:rsidRPr="00EE0E12">
        <w:t>, costeira e, quando necessário, em terra. Também foi planejada a disponibilização de especialistas de monitoramento e sensoriamento remoto (imagens de satélite</w:t>
      </w:r>
      <w:r w:rsidR="00A86E83">
        <w:t xml:space="preserve"> e</w:t>
      </w:r>
      <w:r w:rsidRPr="00EE0E12">
        <w:t xml:space="preserve"> sistemas automatizados de detecção de derram</w:t>
      </w:r>
      <w:r w:rsidR="008E0D40">
        <w:t>am</w:t>
      </w:r>
      <w:r w:rsidRPr="00EE0E12">
        <w:t>e</w:t>
      </w:r>
      <w:r w:rsidR="008E0D40">
        <w:t>nto</w:t>
      </w:r>
      <w:r w:rsidRPr="00EE0E12">
        <w:t xml:space="preserve"> de óleo) para suplementar os métodos de vigilância, caso seja necessária.</w:t>
      </w:r>
    </w:p>
    <w:p w14:paraId="12A54C9B" w14:textId="77777777" w:rsidR="00B97508" w:rsidRPr="00EE0E12" w:rsidRDefault="00B97508" w:rsidP="000807DF">
      <w:pPr>
        <w:pStyle w:val="tier1Itext"/>
      </w:pPr>
      <w:r w:rsidRPr="00EE0E12">
        <w:t>Conforme apresentado neste Plano, sempre que um vazamento alcançar o mar, o PEI é ativado e a primeira medida tomada é a solicitação para avaliação e monitoramento do movimento e da dispersão da mancha à embarcação dedicada de resposta. Na maioria dos pequenos vazamentos, esta será a única medida a ser realizada</w:t>
      </w:r>
      <w:r w:rsidR="008E0D40">
        <w:t xml:space="preserve"> (</w:t>
      </w:r>
      <w:r w:rsidRPr="00EE0E12">
        <w:t>às vezes seguida da técnica de dispersão mecânica</w:t>
      </w:r>
      <w:r w:rsidR="008E0D40">
        <w:t>)</w:t>
      </w:r>
      <w:r w:rsidRPr="00EE0E12">
        <w:t xml:space="preserve">. Para outras magnitudes de vazamentos, esta será a informação inicial básica para planejamento da aplicação das outras técnicas de resposta. </w:t>
      </w:r>
    </w:p>
    <w:p w14:paraId="6A78A3A2" w14:textId="77777777" w:rsidR="00B97508" w:rsidRPr="00EE0E12" w:rsidRDefault="00B97508" w:rsidP="000807DF">
      <w:pPr>
        <w:pStyle w:val="tier1Itext"/>
      </w:pPr>
      <w:r w:rsidRPr="00EE0E12">
        <w:lastRenderedPageBreak/>
        <w:t>É importante ter em consideração que a análise cruzada das informações das diferentes técnicas de vigilância é um recurso de extrema importância para o entendimento do vazamento e de sua evolução, já que cada técnica possui uma capacidade específica e a possibilidade de reduzir a incerteza na aplicação ou interpretação de outras.</w:t>
      </w:r>
    </w:p>
    <w:p w14:paraId="312A8014" w14:textId="77777777" w:rsidR="00B97508" w:rsidRPr="000807DF" w:rsidRDefault="00B97508"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ind w:left="714" w:hanging="357"/>
        <w:rPr>
          <w:rFonts w:asciiTheme="majorHAnsi" w:hAnsiTheme="majorHAnsi"/>
        </w:rPr>
      </w:pPr>
      <w:r w:rsidRPr="000807DF">
        <w:rPr>
          <w:rFonts w:asciiTheme="majorHAnsi" w:hAnsiTheme="majorHAnsi"/>
        </w:rPr>
        <w:t>Quantificação Indireta de Vazamentos por Observação Visual</w:t>
      </w:r>
    </w:p>
    <w:p w14:paraId="46804D44" w14:textId="77777777" w:rsidR="00B97508" w:rsidRPr="00EE0E12" w:rsidRDefault="00B97508" w:rsidP="00D7368A">
      <w:pPr>
        <w:pStyle w:val="tier1Itext"/>
      </w:pPr>
      <w:r w:rsidRPr="00EE0E12">
        <w:t>Para observações visuais, a BP adota o guia “</w:t>
      </w:r>
      <w:r w:rsidRPr="00C45C9A">
        <w:rPr>
          <w:b/>
          <w:i/>
        </w:rPr>
        <w:t>Open Water Oil Identification Job Aid for Aerial Observation</w:t>
      </w:r>
      <w:r w:rsidRPr="00EE0E12">
        <w:t>”, elaborado pelo Departamento de Operações Portuárias do Gabinete de Segurança da Guarda Costeira da Marinha de Puget Sound, da Divisão de Avaliação e Resposta a Materiais Perigosos da NOAA/ORCA em Seattle (Washington State, USA) para treinar e padronizar os observadores. Este guia fornece vários exemplos de óleo derramado na superfície do mar, que ajudam na avaliação das características e extensão do vazamento. A cor, distribuição e consistência da mancha dá a indicação do tipo de óleo derramado, o tempo que o mesmo ficou na água e sobre a capacidad</w:t>
      </w:r>
      <w:r w:rsidR="00D7368A">
        <w:t>e de contê-lo e/ou recuperá-lo.</w:t>
      </w:r>
    </w:p>
    <w:p w14:paraId="432106EA" w14:textId="77777777" w:rsidR="00B97508" w:rsidRPr="00EE0E12" w:rsidRDefault="00B97508" w:rsidP="00D7368A">
      <w:pPr>
        <w:pStyle w:val="tier1Itext"/>
      </w:pPr>
      <w:r w:rsidRPr="00EE0E12">
        <w:t xml:space="preserve">Além disso, o PEI da BP Energy adota o </w:t>
      </w:r>
      <w:r w:rsidRPr="00EE0E12">
        <w:rPr>
          <w:b/>
          <w:i/>
        </w:rPr>
        <w:t>Bonn Agreement</w:t>
      </w:r>
      <w:r w:rsidRPr="00EE0E12">
        <w:rPr>
          <w:rStyle w:val="Refdenotaderodap"/>
          <w:rFonts w:cstheme="majorHAnsi"/>
        </w:rPr>
        <w:footnoteReference w:id="37"/>
      </w:r>
      <w:r w:rsidRPr="00EE0E12">
        <w:rPr>
          <w:b/>
          <w:i/>
        </w:rPr>
        <w:t xml:space="preserve"> Oil Appearance Code (BAOAC)</w:t>
      </w:r>
      <w:r w:rsidRPr="00EE0E12">
        <w:t>. Uma vez que a cor do próprio óleo, bem como os efeitos óticos, são influenciados pelas condições meteorológicas, altura, ângulo de observação e cor da água do mar, um aspecto não pode ser caracterizado simplesmente em termos de cor aparente. Por conseguinte, um código de "aparência", usando termos independentes de nomes de cores específicas, foi desenvolvido de acordo com embasamento científico (literatura e trabalhos anteriores publicados), cuja teoria se apoia em experimentos de pequena escala laboratoriais, de mesoescala reais no ambiente e ta</w:t>
      </w:r>
      <w:r w:rsidR="00D7368A">
        <w:t>mbém testes controlados no mar.</w:t>
      </w:r>
    </w:p>
    <w:p w14:paraId="65131759" w14:textId="77777777" w:rsidR="00B97508" w:rsidRPr="00EE0E12" w:rsidRDefault="00B97508" w:rsidP="00D7368A">
      <w:pPr>
        <w:pStyle w:val="tier1Itext"/>
      </w:pPr>
      <w:r w:rsidRPr="00EE0E12">
        <w:t>O mesmo procedimento é utilizado para a vigilância a partir de aeronaves e embarcações, apresentando melhores resultados para a aérea, em função da melhor visão geral da área total da mancha, embora mantendo os resultados muito consistentes, se as principais orientações forem seguidas. Este procedimento também é válido para observações de manchas no mar a partir da plataforma/navio de perfuração, normalmente com as restrições relacionadas com a posição fixa do observador quando a mancha começa a se afast</w:t>
      </w:r>
      <w:r w:rsidR="00D7368A">
        <w:t>ar da vizinhança da instalação.</w:t>
      </w:r>
    </w:p>
    <w:p w14:paraId="425BAB4E" w14:textId="77777777" w:rsidR="00B97508" w:rsidRPr="00EE0E12" w:rsidRDefault="00B97508" w:rsidP="00D7368A">
      <w:pPr>
        <w:pStyle w:val="tier1Itext"/>
        <w:spacing w:before="360"/>
      </w:pPr>
      <w:r w:rsidRPr="00EE0E12">
        <w:lastRenderedPageBreak/>
        <w:t>A observação pode ser influenciada por vários fatores, como a cobertura de nuvens, a altura do sol, o clima, a rugosidade do mar, o ângulo de visão, a altura e velocidade da plataforma de observação, além de outras características locais. O observador deve estar ciente desses fatores e tentar fazer o maior número possível de ajustes. As aparências dos óleos tendem a seguir um padrão. Os óleos mais finos (brilho, arco íris e metálico) estarão normalmente nas bordas dos óleos mais grossos (cor verdadeira contínua e descontínua). Seria incomum observar óleo espesso sem os óleos mais finos associados; no entanto, isto pode ocorrer se o óleo envelheceu e/ou se desgastou.</w:t>
      </w:r>
    </w:p>
    <w:p w14:paraId="51C7958B" w14:textId="68D21550" w:rsidR="00B97508" w:rsidRPr="00EE0E12" w:rsidRDefault="00B97508" w:rsidP="00D7368A">
      <w:pPr>
        <w:pStyle w:val="tier1Itext"/>
      </w:pPr>
      <w:r w:rsidRPr="00EE0E12">
        <w:t xml:space="preserve">Recomenda-se que o vazamento seja visto de todos os lados, voando ou navegando em um padrão estabelecido em torno da mancha de óleo. A melhor posição para se observar o óleo é considerada quando o sol se localiza atrás do observador e ele/ela olhando para a mancha a um ângulo de 40º a 45º com a perpendicular. As observações devem ser preferencialmente feitas das dez (10) às </w:t>
      </w:r>
      <w:r w:rsidR="00A86E83">
        <w:t>qu</w:t>
      </w:r>
      <w:r w:rsidRPr="00EE0E12">
        <w:t>atorze (14) horas, o período diário em que o sol apresenta o melhor ângulo de incidência dos seus raios no mar para esta finalidade (a incidência mais vertical desejada).</w:t>
      </w:r>
    </w:p>
    <w:p w14:paraId="70C0D6E6" w14:textId="77777777" w:rsidR="00B97508" w:rsidRPr="00EE0E12" w:rsidRDefault="00B97508" w:rsidP="00D7368A">
      <w:pPr>
        <w:pStyle w:val="tier1Itext"/>
      </w:pPr>
      <w:r w:rsidRPr="00EE0E12">
        <w:t>Durante a atividade, o observador deve estimar as regiões que têm uma determinada aparência de óleo dentro da área geral da mancha. A observação visual do vazamento fornece informação essencial sobre o tamanho, a aparência e a cobertura da mancha que são utilizados para calcular a estim</w:t>
      </w:r>
      <w:r w:rsidR="00D7368A">
        <w:t>ativa do volume de óleo no mar.</w:t>
      </w:r>
    </w:p>
    <w:p w14:paraId="31013ADA" w14:textId="77777777" w:rsidR="00B97508" w:rsidRPr="00EE0E12" w:rsidRDefault="00B97508" w:rsidP="00D7368A">
      <w:pPr>
        <w:pStyle w:val="tier1Itext"/>
      </w:pPr>
      <w:r w:rsidRPr="00EE0E12">
        <w:t>As estimativas de área global da mancha, baseada em observações visuais tendem a ser menos precisas do que as com base em medições feitas a partir de imagens de sensoriamento remoto, mas, com certeza, observações visuais alinharão melhor a aparência de distribuição do óleo neste tipo de imagem, ajudando a calibração da r</w:t>
      </w:r>
      <w:r w:rsidR="00D7368A">
        <w:t>otina de cálculo de quantidade.</w:t>
      </w:r>
    </w:p>
    <w:p w14:paraId="64ECFCA1" w14:textId="0B508221" w:rsidR="00B97508" w:rsidRPr="00EE0E12" w:rsidRDefault="00B97508" w:rsidP="00D7368A">
      <w:pPr>
        <w:pStyle w:val="tier1Itext"/>
      </w:pPr>
      <w:r w:rsidRPr="00EE0E12">
        <w:t xml:space="preserve">Manchas de óleo </w:t>
      </w:r>
      <w:r w:rsidR="0056605F" w:rsidRPr="00EE0E12">
        <w:t>frequentemente</w:t>
      </w:r>
      <w:r w:rsidRPr="00EE0E12">
        <w:t xml:space="preserve"> contêm "buracos" de água clara dentro do corpo principal delas, especialmente perto de suas margens. A proporção da área total que é coberta por óleo, de qualquer espessura, também deve ser estimada. Para manchas compactas, esta proporção pode ser elevada (cerca de 90% ou mais), mas para manchas de óleo mais difusas uma proporção muito menor da área total estará coberta em óleo. Para orientar a abordagem visual na definição desta percentagem de "cobertura", uma imagem do guia ITOPF é mostrada na </w:t>
      </w:r>
      <w:r w:rsidRPr="00EE0E12">
        <w:rPr>
          <w:b/>
        </w:rPr>
        <w:fldChar w:fldCharType="begin"/>
      </w:r>
      <w:r w:rsidRPr="00EE0E12">
        <w:rPr>
          <w:b/>
        </w:rPr>
        <w:instrText xml:space="preserve"> REF _Ref412807638 \h  \* MERGEFORMAT </w:instrText>
      </w:r>
      <w:r w:rsidRPr="00EE0E12">
        <w:rPr>
          <w:b/>
        </w:rPr>
      </w:r>
      <w:r w:rsidRPr="00EE0E12">
        <w:rPr>
          <w:b/>
        </w:rPr>
        <w:fldChar w:fldCharType="separate"/>
      </w:r>
      <w:r w:rsidR="00A50E67" w:rsidRPr="00A50E67">
        <w:rPr>
          <w:b/>
        </w:rPr>
        <w:t xml:space="preserve">Figura </w:t>
      </w:r>
      <w:r w:rsidR="00A50E67" w:rsidRPr="00A50E67">
        <w:rPr>
          <w:b/>
          <w:noProof/>
        </w:rPr>
        <w:t>12</w:t>
      </w:r>
      <w:r w:rsidRPr="00EE0E12">
        <w:rPr>
          <w:b/>
        </w:rPr>
        <w:fldChar w:fldCharType="end"/>
      </w:r>
      <w:r w:rsidRPr="00EE0E12">
        <w:t>, a s</w:t>
      </w:r>
      <w:r w:rsidR="00D7368A">
        <w:t>eguir.</w:t>
      </w:r>
    </w:p>
    <w:p w14:paraId="72A49011" w14:textId="77777777" w:rsidR="00B97508" w:rsidRPr="00D13A53" w:rsidRDefault="00B97508" w:rsidP="00D13A53">
      <w:pPr>
        <w:pStyle w:val="Default"/>
        <w:keepNext/>
        <w:keepLines/>
        <w:jc w:val="center"/>
        <w:rPr>
          <w:rStyle w:val="tier1ItextChar"/>
          <w:rFonts w:eastAsiaTheme="minorEastAsia"/>
          <w:sz w:val="22"/>
          <w:szCs w:val="22"/>
        </w:rPr>
      </w:pPr>
      <w:r w:rsidRPr="00EE0E12">
        <w:rPr>
          <w:rFonts w:asciiTheme="majorHAnsi" w:hAnsiTheme="majorHAnsi" w:cstheme="majorHAnsi"/>
          <w:noProof/>
          <w:sz w:val="22"/>
          <w:szCs w:val="22"/>
          <w:lang w:val="en-US" w:eastAsia="en-US"/>
        </w:rPr>
        <w:lastRenderedPageBreak/>
        <w:drawing>
          <wp:inline distT="0" distB="0" distL="0" distR="0" wp14:anchorId="11C174B9" wp14:editId="45A79780">
            <wp:extent cx="2514600" cy="1764157"/>
            <wp:effectExtent l="19050" t="19050" r="19050" b="26670"/>
            <wp:docPr id="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15432" cy="1764741"/>
                    </a:xfrm>
                    <a:prstGeom prst="rect">
                      <a:avLst/>
                    </a:prstGeom>
                    <a:noFill/>
                    <a:ln w="12700" cmpd="sng">
                      <a:solidFill>
                        <a:srgbClr val="008000"/>
                      </a:solidFill>
                      <a:miter lim="800000"/>
                      <a:headEnd/>
                      <a:tailEnd/>
                    </a:ln>
                    <a:effectLst/>
                  </pic:spPr>
                </pic:pic>
              </a:graphicData>
            </a:graphic>
          </wp:inline>
        </w:drawing>
      </w:r>
    </w:p>
    <w:p w14:paraId="2E37C560" w14:textId="0CCA6DFF" w:rsidR="00B97508" w:rsidRPr="00EE0E12" w:rsidRDefault="00B97508" w:rsidP="00CA77D2">
      <w:pPr>
        <w:pStyle w:val="Legenda"/>
        <w:keepLines/>
        <w:tabs>
          <w:tab w:val="left" w:pos="7088"/>
        </w:tabs>
        <w:spacing w:before="0" w:after="0" w:line="240" w:lineRule="auto"/>
        <w:ind w:left="1985" w:right="1982"/>
      </w:pPr>
      <w:bookmarkStart w:id="166" w:name="_Ref412807638"/>
      <w:bookmarkStart w:id="167" w:name="_Toc412812284"/>
      <w:bookmarkStart w:id="168" w:name="_Toc527990459"/>
      <w:r w:rsidRPr="00EE0E12">
        <w:t xml:space="preserve">Figura </w:t>
      </w:r>
      <w:fldSimple w:instr=" SEQ Figura \* ARABIC ">
        <w:r w:rsidR="00A50E67">
          <w:rPr>
            <w:noProof/>
          </w:rPr>
          <w:t>12</w:t>
        </w:r>
      </w:fldSimple>
      <w:bookmarkEnd w:id="166"/>
      <w:r w:rsidRPr="00EE0E12">
        <w:t>: Guia da ITOPF</w:t>
      </w:r>
      <w:r w:rsidRPr="00EE0E12">
        <w:rPr>
          <w:rStyle w:val="Refdenotaderodap"/>
          <w:rFonts w:cstheme="majorHAnsi"/>
        </w:rPr>
        <w:footnoteReference w:id="38"/>
      </w:r>
      <w:r w:rsidRPr="00EE0E12">
        <w:t xml:space="preserve"> para estimar a porcentagem de cobertura de uma </w:t>
      </w:r>
      <w:r w:rsidRPr="00746CD9">
        <w:t>área</w:t>
      </w:r>
      <w:r w:rsidR="008D6541" w:rsidRPr="00746CD9">
        <w:t xml:space="preserve"> (Fonte: ITOPF, </w:t>
      </w:r>
      <w:r w:rsidR="00746CD9" w:rsidRPr="00746CD9">
        <w:t>2009</w:t>
      </w:r>
      <w:r w:rsidR="00605F99" w:rsidRPr="00746CD9">
        <w:t>)</w:t>
      </w:r>
      <w:r w:rsidRPr="00746CD9">
        <w:t>.</w:t>
      </w:r>
      <w:bookmarkEnd w:id="167"/>
      <w:bookmarkEnd w:id="168"/>
    </w:p>
    <w:p w14:paraId="2C9BCE9D" w14:textId="77777777" w:rsidR="00B97508" w:rsidRPr="00EE0E12" w:rsidRDefault="00B97508" w:rsidP="00D13A53">
      <w:pPr>
        <w:pStyle w:val="tier1Itext"/>
        <w:spacing w:before="360"/>
      </w:pPr>
      <w:r w:rsidRPr="00EE0E12">
        <w:t>Esta parte da estimativa do volume é essencialmente subjetiva; assim grande cuidado deve ser tomado na atribuição de cobertura para aparência, em particular aquelas relativas às espessuras maiores (cor verdadeira contínua e descontínua), uma vez que é geralmente considerado que 90% do volume do óleo está contido em até 10% da área geral da mancha.</w:t>
      </w:r>
    </w:p>
    <w:p w14:paraId="70523599" w14:textId="77777777" w:rsidR="00B97508" w:rsidRPr="00EE0E12" w:rsidRDefault="00B97508" w:rsidP="00D13A53">
      <w:pPr>
        <w:pStyle w:val="tier1Itext"/>
      </w:pPr>
      <w:r w:rsidRPr="00EE0E12">
        <w:t>Estimativas de volume feitas por análise de diferentes sensores, métodos ou observadores devem ser comparadas. Da mesma forma, as estimativas feitas a partir de dados de volumes obtidos em diferentes momentos devem também ser intercomparados para garantir a sua consistência; o volume de óleo derramado definido por um método específico normalmente não muda ao longo de um curto período de tempo, desta forma, estimativas muito diferentes obtidas sequencialmente após curtos intervalos de tempo serão um sinal de potenciais problemas de avaliação.</w:t>
      </w:r>
    </w:p>
    <w:p w14:paraId="1CDF233F" w14:textId="77777777" w:rsidR="00B97508" w:rsidRPr="00EE0E12" w:rsidRDefault="00B97508" w:rsidP="00D13A53">
      <w:pPr>
        <w:pStyle w:val="tier1Itext"/>
      </w:pPr>
      <w:r w:rsidRPr="00EE0E12">
        <w:t>Vale lembrar que a utilização do procedimento BAOAC para estimar o volume de óleo resulta em quantidades máxima e mínima para cada aparência observada. Sugere-se que, em termos gerais, a quantidade máxima deva ser usada, em conjunto com outras informações essenciais (como a localização), para planejar e dimensionar qualquer ação de resposta necessária ao evento; e que a estimativa mínima do volume deve ser utilizada para efeitos legais, como sugerido pelo OTSOPA do Acordo de Bonn</w:t>
      </w:r>
      <w:r w:rsidRPr="00EE0E12">
        <w:rPr>
          <w:rStyle w:val="Refdenotaderodap"/>
          <w:rFonts w:cstheme="majorHAnsi"/>
          <w:szCs w:val="22"/>
        </w:rPr>
        <w:footnoteReference w:id="39"/>
      </w:r>
      <w:r w:rsidRPr="00EE0E12">
        <w:t>.</w:t>
      </w:r>
    </w:p>
    <w:p w14:paraId="3757FAAF" w14:textId="77777777" w:rsidR="00B97508" w:rsidRPr="00D13A53" w:rsidRDefault="00B97508"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ind w:left="714" w:hanging="357"/>
        <w:rPr>
          <w:rFonts w:asciiTheme="majorHAnsi" w:hAnsiTheme="majorHAnsi"/>
        </w:rPr>
      </w:pPr>
      <w:r w:rsidRPr="00D13A53">
        <w:rPr>
          <w:rFonts w:asciiTheme="majorHAnsi" w:hAnsiTheme="majorHAnsi"/>
        </w:rPr>
        <w:lastRenderedPageBreak/>
        <w:t>Simplificação no Cálculo Inicial da Trajetória de Óleo</w:t>
      </w:r>
    </w:p>
    <w:p w14:paraId="4538DA66" w14:textId="77777777" w:rsidR="00B97508" w:rsidRPr="00EE0E12" w:rsidRDefault="00B97508" w:rsidP="00D13A53">
      <w:pPr>
        <w:pStyle w:val="tier1Itext"/>
      </w:pPr>
      <w:r w:rsidRPr="00EE0E12">
        <w:t xml:space="preserve">O conhecimento da direção e velocidade da deriva da mancha também auxilia a equipe de resposta na definição das estratégias de resposta iniciais uma vez que subsidia a identificação preliminar das áreas que devem ter prioridade na resposta. Assim, a BP Energy adotará como método para estimativa inicial da deriva do óleo na superfície do mar um cálculo simplificado, que considera que o transporte resultante do óleo (intensidade e direção) é influenciado em </w:t>
      </w:r>
      <w:r w:rsidRPr="00EE0E12">
        <w:rPr>
          <w:b/>
        </w:rPr>
        <w:t>100%</w:t>
      </w:r>
      <w:r w:rsidRPr="00EE0E12">
        <w:t xml:space="preserve"> pelo arrasto da </w:t>
      </w:r>
      <w:r w:rsidRPr="00EE0E12">
        <w:rPr>
          <w:b/>
        </w:rPr>
        <w:t xml:space="preserve">corrente </w:t>
      </w:r>
      <w:r w:rsidRPr="00EE0E12">
        <w:t xml:space="preserve">e em </w:t>
      </w:r>
      <w:r w:rsidRPr="00EE0E12">
        <w:rPr>
          <w:b/>
        </w:rPr>
        <w:t>3%</w:t>
      </w:r>
      <w:r w:rsidRPr="00EE0E12">
        <w:t xml:space="preserve"> pelo arrasto do</w:t>
      </w:r>
      <w:r w:rsidRPr="00EE0E12">
        <w:rPr>
          <w:b/>
        </w:rPr>
        <w:t xml:space="preserve"> vento</w:t>
      </w:r>
      <w:r w:rsidRPr="00EE0E12">
        <w:t>.</w:t>
      </w:r>
    </w:p>
    <w:p w14:paraId="0BF994FF" w14:textId="77777777" w:rsidR="00B97508" w:rsidRPr="00D13A53" w:rsidRDefault="00B97508"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ind w:left="714" w:hanging="357"/>
        <w:rPr>
          <w:rFonts w:asciiTheme="majorHAnsi" w:hAnsiTheme="majorHAnsi"/>
        </w:rPr>
      </w:pPr>
      <w:r w:rsidRPr="00D13A53">
        <w:rPr>
          <w:rFonts w:asciiTheme="majorHAnsi" w:hAnsiTheme="majorHAnsi"/>
        </w:rPr>
        <w:t>Estratégias de Avaliação e Monitoramento</w:t>
      </w:r>
    </w:p>
    <w:p w14:paraId="00D5C4E5" w14:textId="77777777" w:rsidR="00B97508" w:rsidRPr="00EE0E12" w:rsidRDefault="00B97508" w:rsidP="00D13A53">
      <w:pPr>
        <w:pStyle w:val="tier1Itext"/>
      </w:pPr>
      <w:r w:rsidRPr="00EE0E12">
        <w:t>Adicionalmente diferentes técnicas de avaliação e monitoramento da mancha estarão disponíveis no caso de um incidente de derramamento de óleo no mar durante as atividades da BP Energy no Bloco FZA-M-59. Essas técnicas poderão ser adotadas individual ou em conjunto, conforme as características do incidente e/ou restrições e limitações ambientais e operacionais. Sempre que possível, no entanto, a IMT deverá optar pela utilização combinada das técnicas de avaliação e monitoramento da mancha, estratégia que permite a mútua validação das informações obtidas através de cada técnica empregada, auxiliando no</w:t>
      </w:r>
      <w:r w:rsidR="00D13A53">
        <w:t xml:space="preserve"> processo de tomada de decisão.</w:t>
      </w:r>
    </w:p>
    <w:p w14:paraId="23EF38E5" w14:textId="77777777" w:rsidR="00B97508" w:rsidRPr="00EE0E12" w:rsidRDefault="00B97508" w:rsidP="00D13A53">
      <w:pPr>
        <w:pStyle w:val="tier1Itext"/>
      </w:pPr>
      <w:r w:rsidRPr="00EE0E12">
        <w:t xml:space="preserve">Neste contexto, a definição das técnicas a serem empregadas durante as ações de resposta, incluindo a forma, frequência e recursos necessários é responsabilidade das Seções de Operações e Planejamento da IMT, podendo sua execução estar sujeita </w:t>
      </w:r>
      <w:r w:rsidR="0056605F" w:rsidRPr="00EE0E12">
        <w:t>à</w:t>
      </w:r>
      <w:r w:rsidRPr="00EE0E12">
        <w:t xml:space="preserve"> aprovação do IC ou pessoa designada. Para tal definição deverão ser consideradas as informações de campo fornecidas pelos coordenadores de resposta a bordo das embarcações e utilizado o a</w:t>
      </w:r>
      <w:r w:rsidR="00D13A53">
        <w:t>poio de especialistas técnicos.</w:t>
      </w:r>
    </w:p>
    <w:p w14:paraId="2B666968" w14:textId="77777777" w:rsidR="00B97508" w:rsidRPr="00EE0E12" w:rsidRDefault="00B97508" w:rsidP="00D13A53">
      <w:pPr>
        <w:pStyle w:val="tier1Itext"/>
      </w:pPr>
      <w:r w:rsidRPr="00EE0E12">
        <w:t>As estratégias para avaliação e monitoram</w:t>
      </w:r>
      <w:r w:rsidR="00D13A53">
        <w:t>ento da mancha de óleo incluem:</w:t>
      </w:r>
    </w:p>
    <w:p w14:paraId="12E69350"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EE0E12">
        <w:rPr>
          <w:rFonts w:asciiTheme="majorHAnsi" w:hAnsiTheme="majorHAnsi"/>
        </w:rPr>
        <w:t>Observação Visual por Embarcação;</w:t>
      </w:r>
    </w:p>
    <w:p w14:paraId="32AE1BB3"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Observação por Sobrevôo;</w:t>
      </w:r>
    </w:p>
    <w:p w14:paraId="5C6963A0" w14:textId="6568ED66"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 xml:space="preserve">Sistemas Automatizados de Detecção de Óleo (radar e </w:t>
      </w:r>
      <w:r w:rsidR="00994543" w:rsidRPr="00B8011A">
        <w:rPr>
          <w:rFonts w:asciiTheme="majorHAnsi" w:hAnsiTheme="majorHAnsi"/>
          <w:highlight w:val="lightGray"/>
        </w:rPr>
        <w:t>aerostato</w:t>
      </w:r>
      <w:r w:rsidRPr="00EE0E12">
        <w:rPr>
          <w:rFonts w:asciiTheme="majorHAnsi" w:hAnsiTheme="majorHAnsi"/>
        </w:rPr>
        <w:t xml:space="preserve"> de observação remota);</w:t>
      </w:r>
    </w:p>
    <w:p w14:paraId="521FDF28" w14:textId="453996B2" w:rsidR="00B97508" w:rsidRPr="00EE0E12" w:rsidRDefault="00EE16FF"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Pr>
          <w:rFonts w:asciiTheme="majorHAnsi" w:hAnsiTheme="majorHAnsi"/>
        </w:rPr>
        <w:t>Bóia</w:t>
      </w:r>
      <w:r w:rsidR="00B97508" w:rsidRPr="00EE0E12">
        <w:rPr>
          <w:rFonts w:asciiTheme="majorHAnsi" w:hAnsiTheme="majorHAnsi"/>
        </w:rPr>
        <w:t>s de Deriva (Drifting Buoys);</w:t>
      </w:r>
    </w:p>
    <w:p w14:paraId="2BC0E497"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Sensoriamento Remoto por Imagens de Satélite;</w:t>
      </w:r>
    </w:p>
    <w:p w14:paraId="220E2D47"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Modelagem de Dispersão e Deriva de Óleo; e</w:t>
      </w:r>
    </w:p>
    <w:p w14:paraId="14EBCE05"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EE0E12">
        <w:rPr>
          <w:rFonts w:asciiTheme="majorHAnsi" w:hAnsiTheme="majorHAnsi"/>
        </w:rPr>
        <w:t>Amostragem de Óleo.</w:t>
      </w:r>
    </w:p>
    <w:p w14:paraId="354B4566" w14:textId="687C3AE0" w:rsidR="00290F16" w:rsidRPr="009D01BE" w:rsidRDefault="001A0409" w:rsidP="006F18B8">
      <w:pPr>
        <w:pStyle w:val="Ttulo3"/>
        <w:ind w:left="1224"/>
      </w:pPr>
      <w:r>
        <w:t xml:space="preserve"> </w:t>
      </w:r>
      <w:bookmarkStart w:id="169" w:name="_Toc527990422"/>
      <w:r w:rsidR="00290F16" w:rsidRPr="009D01BE">
        <w:t>Observação Visual por Embarcação</w:t>
      </w:r>
      <w:bookmarkEnd w:id="169"/>
    </w:p>
    <w:p w14:paraId="23B21AA5" w14:textId="77777777" w:rsidR="00B97508" w:rsidRPr="00EE0E12" w:rsidRDefault="00B97508" w:rsidP="004B4E3F">
      <w:pPr>
        <w:pStyle w:val="tier1Itext"/>
        <w:keepNext/>
        <w:keepLines w:val="0"/>
      </w:pPr>
      <w:r w:rsidRPr="00EE0E12">
        <w:t xml:space="preserve">Para operações com embarcações, as considerações de segurança também são de suma importância e o comandante da embarcação deve ser consultado sobre todos os aspectos da </w:t>
      </w:r>
      <w:r w:rsidRPr="00EE0E12">
        <w:lastRenderedPageBreak/>
        <w:t>operação de observação antes do seu início. A embarcação dedicada, normalmente no campo, deverá ser a primeira a ser solicitada a realizar esta tarefa, porém ocasionalmente, as embarcações de apoio também podem ser orientadas a se juntar às campanhas de observação. Os membros da tripulação participando da observação devem ser regular e devidamente instruídos de forma antecipada sobre as características de segurança da atividade e sobre os procedimentos a serem cumpridos no caso de estar engajado com esta técnica de resposta. Equipamentos de proteção individual, tais como coletes salva-vidas, devem estar disponíveis e devem ser usados.</w:t>
      </w:r>
    </w:p>
    <w:p w14:paraId="02B4F573" w14:textId="77777777" w:rsidR="00B97508" w:rsidRPr="00EE0E12" w:rsidRDefault="00B97508" w:rsidP="00AD7C35">
      <w:pPr>
        <w:pStyle w:val="tier1Itext"/>
      </w:pPr>
      <w:r w:rsidRPr="00EE0E12">
        <w:t>Condições do mar inadequadas (escala Beaufort acima de 4-5) podem atrapalhar a observação por embarcações e também algumas das técnicas de resposta a serem consideradas, aumentando de modo significativo a responsabilidade do Comandante em relação aos aspectos de segurança da tripulação. As condições climáticas atuais e previstas para a área do incidente devem ser constantemente verificadas, especialmente considerando variações ao longo de períodos do dia, tendo em vista que influenciam em aspectos de visibilidade – necessários à observação de manchas de óleo – sobretudo quando realizada a partir de embarcações, em função da limitação de altura dos pontos de vigilância usualmente disponíveis. Adicionalmente, caso o óleo derramado permaneça em sub-superfície (sem aflorar), a sua identificação visual pode ser severamente comprometida, gerando erros na avaliação.</w:t>
      </w:r>
    </w:p>
    <w:p w14:paraId="7338F785" w14:textId="77777777" w:rsidR="00B97508" w:rsidRPr="00EE0E12" w:rsidRDefault="00B97508" w:rsidP="00AD7C35">
      <w:pPr>
        <w:pStyle w:val="tier1Itext"/>
      </w:pPr>
      <w:r w:rsidRPr="00EE0E12">
        <w:t>Mesmo com as limitações de observação apresentadas, a feita por embarcações possui algumas vantagens em</w:t>
      </w:r>
      <w:r w:rsidR="00AD7C35">
        <w:t xml:space="preserve"> comparação com a aérea como a:</w:t>
      </w:r>
    </w:p>
    <w:p w14:paraId="6B7C92BE"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EE0E12">
        <w:rPr>
          <w:rFonts w:asciiTheme="majorHAnsi" w:hAnsiTheme="majorHAnsi"/>
        </w:rPr>
        <w:t>Melhor percepção da espessura do óleo e da sua consistência, em função da visualização mais próxima;</w:t>
      </w:r>
    </w:p>
    <w:p w14:paraId="2516634F"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Possibilidade de verificação se um vazamento é de fato óleo ou uma ocorrência natural que se assemelha, como afloramentos de algas ou presença de águas vivas;</w:t>
      </w:r>
    </w:p>
    <w:p w14:paraId="66EC90E8"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Verificação da formação de aglomerações de piche (freqüentemente não visíveis a partir de aeronaves);</w:t>
      </w:r>
    </w:p>
    <w:p w14:paraId="1C8011DD"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 xml:space="preserve">Maior autonomia do período de vigilância; </w:t>
      </w:r>
    </w:p>
    <w:p w14:paraId="783A0F3E"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Mobilização imediata, já que a operação na Foz demandará a presença de uma embarcação dedicada de resposta a derrame na área do bloco para cumprir as diretrizes de resposta de 2, 6 e 12 horas, definidas na Resolução CONAMA nº 398/08; e</w:t>
      </w:r>
    </w:p>
    <w:p w14:paraId="6667B40F"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EE0E12">
        <w:rPr>
          <w:rFonts w:asciiTheme="majorHAnsi" w:hAnsiTheme="majorHAnsi"/>
        </w:rPr>
        <w:t>Possibilidade de coletar amostras de óleo para análise – isto será de particular utilidade ao observar-se manchas órfãs, de forma a tentar id</w:t>
      </w:r>
      <w:r w:rsidR="00AD7C35">
        <w:rPr>
          <w:rFonts w:asciiTheme="majorHAnsi" w:hAnsiTheme="majorHAnsi"/>
        </w:rPr>
        <w:t>entificar a fonte desta mancha.</w:t>
      </w:r>
    </w:p>
    <w:p w14:paraId="33738B13" w14:textId="77777777" w:rsidR="00B97508" w:rsidRPr="00EE0E12" w:rsidRDefault="00B97508" w:rsidP="00AD7C35">
      <w:pPr>
        <w:pStyle w:val="tier1Itext"/>
      </w:pPr>
      <w:r w:rsidRPr="00EE0E12">
        <w:lastRenderedPageBreak/>
        <w:t>O plano de observação por embarcações normalmente é definido quando da identificação do vazamento e consiste em navegar ao redor e pela mancha para reunir informações relacionadas com a sua dimensão, cobertura, aparência e o deslocamento e comportamento do óleo. Deve adicionalmente considerar o alinhamento com as determinações do OSC Delegado para definir a necessidade de acoplar um plano de amostragem, quando, então, o procedimento específico deve ser seguido. Atenção especial deve ser adotada com relação aos registros adequados de cadeia de custódia das amostras e às diretrizes de armazenamento destas amo</w:t>
      </w:r>
      <w:r w:rsidR="004B4E3F">
        <w:t>stras, visando sua preservação.</w:t>
      </w:r>
    </w:p>
    <w:p w14:paraId="72AB39C2" w14:textId="77777777" w:rsidR="00B97508" w:rsidRPr="00121F26" w:rsidRDefault="00B97508" w:rsidP="00AD7C35">
      <w:pPr>
        <w:pStyle w:val="tier1Itext"/>
      </w:pPr>
      <w:r w:rsidRPr="00EE0E12">
        <w:t>O comandante da embarcação deve manter registro das posições navegadas sobre e ao redor da(s) mancha(s), de maneira que o progresso possa ser monitorado juntamente com quaisquer mudanças de rumo que sejam necessárias, em função das circunstâncias de deriva da mesma</w:t>
      </w:r>
      <w:r w:rsidRPr="00121F26">
        <w:t xml:space="preserve">. </w:t>
      </w:r>
    </w:p>
    <w:p w14:paraId="2DD3A9DC" w14:textId="77777777" w:rsidR="00B97508" w:rsidRPr="00EE0E12" w:rsidRDefault="00B97508" w:rsidP="00AD7C35">
      <w:pPr>
        <w:pStyle w:val="tier1Itext"/>
      </w:pPr>
      <w:r w:rsidRPr="00EE0E12">
        <w:t>Os resultados das campanhas de observação por embarcações devem ser imediatamente disponibilizados ao OSC Delegado pelo Comandante, através de relatório via rádio (contato verbal), assim que a atividade for concluída, e deverá incluir, mas não estar limitado, a:</w:t>
      </w:r>
    </w:p>
    <w:p w14:paraId="2C28236E"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cstheme="majorHAnsi"/>
        </w:rPr>
      </w:pPr>
      <w:r w:rsidRPr="00EE0E12">
        <w:rPr>
          <w:rFonts w:asciiTheme="majorHAnsi" w:hAnsiTheme="majorHAnsi" w:cstheme="majorHAnsi"/>
        </w:rPr>
        <w:t>Breve descrição das observações;</w:t>
      </w:r>
    </w:p>
    <w:p w14:paraId="1AE409E1" w14:textId="31F5583C"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cstheme="majorHAnsi"/>
        </w:rPr>
      </w:pPr>
      <w:r w:rsidRPr="00EE0E12">
        <w:rPr>
          <w:rFonts w:asciiTheme="majorHAnsi" w:hAnsiTheme="majorHAnsi" w:cstheme="majorHAnsi"/>
        </w:rPr>
        <w:t xml:space="preserve">Direcionamento, comportamento e estimativa do óleo derramado (devendo esta ser feita com base na metodologia do </w:t>
      </w:r>
      <w:r w:rsidRPr="00EE0E12">
        <w:rPr>
          <w:rFonts w:asciiTheme="majorHAnsi" w:hAnsiTheme="majorHAnsi" w:cstheme="majorHAnsi"/>
          <w:i/>
        </w:rPr>
        <w:t>Bonn Agreement</w:t>
      </w:r>
      <w:r w:rsidRPr="00EE0E12">
        <w:rPr>
          <w:rFonts w:asciiTheme="majorHAnsi" w:hAnsiTheme="majorHAnsi" w:cstheme="majorHAnsi"/>
        </w:rPr>
        <w:t xml:space="preserve"> [BAOAC]); </w:t>
      </w:r>
    </w:p>
    <w:p w14:paraId="395BCB30"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cstheme="majorHAnsi"/>
        </w:rPr>
      </w:pPr>
      <w:r w:rsidRPr="00EE0E12">
        <w:rPr>
          <w:rFonts w:asciiTheme="majorHAnsi" w:hAnsiTheme="majorHAnsi" w:cstheme="majorHAnsi"/>
        </w:rPr>
        <w:t>Coordenadas e fotos, caso existam;</w:t>
      </w:r>
    </w:p>
    <w:p w14:paraId="118ED119"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cstheme="majorHAnsi"/>
        </w:rPr>
      </w:pPr>
      <w:r w:rsidRPr="00EE0E12">
        <w:rPr>
          <w:rFonts w:asciiTheme="majorHAnsi" w:hAnsiTheme="majorHAnsi" w:cstheme="majorHAnsi"/>
        </w:rPr>
        <w:t>Condições climáticas locais (vento, estado do mar, visibilidade); e</w:t>
      </w:r>
    </w:p>
    <w:p w14:paraId="2EF86BB3"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cstheme="majorHAnsi"/>
        </w:rPr>
      </w:pPr>
      <w:r w:rsidRPr="00EE0E12">
        <w:rPr>
          <w:rFonts w:asciiTheme="majorHAnsi" w:hAnsiTheme="majorHAnsi" w:cstheme="majorHAnsi"/>
        </w:rPr>
        <w:t>Percepção da efetividade de quaisquer operações de resposta observada</w:t>
      </w:r>
      <w:r w:rsidR="00C57F70">
        <w:rPr>
          <w:rFonts w:asciiTheme="majorHAnsi" w:hAnsiTheme="majorHAnsi" w:cstheme="majorHAnsi"/>
        </w:rPr>
        <w:t>s</w:t>
      </w:r>
      <w:r w:rsidRPr="00EE0E12">
        <w:rPr>
          <w:rFonts w:asciiTheme="majorHAnsi" w:hAnsiTheme="majorHAnsi" w:cstheme="majorHAnsi"/>
        </w:rPr>
        <w:t>.</w:t>
      </w:r>
    </w:p>
    <w:p w14:paraId="0B486DAC" w14:textId="77777777" w:rsidR="00B97508" w:rsidRPr="00EE0E12" w:rsidRDefault="00B97508" w:rsidP="00AD7C35">
      <w:pPr>
        <w:pStyle w:val="tier1Itext"/>
      </w:pPr>
      <w:r w:rsidRPr="00EE0E12">
        <w:t>Todas estas informações devem ser registradas no Livro de Operações da embarcação (com finalidade de documentação para futura verificação) e um relatório formal destas observações da campanha marítima deve ser elaborado pelo auxiliar ou escriba da TRT local ou alguém delegado da tripulação, com a mesma informação, complementada com o nome da embarcação, hora inicial e final da campanha, derrota da embarcação com referentes notificações e a planilha com o cálculo de estimativa da quantidade de óleo no mar.</w:t>
      </w:r>
    </w:p>
    <w:p w14:paraId="74A42970" w14:textId="1EF8732A" w:rsidR="00B97508" w:rsidRPr="00EE0E12" w:rsidRDefault="00B97508" w:rsidP="00AD7C35">
      <w:pPr>
        <w:pStyle w:val="tier1Itext"/>
      </w:pPr>
      <w:r w:rsidRPr="00EE0E12">
        <w:t xml:space="preserve">Em incidentes de grande magnitude, outras técnicas (como, por exemplo, monitoramento por </w:t>
      </w:r>
      <w:r w:rsidR="00EE16FF">
        <w:t>bóia</w:t>
      </w:r>
      <w:r w:rsidRPr="00EE0E12">
        <w:t xml:space="preserve">s de deriva ou através de observação aérea </w:t>
      </w:r>
      <w:r w:rsidR="00AD7C35">
        <w:t>–</w:t>
      </w:r>
      <w:r w:rsidRPr="00EE0E12">
        <w:t xml:space="preserve"> por </w:t>
      </w:r>
      <w:r w:rsidR="00C57F70" w:rsidRPr="00EE0E12">
        <w:t>sobrev</w:t>
      </w:r>
      <w:r w:rsidR="00C57F70">
        <w:t>ô</w:t>
      </w:r>
      <w:r w:rsidR="00C57F70" w:rsidRPr="00EE0E12">
        <w:t>o</w:t>
      </w:r>
      <w:r w:rsidRPr="00EE0E12">
        <w:t>) devem ser consideradas, uma vez que a altura típica de observação em embarcações geralmente não permite a caracterização das dimensões e da aparência de manchas de grande extensão.</w:t>
      </w:r>
    </w:p>
    <w:p w14:paraId="58D6923D" w14:textId="21919134" w:rsidR="00290F16" w:rsidRPr="009D01BE" w:rsidRDefault="001A0409" w:rsidP="006F18B8">
      <w:pPr>
        <w:pStyle w:val="Ttulo3"/>
        <w:ind w:left="1224"/>
      </w:pPr>
      <w:r w:rsidRPr="00C83F24">
        <w:rPr>
          <w:lang w:val="pt-BR"/>
        </w:rPr>
        <w:lastRenderedPageBreak/>
        <w:t xml:space="preserve"> </w:t>
      </w:r>
      <w:bookmarkStart w:id="170" w:name="_Toc527990423"/>
      <w:r w:rsidR="00A968B6" w:rsidRPr="009D01BE">
        <w:t xml:space="preserve">Observação Aérea (por </w:t>
      </w:r>
      <w:r w:rsidR="00C57F70" w:rsidRPr="009D01BE">
        <w:t>sobrevôo</w:t>
      </w:r>
      <w:r w:rsidR="00A968B6" w:rsidRPr="009D01BE">
        <w:t>)</w:t>
      </w:r>
      <w:bookmarkEnd w:id="170"/>
    </w:p>
    <w:p w14:paraId="3AB5255F" w14:textId="32004441" w:rsidR="00B97508" w:rsidRPr="00EE0E12" w:rsidRDefault="00B97508" w:rsidP="00AD7C35">
      <w:pPr>
        <w:pStyle w:val="tier1Itext"/>
      </w:pPr>
      <w:r w:rsidRPr="00EE0E12">
        <w:t xml:space="preserve">Consiste na observação de área(s) pré-selecionada(s) por profissionais a bordo de aeronaves, que estejam capacitados a reconhecer a presença de óleo no mar e outras características, conforme objetivo estabelecido para o </w:t>
      </w:r>
      <w:r w:rsidR="0056605F" w:rsidRPr="00EE0E12">
        <w:t>sobrev</w:t>
      </w:r>
      <w:r w:rsidR="00246F01">
        <w:t>ô</w:t>
      </w:r>
      <w:r w:rsidR="0056605F" w:rsidRPr="00EE0E12">
        <w:t>o</w:t>
      </w:r>
      <w:r w:rsidRPr="00EE0E12">
        <w:t>. As operações de monitoramento aéreo apresentam uma ampla</w:t>
      </w:r>
      <w:r w:rsidR="00AD7C35">
        <w:t xml:space="preserve"> gama de aplicações, incluindo:</w:t>
      </w:r>
    </w:p>
    <w:p w14:paraId="526786FA"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EE0E12">
        <w:rPr>
          <w:rFonts w:asciiTheme="majorHAnsi" w:hAnsiTheme="majorHAnsi"/>
        </w:rPr>
        <w:t>Identificação da origem e localização do vazamento de óleo;</w:t>
      </w:r>
    </w:p>
    <w:p w14:paraId="68B1FA03"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 xml:space="preserve">Avaliação da aparência e dimensões da mancha de óleo (para a estimativa de volume, avaliação do processo de intemperismo, entre outros). Neste caso, assim como na observação por embarcação, a metodologia do </w:t>
      </w:r>
      <w:r w:rsidRPr="00EE0E12">
        <w:rPr>
          <w:rFonts w:asciiTheme="majorHAnsi" w:hAnsiTheme="majorHAnsi"/>
          <w:i/>
        </w:rPr>
        <w:t>Bonn Agreement</w:t>
      </w:r>
      <w:r w:rsidRPr="00EE0E12">
        <w:rPr>
          <w:rFonts w:asciiTheme="majorHAnsi" w:hAnsiTheme="majorHAnsi"/>
        </w:rPr>
        <w:t xml:space="preserve"> (BAOAC) deverá ser empregada;</w:t>
      </w:r>
    </w:p>
    <w:p w14:paraId="0ED13317"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Avaliação do deslocamento da mancha e identificação de áreas potencialmente impactadas;</w:t>
      </w:r>
    </w:p>
    <w:p w14:paraId="0AA19F59"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Avaliação da extensão dos impactos do derramamento de óleo no mar ou na costa, incluindo vida selvagem; e</w:t>
      </w:r>
    </w:p>
    <w:p w14:paraId="756AD054"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EE0E12">
        <w:rPr>
          <w:rFonts w:asciiTheme="majorHAnsi" w:hAnsiTheme="majorHAnsi"/>
        </w:rPr>
        <w:t>Avaliação do status e eficiência das operações de resposta em curso (por exemplo, contenção e recolhimento, dispersão mecânica, dispersão química, resgate de fauna), assim como levantamento de informações para planejamento dos próximos estágios (como área de maior concentração de óleo, presença de fauna impactada, entre outros).</w:t>
      </w:r>
    </w:p>
    <w:p w14:paraId="1DC70CCC" w14:textId="77777777" w:rsidR="00B97508" w:rsidRPr="00EE0E12" w:rsidRDefault="00B97508" w:rsidP="00AD7C35">
      <w:pPr>
        <w:pStyle w:val="tier1Itext"/>
      </w:pPr>
      <w:r w:rsidRPr="00EE0E12">
        <w:t xml:space="preserve">As medidas de segurança são de suma importância e o piloto da aeronave deve ser consultado sobre todos os aspectos da operação de observação aérea (por </w:t>
      </w:r>
      <w:r w:rsidR="00C57F70" w:rsidRPr="00EE0E12">
        <w:t>sobrev</w:t>
      </w:r>
      <w:r w:rsidR="00C57F70">
        <w:t>ô</w:t>
      </w:r>
      <w:r w:rsidR="00C57F70" w:rsidRPr="00EE0E12">
        <w:t>o</w:t>
      </w:r>
      <w:r w:rsidRPr="00EE0E12">
        <w:t xml:space="preserve">) antes da partida, estando alinhado com as instruções do Gerente de Operações Aéreas da Seção de Operações. Aqueles que estiverem participando do </w:t>
      </w:r>
      <w:r w:rsidR="00BF2A83" w:rsidRPr="00EE0E12">
        <w:t>voo</w:t>
      </w:r>
      <w:r w:rsidRPr="00EE0E12">
        <w:t xml:space="preserve"> devem ser regularmente e devidamente instruídos de forma antecipada sobre as características de segurança da aeronave e sobre os procedimentos a serem cumpridos no caso de emergências. Equipamentos de proteção individuais, tais como coletes salva-vidas, devem estar disponíveis e ser usados sempre.</w:t>
      </w:r>
    </w:p>
    <w:p w14:paraId="78429F56" w14:textId="77777777" w:rsidR="00B97508" w:rsidRPr="00EE0E12" w:rsidRDefault="00B97508" w:rsidP="004B4E3F">
      <w:pPr>
        <w:pStyle w:val="tier1Itext"/>
      </w:pPr>
      <w:r w:rsidRPr="00EE0E12">
        <w:t xml:space="preserve">Condições de clima adverso podem atrapalhar a vigilância aérea e algumas das técnicas de resposta consideradas, aumentando de modo significativo a carga de trabalho dos pilotos e, </w:t>
      </w:r>
      <w:r w:rsidR="00BF2A83" w:rsidRPr="00EE0E12">
        <w:t>consequentemente</w:t>
      </w:r>
      <w:r w:rsidRPr="00EE0E12">
        <w:t>, diminuindo a segurança das operações. O clima atual e previsto dos aeroportos de partida e de chegada (caso seja outro) e da área do vazamento devem ser verificados, especialmente considerando os aspectos de visibilidade (diminuição relacionada com a presença de névoa ou precipitação), cobertura de nuvens, força do vento e potencial ocorrência de tempestades, que devem ser levados em consideração quando do planejamento da operação aérea de observação.</w:t>
      </w:r>
    </w:p>
    <w:p w14:paraId="2EE78D0C" w14:textId="77777777" w:rsidR="00B97508" w:rsidRPr="00EE0E12" w:rsidRDefault="00B97508" w:rsidP="00F035E6">
      <w:pPr>
        <w:pStyle w:val="tier1Itext"/>
      </w:pPr>
      <w:r w:rsidRPr="00EE0E12">
        <w:lastRenderedPageBreak/>
        <w:t>A escolha da aeronave mais adequada influencia a efetividade da operação em geral. Uma melhor visibilidade da área é obtida a partir de aeronaves de asas fixas na parte superior da fuselagem, que também possuem velocidade e alcance operacional como vantagens, ao contrário dos helicópteros que oferecem grande flexibilidade de manobrabilidade (</w:t>
      </w:r>
      <w:r w:rsidR="00BF2A83" w:rsidRPr="00EE0E12">
        <w:t>voo</w:t>
      </w:r>
      <w:r w:rsidRPr="00EE0E12">
        <w:t xml:space="preserve"> mais lento em baixas altitudes) para observação visual mais detalhada. Estes aspectos devem ser considerados sob o escopo da logística da operação, tal como a proximidade dos aeroportos e estações de reabastecimento, distância da costa e extensão da área a ser monitorada, tipo de especialistas a bordo e objetivos do </w:t>
      </w:r>
      <w:r w:rsidR="00BF2A83" w:rsidRPr="00EE0E12">
        <w:t>sobrevoo</w:t>
      </w:r>
      <w:r w:rsidRPr="00EE0E12">
        <w:t>.</w:t>
      </w:r>
    </w:p>
    <w:p w14:paraId="041AC0EE" w14:textId="6C953892" w:rsidR="00B97508" w:rsidRPr="00EE0E12" w:rsidRDefault="00B97508" w:rsidP="00F035E6">
      <w:pPr>
        <w:pStyle w:val="tier1Itext"/>
      </w:pPr>
      <w:r w:rsidRPr="00EE0E12">
        <w:t xml:space="preserve">Em função da disponibilidade imediata e pré-aprovação de uso, nos primeiros </w:t>
      </w:r>
      <w:r w:rsidR="00C57F70" w:rsidRPr="00EE0E12">
        <w:t>v</w:t>
      </w:r>
      <w:r w:rsidR="00C57F70">
        <w:t>ô</w:t>
      </w:r>
      <w:r w:rsidR="00C57F70" w:rsidRPr="00EE0E12">
        <w:t xml:space="preserve">os </w:t>
      </w:r>
      <w:r w:rsidRPr="00EE0E12">
        <w:t xml:space="preserve">serão utilizados os helicópteros contratados para suporte à perfuração na atividade em questão, sendo avaliada a necessidade da utilização de aeronaves extras, em função do dimensionamento da resposta definido. A mobilização dos recursos humanos e materiais necessários para a operacionalização da estratégia de observação por </w:t>
      </w:r>
      <w:r w:rsidR="00BF2A83" w:rsidRPr="00EE0E12">
        <w:t>sobrev</w:t>
      </w:r>
      <w:r w:rsidR="00246F01">
        <w:t>ô</w:t>
      </w:r>
      <w:r w:rsidR="00BF2A83" w:rsidRPr="00EE0E12">
        <w:t>o</w:t>
      </w:r>
      <w:r w:rsidRPr="00EE0E12">
        <w:t xml:space="preserve"> deverá ser realizada conforme descrito </w:t>
      </w:r>
      <w:r w:rsidRPr="00E24DBF">
        <w:t>no</w:t>
      </w:r>
      <w:r w:rsidR="00E24DBF" w:rsidRPr="00E24DBF">
        <w:t>s</w:t>
      </w:r>
      <w:r w:rsidRPr="00E24DBF">
        <w:t xml:space="preserve"> ite</w:t>
      </w:r>
      <w:r w:rsidR="00E24DBF" w:rsidRPr="00E24DBF">
        <w:t>ns</w:t>
      </w:r>
      <w:r w:rsidRPr="00E24DBF">
        <w:t xml:space="preserve"> </w:t>
      </w:r>
      <w:r w:rsidR="00E24DBF" w:rsidRPr="00E24DBF">
        <w:fldChar w:fldCharType="begin"/>
      </w:r>
      <w:r w:rsidR="00E24DBF" w:rsidRPr="00E24DBF">
        <w:instrText xml:space="preserve"> REF _Ref414455983 \r \h </w:instrText>
      </w:r>
      <w:r w:rsidR="00E24DBF">
        <w:instrText xml:space="preserve"> \* MERGEFORMAT </w:instrText>
      </w:r>
      <w:r w:rsidR="00E24DBF" w:rsidRPr="00E24DBF">
        <w:fldChar w:fldCharType="separate"/>
      </w:r>
      <w:r w:rsidR="00A50E67">
        <w:t>6</w:t>
      </w:r>
      <w:r w:rsidR="00E24DBF" w:rsidRPr="00E24DBF">
        <w:fldChar w:fldCharType="end"/>
      </w:r>
      <w:r w:rsidR="00E24DBF" w:rsidRPr="00E24DBF">
        <w:t xml:space="preserve"> e </w:t>
      </w:r>
      <w:r w:rsidR="00F035E6" w:rsidRPr="00E24DBF">
        <w:fldChar w:fldCharType="begin"/>
      </w:r>
      <w:r w:rsidR="00F035E6" w:rsidRPr="00E24DBF">
        <w:instrText xml:space="preserve"> REF _Ref414539175 \r \h  \* MERGEFORMAT </w:instrText>
      </w:r>
      <w:r w:rsidR="00F035E6" w:rsidRPr="00E24DBF">
        <w:fldChar w:fldCharType="separate"/>
      </w:r>
      <w:r w:rsidR="00A50E67">
        <w:t>7.3.1</w:t>
      </w:r>
      <w:r w:rsidR="00F035E6" w:rsidRPr="00E24DBF">
        <w:fldChar w:fldCharType="end"/>
      </w:r>
      <w:r w:rsidRPr="00E24DBF">
        <w:t>.</w:t>
      </w:r>
    </w:p>
    <w:p w14:paraId="11682D73" w14:textId="77777777" w:rsidR="00B97508" w:rsidRPr="00EE0E12" w:rsidRDefault="00B97508" w:rsidP="00F035E6">
      <w:pPr>
        <w:pStyle w:val="tier1Itext"/>
      </w:pPr>
      <w:r w:rsidRPr="00EE0E12">
        <w:t>A Autoridade Técnica em Aviação da BP Energy deve estar envolvida na resposta desde o início para proceder com a avaliação de qualquer nova aeronave engajada na atividade, em relação aos requerimentos legais e regulatórios específicos aplicáveis no país e em conformidade com os requerimentos da empresa, antes da sua mobilização e mesmo dur</w:t>
      </w:r>
      <w:r w:rsidR="00F035E6">
        <w:t>ante as atividades de resposta.</w:t>
      </w:r>
    </w:p>
    <w:p w14:paraId="64A45716" w14:textId="77777777" w:rsidR="00B97508" w:rsidRPr="00EE0E12" w:rsidRDefault="00B97508" w:rsidP="00F035E6">
      <w:pPr>
        <w:pStyle w:val="tier1Itext"/>
      </w:pPr>
      <w:r w:rsidRPr="00EE0E12">
        <w:t xml:space="preserve">O plano de </w:t>
      </w:r>
      <w:r w:rsidR="00C57F70" w:rsidRPr="00EE0E12">
        <w:t>v</w:t>
      </w:r>
      <w:r w:rsidR="00C57F70">
        <w:t>ô</w:t>
      </w:r>
      <w:r w:rsidR="00C57F70" w:rsidRPr="00EE0E12">
        <w:t xml:space="preserve">o </w:t>
      </w:r>
      <w:r w:rsidRPr="00EE0E12">
        <w:t xml:space="preserve">de observação deve ser preparado com a devida antecipação, levando em consideração qualquer informação disponível que possa reduzir a área vigiada ao máximo possível. Também devem ser consideradas as já descritas restrições de </w:t>
      </w:r>
      <w:r w:rsidR="00C57F70" w:rsidRPr="00EE0E12">
        <w:t>v</w:t>
      </w:r>
      <w:r w:rsidR="00C57F70">
        <w:t>ô</w:t>
      </w:r>
      <w:r w:rsidR="00C57F70" w:rsidRPr="00EE0E12">
        <w:t>o</w:t>
      </w:r>
      <w:r w:rsidRPr="00EE0E12">
        <w:t xml:space="preserve">, algumas das quais podem ser especificamente impostas como resultado do vazamento. A altitude e velocidade de observação, em geral, são determinadas pela visibilidade local. O planejamento da operação é coordenado pelo Gerente de Operações Aéreas, baseados nas demandas das Seções de Operações, Planejamento e Logística e registrado no formulário ICS-220 </w:t>
      </w:r>
      <w:r w:rsidR="00F035E6">
        <w:t>–</w:t>
      </w:r>
      <w:r w:rsidRPr="00EE0E12">
        <w:t xml:space="preserve"> Programação de Operações Aéreas.</w:t>
      </w:r>
    </w:p>
    <w:p w14:paraId="0264852E" w14:textId="1E5D276C" w:rsidR="00B97508" w:rsidRDefault="00B97508" w:rsidP="00F035E6">
      <w:pPr>
        <w:pStyle w:val="tier1Itext"/>
        <w:spacing w:before="360"/>
      </w:pPr>
      <w:r w:rsidRPr="00EE0E12">
        <w:lastRenderedPageBreak/>
        <w:t xml:space="preserve">Os observadores, que podem ser funcionários próprios capacitados ou especialistas de empresas terceirizadas, devem manter registro de todas as posições da aeronave, de maneira que o progresso possa ser monitorado juntamente com quaisquer mudanças que sejam necessárias, em função das circunstâncias notadas durante o </w:t>
      </w:r>
      <w:r w:rsidR="00C57F70" w:rsidRPr="00EE0E12">
        <w:t>v</w:t>
      </w:r>
      <w:r w:rsidR="00C57F70">
        <w:t>ô</w:t>
      </w:r>
      <w:r w:rsidR="00C57F70" w:rsidRPr="00EE0E12">
        <w:t>o</w:t>
      </w:r>
      <w:r w:rsidRPr="00EE0E12">
        <w:t xml:space="preserve">. Durante as operações de observação, deve haver consistência de pelo menos um observador durante uma série de </w:t>
      </w:r>
      <w:r w:rsidR="00C57F70" w:rsidRPr="00EE0E12">
        <w:t>v</w:t>
      </w:r>
      <w:r w:rsidR="00C57F70">
        <w:t>ô</w:t>
      </w:r>
      <w:r w:rsidR="00C57F70" w:rsidRPr="00EE0E12">
        <w:t>os</w:t>
      </w:r>
      <w:r w:rsidRPr="00EE0E12">
        <w:t>, de forma que as variações nos relatórios reflitam as mudanças no estágio de dispersão da mancha e não as diferenças entre as percepções dos observadores. Os registros dos diferentes observadores também devem ser comparados para avaliar esta consistência, permitindo discussão e alinhamento com as percepções dos membros da equipe.</w:t>
      </w:r>
    </w:p>
    <w:p w14:paraId="76BE25FC" w14:textId="41C610EC" w:rsidR="006C23D7" w:rsidRPr="00F308F3" w:rsidRDefault="006C23D7" w:rsidP="00F035E6">
      <w:pPr>
        <w:pStyle w:val="tier1Itext"/>
        <w:spacing w:before="360"/>
      </w:pPr>
      <w:r w:rsidRPr="00B8011A">
        <w:rPr>
          <w:highlight w:val="lightGray"/>
        </w:rPr>
        <w:t xml:space="preserve">De forma a poder contribuir </w:t>
      </w:r>
      <w:r w:rsidR="008E4B8E" w:rsidRPr="00B8011A">
        <w:rPr>
          <w:highlight w:val="lightGray"/>
        </w:rPr>
        <w:t xml:space="preserve">tanto no </w:t>
      </w:r>
      <w:r w:rsidRPr="00B8011A">
        <w:rPr>
          <w:highlight w:val="lightGray"/>
        </w:rPr>
        <w:t xml:space="preserve">monitoramento </w:t>
      </w:r>
      <w:r w:rsidR="008E4B8E" w:rsidRPr="00B8011A">
        <w:rPr>
          <w:highlight w:val="lightGray"/>
        </w:rPr>
        <w:t xml:space="preserve">sistemático durante os vôos rotineiros realizados como em situações de emergência, os pilotos contratados para suporte às operações da BP Energy receberão um treinamento específico de capacitação que englobará aspectos da observação de óleo no mar e da identificação de fauna impactada por óleo. Assim eles poderão atuar no registro de qualquer ocorrência, mesmo que não relacionadas a incidentes de vazamento no projeto de perfuração da BP. </w:t>
      </w:r>
      <w:r w:rsidR="00C403C3" w:rsidRPr="00B8011A">
        <w:rPr>
          <w:highlight w:val="lightGray"/>
        </w:rPr>
        <w:t xml:space="preserve"> É válido ressaltar que este recurso será importante na identificação destas ocorrências não vinculadas à operação e nos primeiros momentos da resposta, quando especialistas estarão sendo mobilizados para o cenário de resposta a fim de assumir esta função. No entanto, como é presença obrigatória em todos os vôos, os pilotos ainda terão a possibilidade de contribuir com suas observações capacitadas nas campanhas </w:t>
      </w:r>
      <w:r w:rsidR="00F308F3" w:rsidRPr="00B8011A">
        <w:rPr>
          <w:highlight w:val="lightGray"/>
        </w:rPr>
        <w:t xml:space="preserve">específicas </w:t>
      </w:r>
      <w:r w:rsidR="00C403C3" w:rsidRPr="00B8011A">
        <w:rPr>
          <w:highlight w:val="lightGray"/>
        </w:rPr>
        <w:t>de  observação</w:t>
      </w:r>
      <w:r w:rsidR="00F308F3" w:rsidRPr="00B8011A">
        <w:rPr>
          <w:highlight w:val="lightGray"/>
        </w:rPr>
        <w:t xml:space="preserve"> e monitoramento</w:t>
      </w:r>
      <w:r w:rsidR="00C403C3" w:rsidRPr="00B8011A">
        <w:rPr>
          <w:highlight w:val="lightGray"/>
        </w:rPr>
        <w:t>.</w:t>
      </w:r>
      <w:r w:rsidR="008E4B8E" w:rsidRPr="00F308F3">
        <w:t xml:space="preserve">  </w:t>
      </w:r>
    </w:p>
    <w:p w14:paraId="6555E883" w14:textId="77777777" w:rsidR="00B97508" w:rsidRPr="00EE0E12" w:rsidRDefault="00B97508" w:rsidP="005239F6">
      <w:pPr>
        <w:pStyle w:val="tier1Itext"/>
      </w:pPr>
      <w:r w:rsidRPr="00EE0E12">
        <w:t xml:space="preserve">Os resultados dos </w:t>
      </w:r>
      <w:r w:rsidR="00C57F70" w:rsidRPr="00EE0E12">
        <w:t>v</w:t>
      </w:r>
      <w:r w:rsidR="00C57F70">
        <w:t>ô</w:t>
      </w:r>
      <w:r w:rsidR="00C57F70" w:rsidRPr="00EE0E12">
        <w:t xml:space="preserve">os </w:t>
      </w:r>
      <w:r w:rsidRPr="00EE0E12">
        <w:t>de vigilância devem ser imediatamente disponibilizados ao OSC (ou OSC Delegado) através de relatório verbal dos observadores logo após seu desembarque, e que deve incluir, mas não estar limitado, a:</w:t>
      </w:r>
    </w:p>
    <w:p w14:paraId="2BC5C947"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EE0E12">
        <w:rPr>
          <w:rFonts w:asciiTheme="majorHAnsi" w:hAnsiTheme="majorHAnsi"/>
        </w:rPr>
        <w:t>Breve descrição das observações;</w:t>
      </w:r>
    </w:p>
    <w:p w14:paraId="5DC7718C"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 xml:space="preserve">Direcionamento, comportamento e estimativa do óleo derramado (segundo BAOAC); </w:t>
      </w:r>
    </w:p>
    <w:p w14:paraId="475BF002"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Coordenadas e fotos;</w:t>
      </w:r>
    </w:p>
    <w:p w14:paraId="2D136900"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Condições climáticas locais (vento, estado do mar, visibilidade); e</w:t>
      </w:r>
    </w:p>
    <w:p w14:paraId="5CAFEA88"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EE0E12">
        <w:rPr>
          <w:rFonts w:asciiTheme="majorHAnsi" w:hAnsiTheme="majorHAnsi"/>
        </w:rPr>
        <w:t>Percepção da efetividade de quaisquer operações de resposta observadas.</w:t>
      </w:r>
    </w:p>
    <w:p w14:paraId="63C552D3" w14:textId="77777777" w:rsidR="00B97508" w:rsidRPr="00EE0E12" w:rsidRDefault="00B97508" w:rsidP="005239F6">
      <w:pPr>
        <w:pStyle w:val="tier1Itext"/>
      </w:pPr>
      <w:r w:rsidRPr="00EE0E12">
        <w:t xml:space="preserve">Um relatório escrito formal das observações deve ser preparado com as mesmas informações complementadas por uma lista dos passageiros com sua função (nomes e afiliação), a informação sobre a plataforma aérea usada (helicóptero ou avião), o registro de tempo de </w:t>
      </w:r>
      <w:r w:rsidR="00C57F70" w:rsidRPr="00EE0E12">
        <w:t>v</w:t>
      </w:r>
      <w:r w:rsidR="00C57F70">
        <w:t>ô</w:t>
      </w:r>
      <w:r w:rsidR="00C57F70" w:rsidRPr="00EE0E12">
        <w:t xml:space="preserve">o </w:t>
      </w:r>
      <w:r w:rsidRPr="00EE0E12">
        <w:t>e trajeto, desenhos e notas, e a planilha com o cálculo de estimativa da quantidade de óleo no mar.</w:t>
      </w:r>
    </w:p>
    <w:p w14:paraId="24074651" w14:textId="77777777" w:rsidR="00B97508" w:rsidRPr="00EE0E12" w:rsidRDefault="00B97508" w:rsidP="005239F6">
      <w:pPr>
        <w:pStyle w:val="tier1Itext"/>
      </w:pPr>
      <w:r w:rsidRPr="00EE0E12">
        <w:lastRenderedPageBreak/>
        <w:t>Outra importante função desempenhada pelas operações de observação aérea é a de avaliação das condições operacionais (</w:t>
      </w:r>
      <w:r w:rsidRPr="00EE0E12">
        <w:rPr>
          <w:i/>
        </w:rPr>
        <w:t>spotter</w:t>
      </w:r>
      <w:r w:rsidRPr="00EE0E12">
        <w:t xml:space="preserve">). A aeronave </w:t>
      </w:r>
      <w:r w:rsidRPr="00EE0E12">
        <w:rPr>
          <w:i/>
        </w:rPr>
        <w:t>spotter</w:t>
      </w:r>
      <w:r w:rsidRPr="00EE0E12">
        <w:t xml:space="preserve"> tem a função de avaliar várias áreas do vazamento e identificar as suas principais características de forma a orientar as estratégias de resposta e as técnicas a serem empregadas em cada área específica. No caso da aplicação de dispersantes químicos, deverá garantir que a(s) área(s) de mancha selecionada(s) tenha(m) óleo suficiente para a operação, mapear estas áreas que serão aspersadas e checar para que nenhum animal selvagem, barco de pesca ou time de outra técnica de resposta estejam dentro delas. Quando tiver completado estas verificações, a aeronave </w:t>
      </w:r>
      <w:r w:rsidRPr="00EE0E12">
        <w:rPr>
          <w:i/>
        </w:rPr>
        <w:t>spotter</w:t>
      </w:r>
      <w:r w:rsidRPr="00EE0E12">
        <w:t xml:space="preserve"> irá guiar a embarcação ou aeronave de aplicação do dispersante para a seção de mancha selecionada, dando orientações e instruções de quando iniciar e finalizar suas operações.</w:t>
      </w:r>
    </w:p>
    <w:p w14:paraId="462146D9" w14:textId="32EF4E0A" w:rsidR="00290F16" w:rsidRPr="009E316F" w:rsidRDefault="001A0409" w:rsidP="006F18B8">
      <w:pPr>
        <w:pStyle w:val="Ttulo3"/>
        <w:ind w:left="1224"/>
        <w:rPr>
          <w:lang w:val="pt-BR"/>
        </w:rPr>
      </w:pPr>
      <w:r>
        <w:rPr>
          <w:lang w:val="pt-BR"/>
        </w:rPr>
        <w:t xml:space="preserve"> </w:t>
      </w:r>
      <w:bookmarkStart w:id="171" w:name="_Toc527990424"/>
      <w:r w:rsidR="00CF77CE" w:rsidRPr="009E316F">
        <w:rPr>
          <w:lang w:val="pt-BR"/>
        </w:rPr>
        <w:t>Sistemas de Detecção Automatizados de Óleo</w:t>
      </w:r>
      <w:bookmarkEnd w:id="171"/>
    </w:p>
    <w:p w14:paraId="05A7E03B" w14:textId="15FF228E" w:rsidR="00B97508" w:rsidRDefault="00B97508" w:rsidP="005239F6">
      <w:pPr>
        <w:pStyle w:val="tier1Itext"/>
      </w:pPr>
      <w:r w:rsidRPr="00EE0E12">
        <w:t>No que tange a sistemas automatizados de detecção de óleo, é importante lembrar que são considerados métodos indiretos de observação, onde diferentes fenômenos ou formações podem levar a uma interpretação errônea, classif</w:t>
      </w:r>
      <w:r w:rsidR="00BF2A83">
        <w:t>i</w:t>
      </w:r>
      <w:r w:rsidRPr="00EE0E12">
        <w:t xml:space="preserve">cada como um </w:t>
      </w:r>
      <w:r w:rsidR="00F308F3">
        <w:t>‘</w:t>
      </w:r>
      <w:r w:rsidRPr="00EE0E12">
        <w:t>falso positivo</w:t>
      </w:r>
      <w:r w:rsidR="00F308F3">
        <w:t>’</w:t>
      </w:r>
      <w:r w:rsidRPr="00EE0E12">
        <w:t xml:space="preserve">. Os </w:t>
      </w:r>
      <w:r w:rsidRPr="00EE0E12">
        <w:rPr>
          <w:i/>
        </w:rPr>
        <w:t>softwares</w:t>
      </w:r>
      <w:r w:rsidRPr="00EE0E12">
        <w:t xml:space="preserve"> de apoio a estes sistemas têm sido melhorados continuamente, mas ainda demandam uma verificação visual e a corroboração de alguém treinado para a ratificação de uma suspeita de existência de óleo no raio operacional dos sensores.</w:t>
      </w:r>
    </w:p>
    <w:p w14:paraId="1451F268" w14:textId="77777777" w:rsidR="00B97508" w:rsidRPr="005239F6" w:rsidRDefault="00B97508"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ind w:left="714" w:hanging="357"/>
        <w:rPr>
          <w:rFonts w:asciiTheme="majorHAnsi" w:hAnsiTheme="majorHAnsi"/>
        </w:rPr>
      </w:pPr>
      <w:r w:rsidRPr="005239F6">
        <w:rPr>
          <w:rFonts w:asciiTheme="majorHAnsi" w:hAnsiTheme="majorHAnsi"/>
        </w:rPr>
        <w:t>Radar de Detecção de Óleo</w:t>
      </w:r>
    </w:p>
    <w:p w14:paraId="26CD3163" w14:textId="7802950D" w:rsidR="00B97508" w:rsidRDefault="00B97508" w:rsidP="0090582E">
      <w:pPr>
        <w:pStyle w:val="tier1Itext"/>
        <w:ind w:left="357"/>
      </w:pPr>
      <w:r w:rsidRPr="00EE0E12">
        <w:t>Equipamento capaz de detectar a presença de óleo na água, no entorno da embarcação em que se encontra instalado, fornecendo informações a respeito das dimensões e inferin</w:t>
      </w:r>
      <w:r w:rsidR="005239F6">
        <w:t>do espessura da mancha de óleo.</w:t>
      </w:r>
      <w:r w:rsidR="00246F01">
        <w:t xml:space="preserve">  </w:t>
      </w:r>
    </w:p>
    <w:p w14:paraId="161D01F2" w14:textId="5B62009B" w:rsidR="002F4423" w:rsidRPr="00EE0E12" w:rsidRDefault="002F4423" w:rsidP="0090582E">
      <w:pPr>
        <w:pStyle w:val="tier1Itext"/>
        <w:ind w:left="357"/>
      </w:pPr>
      <w:r w:rsidRPr="00B8011A">
        <w:rPr>
          <w:highlight w:val="lightGray"/>
        </w:rPr>
        <w:t>São sistemas acoplados ao radar de navegação, operando dentro de uma faixa de frequência de 8 a 12 GHz (denominada Banda X) e adotando como principio de detecção as diferenças entre as intensidades dos sinais de retrono dos pulsos de energia transmitidos. A superfície livre do mar apresenta ondas capilares que afetam as ondas transmitidas, causando o fenômeno de retrodifusão (ou retroespalhamento), sendo as variabilidades detectadas no sensor. A mancha de óleo impede a formação desta ondas, reduzindo e até anulando este fenômeno, o que gera uma representação escura na tela do radar. Algoritimos de processamento da imagem gerada, interpretam estas feições mapeadas, inferindo informações de localização, dimensão e, em alguns casos, diferenças relativas de estimativa da potencial espessura. Dependendo da altura desta antena, estes radares podem ter um alcance de 10 a 20 km, sendo mais precisos na faixa de 4 a 7 Km no entorno da unidade em questão instalados.</w:t>
      </w:r>
    </w:p>
    <w:p w14:paraId="28EC5FE2" w14:textId="19E96411" w:rsidR="00B97508" w:rsidRPr="00EE0E12" w:rsidRDefault="00B97508" w:rsidP="0090582E">
      <w:pPr>
        <w:pStyle w:val="tier1Itext"/>
        <w:ind w:left="357"/>
      </w:pPr>
      <w:r w:rsidRPr="00EE0E12">
        <w:lastRenderedPageBreak/>
        <w:t xml:space="preserve">O radar de detecção de óleo é capaz de operar em diferentes condições de visibilidade, sendo as informações obtidas de grande valia não só para o monitoramento da mancha, mas também para o apoio no posicionamento das embarcações durante as operações de resposta. Tem um alcance </w:t>
      </w:r>
      <w:r w:rsidR="002F4423" w:rsidRPr="00B8011A">
        <w:rPr>
          <w:highlight w:val="lightGray"/>
        </w:rPr>
        <w:t>ideal</w:t>
      </w:r>
      <w:r w:rsidR="002F4423">
        <w:t xml:space="preserve"> </w:t>
      </w:r>
      <w:r w:rsidRPr="00EE0E12">
        <w:t>operacional de 4 mn e faixa de melhor eficiência em estado do mar até 5, quando as alturas e quebras das cristas das ondas começam a mascarar os registros de retroespalhamento do radar.</w:t>
      </w:r>
    </w:p>
    <w:p w14:paraId="6D2CF6D1" w14:textId="01C33FA3" w:rsidR="00B97508" w:rsidRPr="00B8011A" w:rsidRDefault="0099317E"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ind w:left="714" w:hanging="357"/>
        <w:rPr>
          <w:rFonts w:asciiTheme="majorHAnsi" w:hAnsiTheme="majorHAnsi"/>
          <w:color w:val="auto"/>
          <w:highlight w:val="lightGray"/>
        </w:rPr>
      </w:pPr>
      <w:r w:rsidRPr="00B8011A">
        <w:rPr>
          <w:rFonts w:asciiTheme="majorHAnsi" w:hAnsiTheme="majorHAnsi"/>
          <w:color w:val="auto"/>
          <w:highlight w:val="lightGray"/>
        </w:rPr>
        <w:t>Aerostato</w:t>
      </w:r>
      <w:r w:rsidR="00F27CDC" w:rsidRPr="00B8011A">
        <w:rPr>
          <w:rFonts w:asciiTheme="majorHAnsi" w:hAnsiTheme="majorHAnsi"/>
          <w:color w:val="auto"/>
          <w:highlight w:val="lightGray"/>
        </w:rPr>
        <w:t>s</w:t>
      </w:r>
    </w:p>
    <w:p w14:paraId="7105AD5A" w14:textId="43D9BCAE" w:rsidR="00B97508" w:rsidRPr="005239F6" w:rsidRDefault="00B97508" w:rsidP="0090582E">
      <w:pPr>
        <w:pStyle w:val="tier1Itext"/>
        <w:ind w:left="357"/>
      </w:pPr>
      <w:r w:rsidRPr="00EE0E12">
        <w:t xml:space="preserve">Equipamento de monitoramento de grande portabilidade composto por um balão enchido com hélio, dotado de uma </w:t>
      </w:r>
      <w:r w:rsidR="00D33761" w:rsidRPr="00B8011A">
        <w:rPr>
          <w:highlight w:val="lightGray"/>
        </w:rPr>
        <w:t>base</w:t>
      </w:r>
      <w:r w:rsidRPr="00EE0E12">
        <w:t xml:space="preserve"> com </w:t>
      </w:r>
      <w:r w:rsidR="005D4052" w:rsidRPr="00B8011A">
        <w:rPr>
          <w:highlight w:val="lightGray"/>
        </w:rPr>
        <w:t>dois (modelos mais simples) ou</w:t>
      </w:r>
      <w:r w:rsidR="005D4052">
        <w:t xml:space="preserve"> três sensores </w:t>
      </w:r>
      <w:r w:rsidR="005D4052" w:rsidRPr="00B8011A">
        <w:rPr>
          <w:highlight w:val="lightGray"/>
        </w:rPr>
        <w:t xml:space="preserve">(modelos mais complexos), sendo em ambos </w:t>
      </w:r>
      <w:r w:rsidR="00D33761" w:rsidRPr="00B8011A">
        <w:rPr>
          <w:highlight w:val="lightGray"/>
        </w:rPr>
        <w:t>duas câmeras</w:t>
      </w:r>
      <w:r w:rsidR="00D33761">
        <w:t xml:space="preserve"> de alta resolução </w:t>
      </w:r>
      <w:r w:rsidR="00D33761" w:rsidRPr="00B8011A">
        <w:rPr>
          <w:highlight w:val="lightGray"/>
        </w:rPr>
        <w:t>(uma ótica – padrão do</w:t>
      </w:r>
      <w:r w:rsidR="00D33761">
        <w:t xml:space="preserve"> visível; e </w:t>
      </w:r>
      <w:r w:rsidR="00D33761" w:rsidRPr="00B8011A">
        <w:rPr>
          <w:highlight w:val="lightGray"/>
        </w:rPr>
        <w:t>outra de registro da banda do</w:t>
      </w:r>
      <w:r w:rsidR="00D33761">
        <w:t xml:space="preserve"> infravermelho)</w:t>
      </w:r>
      <w:r w:rsidR="005D4052">
        <w:t xml:space="preserve"> </w:t>
      </w:r>
      <w:r w:rsidR="005D4052" w:rsidRPr="00487E50">
        <w:rPr>
          <w:highlight w:val="lightGray"/>
        </w:rPr>
        <w:t>e no segundo modelo, um receptor AIS (que permite seu georeferenciamento imediato)</w:t>
      </w:r>
      <w:r w:rsidR="00D33761" w:rsidRPr="00487E50">
        <w:rPr>
          <w:highlight w:val="lightGray"/>
        </w:rPr>
        <w:t xml:space="preserve">, </w:t>
      </w:r>
      <w:r w:rsidRPr="00487E50">
        <w:rPr>
          <w:highlight w:val="lightGray"/>
        </w:rPr>
        <w:t>capaz de produzir em tempo real imagens,</w:t>
      </w:r>
      <w:r w:rsidRPr="00EE0E12">
        <w:t xml:space="preserve"> transmitidas via sistema </w:t>
      </w:r>
      <w:r w:rsidRPr="00EE0E12">
        <w:rPr>
          <w:i/>
        </w:rPr>
        <w:t>wireless</w:t>
      </w:r>
      <w:r w:rsidRPr="00EE0E12">
        <w:t xml:space="preserve"> a um computador localizado na </w:t>
      </w:r>
      <w:r w:rsidR="005D4052" w:rsidRPr="00487E50">
        <w:rPr>
          <w:highlight w:val="lightGray"/>
        </w:rPr>
        <w:t>sua base de lançamento</w:t>
      </w:r>
      <w:r w:rsidRPr="00487E50">
        <w:rPr>
          <w:highlight w:val="lightGray"/>
        </w:rPr>
        <w:t xml:space="preserve">. </w:t>
      </w:r>
      <w:r w:rsidR="005D4052" w:rsidRPr="00487E50">
        <w:rPr>
          <w:highlight w:val="lightGray"/>
        </w:rPr>
        <w:t>De forma geral, p</w:t>
      </w:r>
      <w:r w:rsidR="00D33761" w:rsidRPr="00487E50">
        <w:rPr>
          <w:highlight w:val="lightGray"/>
        </w:rPr>
        <w:t xml:space="preserve">ossui uma base de lançamento </w:t>
      </w:r>
      <w:r w:rsidR="005D4052" w:rsidRPr="00487E50">
        <w:rPr>
          <w:highlight w:val="lightGray"/>
        </w:rPr>
        <w:t>com cerca</w:t>
      </w:r>
      <w:r w:rsidR="00D33761" w:rsidRPr="00487E50">
        <w:rPr>
          <w:highlight w:val="lightGray"/>
        </w:rPr>
        <w:t xml:space="preserve"> de 200 m, o que permite que atinja alturas de até 150 m, com um</w:t>
      </w:r>
      <w:r w:rsidR="00D33761">
        <w:t xml:space="preserve"> alcance </w:t>
      </w:r>
      <w:r w:rsidR="00D33761" w:rsidRPr="00487E50">
        <w:rPr>
          <w:highlight w:val="lightGray"/>
        </w:rPr>
        <w:t xml:space="preserve">de até </w:t>
      </w:r>
      <w:r w:rsidRPr="00487E50">
        <w:rPr>
          <w:highlight w:val="lightGray"/>
        </w:rPr>
        <w:t>4 mn</w:t>
      </w:r>
      <w:r w:rsidR="00D33761" w:rsidRPr="00487E50">
        <w:rPr>
          <w:highlight w:val="lightGray"/>
        </w:rPr>
        <w:t xml:space="preserve"> ao redor da unidade</w:t>
      </w:r>
      <w:r w:rsidRPr="00EE0E12">
        <w:t xml:space="preserve">. As imagens capturadas </w:t>
      </w:r>
      <w:r w:rsidRPr="00487E50">
        <w:rPr>
          <w:highlight w:val="lightGray"/>
        </w:rPr>
        <w:t>pode</w:t>
      </w:r>
      <w:r w:rsidR="005D4052" w:rsidRPr="00487E50">
        <w:rPr>
          <w:highlight w:val="lightGray"/>
        </w:rPr>
        <w:t>m</w:t>
      </w:r>
      <w:r w:rsidRPr="00EE0E12">
        <w:t xml:space="preserve"> também ser acessadas pelos membros da IMT via </w:t>
      </w:r>
      <w:r w:rsidRPr="00EE0E12">
        <w:rPr>
          <w:i/>
        </w:rPr>
        <w:t xml:space="preserve">internet, </w:t>
      </w:r>
      <w:r w:rsidRPr="00EE0E12">
        <w:t xml:space="preserve">caso a banda do sistema </w:t>
      </w:r>
      <w:r w:rsidR="00D33761" w:rsidRPr="00487E50">
        <w:rPr>
          <w:highlight w:val="lightGray"/>
        </w:rPr>
        <w:t>de transmissão da embarcação em que esteja</w:t>
      </w:r>
      <w:r w:rsidR="00D33761">
        <w:t xml:space="preserve"> </w:t>
      </w:r>
      <w:r w:rsidRPr="00EE0E12">
        <w:t xml:space="preserve">permita a sua transmissão pela </w:t>
      </w:r>
      <w:r w:rsidRPr="00EE0E12">
        <w:rPr>
          <w:i/>
        </w:rPr>
        <w:t>web</w:t>
      </w:r>
      <w:r w:rsidRPr="00EE0E12">
        <w:t>, aumentando a interação entre as equipes.</w:t>
      </w:r>
    </w:p>
    <w:p w14:paraId="6E6DA4B4" w14:textId="681A2081" w:rsidR="00D33761" w:rsidRDefault="00D33761" w:rsidP="0090582E">
      <w:pPr>
        <w:pStyle w:val="tier1Itext"/>
        <w:ind w:left="357"/>
      </w:pPr>
      <w:r w:rsidRPr="00487E50">
        <w:rPr>
          <w:highlight w:val="lightGray"/>
        </w:rPr>
        <w:t>A câmera infravermelha opera na faixa de frequência correspondente à radiação de mesmo nome (300 GHz a 400 THz) e detectam a disparidade entre as emissões de radiação térmica da água do mar e do óleo. Desta forma, podem também inferir, através da utilização de algorítimos, informações de espessura de camada das feições identificadas.</w:t>
      </w:r>
      <w:r w:rsidR="00F27CDC" w:rsidRPr="00487E50">
        <w:rPr>
          <w:highlight w:val="lightGray"/>
        </w:rPr>
        <w:t xml:space="preserve"> Como se baseiam na diferença da radiação emitida pelas duas feições (água do mar e mancha de óleo), tendem a não apresentar bons resultados quando a espessura desta camada de óleo é muito fina.</w:t>
      </w:r>
      <w:r w:rsidR="00F27CDC">
        <w:t xml:space="preserve"> </w:t>
      </w:r>
      <w:r>
        <w:t xml:space="preserve"> </w:t>
      </w:r>
      <w:r w:rsidR="00B97508" w:rsidRPr="00EE0E12">
        <w:t xml:space="preserve"> </w:t>
      </w:r>
    </w:p>
    <w:p w14:paraId="248D2D05" w14:textId="5F7953F9" w:rsidR="00F27CDC" w:rsidRDefault="00B97508" w:rsidP="0090582E">
      <w:pPr>
        <w:pStyle w:val="tier1Itext"/>
        <w:ind w:left="357"/>
      </w:pPr>
      <w:r w:rsidRPr="00487E50">
        <w:rPr>
          <w:highlight w:val="lightGray"/>
        </w:rPr>
        <w:lastRenderedPageBreak/>
        <w:t>O</w:t>
      </w:r>
      <w:r w:rsidR="005D4052" w:rsidRPr="00487E50">
        <w:rPr>
          <w:highlight w:val="lightGray"/>
        </w:rPr>
        <w:t>s</w:t>
      </w:r>
      <w:r w:rsidRPr="00487E50">
        <w:rPr>
          <w:highlight w:val="lightGray"/>
        </w:rPr>
        <w:t xml:space="preserve"> </w:t>
      </w:r>
      <w:r w:rsidR="005D4052" w:rsidRPr="00487E50">
        <w:rPr>
          <w:highlight w:val="lightGray"/>
        </w:rPr>
        <w:t xml:space="preserve">diferentes modelos de </w:t>
      </w:r>
      <w:r w:rsidR="0099317E" w:rsidRPr="00487E50">
        <w:rPr>
          <w:highlight w:val="lightGray"/>
        </w:rPr>
        <w:t>aerostato</w:t>
      </w:r>
      <w:r w:rsidR="005D4052" w:rsidRPr="00487E50">
        <w:rPr>
          <w:highlight w:val="lightGray"/>
        </w:rPr>
        <w:t>s</w:t>
      </w:r>
      <w:r w:rsidR="00D20B39" w:rsidRPr="00487E50">
        <w:rPr>
          <w:rStyle w:val="Refdenotaderodap"/>
          <w:highlight w:val="lightGray"/>
        </w:rPr>
        <w:footnoteReference w:id="40"/>
      </w:r>
      <w:r w:rsidRPr="00487E50">
        <w:rPr>
          <w:highlight w:val="lightGray"/>
        </w:rPr>
        <w:t xml:space="preserve"> pode</w:t>
      </w:r>
      <w:r w:rsidR="005D4052" w:rsidRPr="00487E50">
        <w:rPr>
          <w:highlight w:val="lightGray"/>
        </w:rPr>
        <w:t>m</w:t>
      </w:r>
      <w:r w:rsidRPr="00487E50">
        <w:rPr>
          <w:highlight w:val="lightGray"/>
        </w:rPr>
        <w:t xml:space="preserve"> operar em diferentes condições de luminosidade</w:t>
      </w:r>
      <w:r w:rsidR="00F27CDC" w:rsidRPr="00487E50">
        <w:rPr>
          <w:highlight w:val="lightGray"/>
        </w:rPr>
        <w:t xml:space="preserve"> (períodos diurnos ou noturnos), podendo ser lançado</w:t>
      </w:r>
      <w:r w:rsidR="005D4052" w:rsidRPr="00487E50">
        <w:rPr>
          <w:highlight w:val="lightGray"/>
        </w:rPr>
        <w:t>s</w:t>
      </w:r>
      <w:r w:rsidR="00F27CDC" w:rsidRPr="00487E50">
        <w:rPr>
          <w:highlight w:val="lightGray"/>
        </w:rPr>
        <w:t xml:space="preserve"> de qualquer área sem cobertura (acesso livre para sua subida, como o convés de uma embarcação), em ambientes com até 50 nós de vento.</w:t>
      </w:r>
      <w:r w:rsidR="005D4052" w:rsidRPr="00487E50">
        <w:rPr>
          <w:highlight w:val="lightGray"/>
        </w:rPr>
        <w:t xml:space="preserve"> Os modelos mais complexos possuem alimentação via cabo, o que permite que fiquem por longos períodos em operação (dias). Os modelos mais simples, sem conexão de alimentação, tem autonomia de até 12 horas, podendo ter suas unidades de força trocadas, bastando apenas serem recolhidos e relançados, em rápida operação sem a necessidade de esvaziamento ou reenchimento de seu balão.</w:t>
      </w:r>
      <w:r w:rsidRPr="00EE0E12">
        <w:t xml:space="preserve"> </w:t>
      </w:r>
    </w:p>
    <w:p w14:paraId="672FFE96" w14:textId="576E86E1" w:rsidR="0090582E" w:rsidRPr="0090582E" w:rsidRDefault="0090582E" w:rsidP="0090582E">
      <w:pPr>
        <w:ind w:left="357"/>
        <w:rPr>
          <w:rFonts w:asciiTheme="majorHAnsi" w:hAnsiTheme="majorHAnsi"/>
          <w:iCs/>
        </w:rPr>
      </w:pPr>
      <w:r w:rsidRPr="00487E50">
        <w:rPr>
          <w:rFonts w:asciiTheme="majorHAnsi" w:hAnsiTheme="majorHAnsi"/>
          <w:iCs/>
          <w:highlight w:val="lightGray"/>
        </w:rPr>
        <w:t>Este equipamento encontra-se alinhado à sua possível dinâmica de demanda no campo, já que estas câmeras não ficam ligadas todo o tempo, sendo ativadas apenas quando necessárias. Assim, poderá ser ativado quando solicitado, para inspeção das águas do entorno da embarcação em que estiver.</w:t>
      </w:r>
    </w:p>
    <w:p w14:paraId="7D37A625" w14:textId="484F2348" w:rsidR="005D4052" w:rsidRPr="00487E50" w:rsidRDefault="005D4052" w:rsidP="005D4052">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ind w:left="714" w:hanging="357"/>
        <w:rPr>
          <w:rFonts w:asciiTheme="majorHAnsi" w:hAnsiTheme="majorHAnsi"/>
          <w:color w:val="auto"/>
          <w:highlight w:val="lightGray"/>
        </w:rPr>
      </w:pPr>
      <w:r w:rsidRPr="00487E50">
        <w:rPr>
          <w:rFonts w:asciiTheme="majorHAnsi" w:hAnsiTheme="majorHAnsi"/>
          <w:color w:val="auto"/>
          <w:highlight w:val="lightGray"/>
        </w:rPr>
        <w:t>Sistemas Integrados</w:t>
      </w:r>
    </w:p>
    <w:p w14:paraId="63C6A0EA" w14:textId="676668F7" w:rsidR="0090582E" w:rsidRPr="00487E50" w:rsidRDefault="003D5BAA" w:rsidP="003D5BAA">
      <w:pPr>
        <w:spacing w:after="160" w:line="259" w:lineRule="auto"/>
        <w:ind w:left="357"/>
        <w:rPr>
          <w:rFonts w:asciiTheme="majorHAnsi" w:hAnsiTheme="majorHAnsi"/>
          <w:highlight w:val="lightGray"/>
        </w:rPr>
      </w:pPr>
      <w:r w:rsidRPr="00487E50">
        <w:rPr>
          <w:rFonts w:asciiTheme="majorHAnsi" w:hAnsiTheme="majorHAnsi"/>
          <w:highlight w:val="lightGray"/>
        </w:rPr>
        <w:t>Alguns sistemas realizam o gerenciamento das informações coletadas pelo radar, permitindo, sobre uma base que opera no sistema de navegação eletrônica, o seu processamento georreferenciado e o controle coordenado das movimentações das câmeras. O conjunto de informações e imagens é então apresentado em um console único, com possibilidade de transmissão para outros pontos de integração das informações ou, se conectado à internet, para fora da embarcação</w:t>
      </w:r>
      <w:r w:rsidRPr="00487E50">
        <w:rPr>
          <w:rStyle w:val="Refdenotaderodap"/>
          <w:rFonts w:asciiTheme="majorHAnsi" w:hAnsiTheme="majorHAnsi"/>
          <w:highlight w:val="lightGray"/>
        </w:rPr>
        <w:footnoteReference w:id="41"/>
      </w:r>
      <w:r w:rsidRPr="00487E50">
        <w:rPr>
          <w:rFonts w:asciiTheme="majorHAnsi" w:hAnsiTheme="majorHAnsi"/>
          <w:highlight w:val="lightGray"/>
        </w:rPr>
        <w:t xml:space="preserve">. </w:t>
      </w:r>
      <w:r w:rsidR="00344D89" w:rsidRPr="00487E50">
        <w:rPr>
          <w:rFonts w:asciiTheme="majorHAnsi" w:hAnsiTheme="majorHAnsi"/>
          <w:highlight w:val="lightGray"/>
        </w:rPr>
        <w:t xml:space="preserve"> </w:t>
      </w:r>
    </w:p>
    <w:p w14:paraId="4D0165D9" w14:textId="776C5E9D" w:rsidR="0090582E" w:rsidRPr="00DC0385" w:rsidRDefault="00183E41" w:rsidP="0090582E">
      <w:pPr>
        <w:spacing w:after="160" w:line="259" w:lineRule="auto"/>
        <w:ind w:left="357"/>
        <w:rPr>
          <w:rFonts w:asciiTheme="majorHAnsi" w:hAnsiTheme="majorHAnsi"/>
        </w:rPr>
      </w:pPr>
      <w:r w:rsidRPr="00487E50">
        <w:rPr>
          <w:rFonts w:asciiTheme="majorHAnsi" w:hAnsiTheme="majorHAnsi"/>
          <w:highlight w:val="lightGray"/>
        </w:rPr>
        <w:t>A</w:t>
      </w:r>
      <w:r w:rsidR="003D5BAA" w:rsidRPr="00487E50">
        <w:rPr>
          <w:rFonts w:asciiTheme="majorHAnsi" w:hAnsiTheme="majorHAnsi"/>
          <w:highlight w:val="lightGray"/>
        </w:rPr>
        <w:t xml:space="preserve"> BP Energy especificará no</w:t>
      </w:r>
      <w:r w:rsidR="0090582E" w:rsidRPr="00487E50">
        <w:rPr>
          <w:rFonts w:asciiTheme="majorHAnsi" w:hAnsiTheme="majorHAnsi"/>
          <w:highlight w:val="lightGray"/>
        </w:rPr>
        <w:t xml:space="preserve"> processo de seleção para a</w:t>
      </w:r>
      <w:r w:rsidR="00DC0385" w:rsidRPr="00487E50">
        <w:rPr>
          <w:rFonts w:asciiTheme="majorHAnsi" w:hAnsiTheme="majorHAnsi"/>
          <w:highlight w:val="lightGray"/>
        </w:rPr>
        <w:t>s</w:t>
      </w:r>
      <w:r w:rsidR="0090582E" w:rsidRPr="00487E50">
        <w:rPr>
          <w:rFonts w:asciiTheme="majorHAnsi" w:hAnsiTheme="majorHAnsi"/>
          <w:highlight w:val="lightGray"/>
        </w:rPr>
        <w:t xml:space="preserve"> embarcaç</w:t>
      </w:r>
      <w:r w:rsidR="00DC0385" w:rsidRPr="00487E50">
        <w:rPr>
          <w:rFonts w:asciiTheme="majorHAnsi" w:hAnsiTheme="majorHAnsi"/>
          <w:highlight w:val="lightGray"/>
        </w:rPr>
        <w:t>ões</w:t>
      </w:r>
      <w:r w:rsidR="0090582E" w:rsidRPr="00487E50">
        <w:rPr>
          <w:rFonts w:asciiTheme="majorHAnsi" w:hAnsiTheme="majorHAnsi"/>
          <w:highlight w:val="lightGray"/>
        </w:rPr>
        <w:t xml:space="preserve"> dedicada</w:t>
      </w:r>
      <w:r w:rsidR="00DC0385" w:rsidRPr="00487E50">
        <w:rPr>
          <w:rFonts w:asciiTheme="majorHAnsi" w:hAnsiTheme="majorHAnsi"/>
          <w:highlight w:val="lightGray"/>
        </w:rPr>
        <w:t xml:space="preserve"> e de apoio</w:t>
      </w:r>
      <w:r w:rsidR="0090582E" w:rsidRPr="00487E50">
        <w:rPr>
          <w:rFonts w:asciiTheme="majorHAnsi" w:hAnsiTheme="majorHAnsi"/>
          <w:highlight w:val="lightGray"/>
        </w:rPr>
        <w:t xml:space="preserve"> de resposta a emergência com vazamento de óleo </w:t>
      </w:r>
      <w:r w:rsidR="00DC0385" w:rsidRPr="00487E50">
        <w:rPr>
          <w:rFonts w:asciiTheme="majorHAnsi" w:hAnsiTheme="majorHAnsi"/>
          <w:highlight w:val="lightGray"/>
        </w:rPr>
        <w:t xml:space="preserve">que </w:t>
      </w:r>
      <w:r w:rsidRPr="00487E50">
        <w:rPr>
          <w:rFonts w:asciiTheme="majorHAnsi" w:hAnsiTheme="majorHAnsi"/>
          <w:highlight w:val="lightGray"/>
        </w:rPr>
        <w:t xml:space="preserve">todas </w:t>
      </w:r>
      <w:r w:rsidR="00DC0385" w:rsidRPr="00487E50">
        <w:rPr>
          <w:rFonts w:asciiTheme="majorHAnsi" w:hAnsiTheme="majorHAnsi"/>
          <w:highlight w:val="lightGray"/>
        </w:rPr>
        <w:t>possua</w:t>
      </w:r>
      <w:r w:rsidRPr="00487E50">
        <w:rPr>
          <w:rFonts w:asciiTheme="majorHAnsi" w:hAnsiTheme="majorHAnsi"/>
          <w:highlight w:val="lightGray"/>
        </w:rPr>
        <w:t>m</w:t>
      </w:r>
      <w:r w:rsidR="00DC0385" w:rsidRPr="00487E50">
        <w:rPr>
          <w:rFonts w:asciiTheme="majorHAnsi" w:hAnsiTheme="majorHAnsi"/>
          <w:highlight w:val="lightGray"/>
        </w:rPr>
        <w:t xml:space="preserve"> </w:t>
      </w:r>
      <w:r w:rsidR="0090582E" w:rsidRPr="00487E50">
        <w:rPr>
          <w:rFonts w:asciiTheme="majorHAnsi" w:hAnsiTheme="majorHAnsi"/>
          <w:highlight w:val="lightGray"/>
        </w:rPr>
        <w:t xml:space="preserve">mandatoriamente um sistema de detecção do tipo radar de óleo, com as potencialidades de integração </w:t>
      </w:r>
      <w:r w:rsidR="00DC0385" w:rsidRPr="00487E50">
        <w:rPr>
          <w:rFonts w:asciiTheme="majorHAnsi" w:hAnsiTheme="majorHAnsi"/>
          <w:highlight w:val="lightGray"/>
        </w:rPr>
        <w:t>à</w:t>
      </w:r>
      <w:r w:rsidR="0090582E" w:rsidRPr="00487E50">
        <w:rPr>
          <w:rFonts w:asciiTheme="majorHAnsi" w:hAnsiTheme="majorHAnsi"/>
          <w:highlight w:val="lightGray"/>
        </w:rPr>
        <w:t>s informações de posicionamento de outras embarcações e de transmissão de suas informações para fora da embarcação (como, por exemplo, o ICP).  Adicionalmente, como requisito adiciona</w:t>
      </w:r>
      <w:r w:rsidR="00DC0385" w:rsidRPr="00487E50">
        <w:rPr>
          <w:rFonts w:asciiTheme="majorHAnsi" w:hAnsiTheme="majorHAnsi"/>
          <w:highlight w:val="lightGray"/>
        </w:rPr>
        <w:t>l</w:t>
      </w:r>
      <w:r w:rsidR="0090582E" w:rsidRPr="00487E50">
        <w:rPr>
          <w:rFonts w:asciiTheme="majorHAnsi" w:hAnsiTheme="majorHAnsi"/>
          <w:highlight w:val="lightGray"/>
        </w:rPr>
        <w:t xml:space="preserve"> desejado</w:t>
      </w:r>
      <w:r w:rsidR="00DC0385" w:rsidRPr="00487E50">
        <w:rPr>
          <w:rFonts w:asciiTheme="majorHAnsi" w:hAnsiTheme="majorHAnsi"/>
          <w:highlight w:val="lightGray"/>
        </w:rPr>
        <w:t xml:space="preserve"> para a embarcação dedicada</w:t>
      </w:r>
      <w:r w:rsidR="0090582E" w:rsidRPr="00487E50">
        <w:rPr>
          <w:rFonts w:asciiTheme="majorHAnsi" w:hAnsiTheme="majorHAnsi"/>
          <w:highlight w:val="lightGray"/>
        </w:rPr>
        <w:t>, ser</w:t>
      </w:r>
      <w:r w:rsidR="00DC0385" w:rsidRPr="00487E50">
        <w:rPr>
          <w:rFonts w:asciiTheme="majorHAnsi" w:hAnsiTheme="majorHAnsi"/>
          <w:highlight w:val="lightGray"/>
        </w:rPr>
        <w:t>á</w:t>
      </w:r>
      <w:r w:rsidR="0090582E" w:rsidRPr="00487E50">
        <w:rPr>
          <w:rFonts w:asciiTheme="majorHAnsi" w:hAnsiTheme="majorHAnsi"/>
          <w:highlight w:val="lightGray"/>
        </w:rPr>
        <w:t xml:space="preserve"> solicitad</w:t>
      </w:r>
      <w:r w:rsidR="00DC0385" w:rsidRPr="00487E50">
        <w:rPr>
          <w:rFonts w:asciiTheme="majorHAnsi" w:hAnsiTheme="majorHAnsi"/>
          <w:highlight w:val="lightGray"/>
        </w:rPr>
        <w:t xml:space="preserve">a a disponibilização </w:t>
      </w:r>
      <w:r w:rsidR="0090582E" w:rsidRPr="00487E50">
        <w:rPr>
          <w:rFonts w:asciiTheme="majorHAnsi" w:hAnsiTheme="majorHAnsi"/>
          <w:highlight w:val="lightGray"/>
        </w:rPr>
        <w:t>d</w:t>
      </w:r>
      <w:r w:rsidR="00DC0385" w:rsidRPr="00487E50">
        <w:rPr>
          <w:rFonts w:asciiTheme="majorHAnsi" w:hAnsiTheme="majorHAnsi"/>
          <w:highlight w:val="lightGray"/>
        </w:rPr>
        <w:t>e</w:t>
      </w:r>
      <w:r w:rsidR="0090582E" w:rsidRPr="00487E50">
        <w:rPr>
          <w:rFonts w:asciiTheme="majorHAnsi" w:hAnsiTheme="majorHAnsi"/>
          <w:highlight w:val="lightGray"/>
        </w:rPr>
        <w:t xml:space="preserve"> </w:t>
      </w:r>
      <w:r w:rsidR="00DC0385" w:rsidRPr="00487E50">
        <w:rPr>
          <w:rFonts w:asciiTheme="majorHAnsi" w:hAnsiTheme="majorHAnsi"/>
          <w:highlight w:val="lightGray"/>
        </w:rPr>
        <w:t xml:space="preserve">um </w:t>
      </w:r>
      <w:r w:rsidR="0090582E" w:rsidRPr="00487E50">
        <w:rPr>
          <w:rFonts w:asciiTheme="majorHAnsi" w:hAnsiTheme="majorHAnsi"/>
          <w:highlight w:val="lightGray"/>
        </w:rPr>
        <w:t>sistema</w:t>
      </w:r>
      <w:r w:rsidR="00DC0385" w:rsidRPr="00487E50">
        <w:rPr>
          <w:rFonts w:asciiTheme="majorHAnsi" w:hAnsiTheme="majorHAnsi"/>
          <w:highlight w:val="lightGray"/>
        </w:rPr>
        <w:t xml:space="preserve"> automatizado integrado de avaliação e monitoramento</w:t>
      </w:r>
      <w:r w:rsidR="0090582E" w:rsidRPr="00487E50">
        <w:rPr>
          <w:rFonts w:asciiTheme="majorHAnsi" w:hAnsiTheme="majorHAnsi"/>
          <w:highlight w:val="lightGray"/>
        </w:rPr>
        <w:t>, que ser</w:t>
      </w:r>
      <w:r w:rsidR="00DC0385" w:rsidRPr="00487E50">
        <w:rPr>
          <w:rFonts w:asciiTheme="majorHAnsi" w:hAnsiTheme="majorHAnsi"/>
          <w:highlight w:val="lightGray"/>
        </w:rPr>
        <w:t>á</w:t>
      </w:r>
      <w:r w:rsidR="0090582E" w:rsidRPr="00487E50">
        <w:rPr>
          <w:rFonts w:asciiTheme="majorHAnsi" w:hAnsiTheme="majorHAnsi"/>
          <w:highlight w:val="lightGray"/>
        </w:rPr>
        <w:t xml:space="preserve"> </w:t>
      </w:r>
      <w:r w:rsidR="00DC0385" w:rsidRPr="00487E50">
        <w:rPr>
          <w:rFonts w:asciiTheme="majorHAnsi" w:hAnsiTheme="majorHAnsi"/>
          <w:highlight w:val="lightGray"/>
        </w:rPr>
        <w:t xml:space="preserve">equalitariamente </w:t>
      </w:r>
      <w:r w:rsidR="0090582E" w:rsidRPr="00487E50">
        <w:rPr>
          <w:rFonts w:asciiTheme="majorHAnsi" w:hAnsiTheme="majorHAnsi"/>
          <w:highlight w:val="lightGray"/>
        </w:rPr>
        <w:t xml:space="preserve">considerada </w:t>
      </w:r>
      <w:r w:rsidR="00DC0385" w:rsidRPr="00487E50">
        <w:rPr>
          <w:rFonts w:asciiTheme="majorHAnsi" w:hAnsiTheme="majorHAnsi"/>
          <w:highlight w:val="lightGray"/>
        </w:rPr>
        <w:t>baseada nos critérios de seleção (técnicos e financeiros).</w:t>
      </w:r>
    </w:p>
    <w:p w14:paraId="1E774B54" w14:textId="77777777" w:rsidR="00DC0385" w:rsidRDefault="00DC0385" w:rsidP="0090582E">
      <w:pPr>
        <w:pStyle w:val="tier1Itext"/>
        <w:spacing w:before="360"/>
      </w:pPr>
    </w:p>
    <w:p w14:paraId="68E81D97" w14:textId="5CF202E4" w:rsidR="00DC0385" w:rsidRPr="00487E50" w:rsidRDefault="00DC0385" w:rsidP="00DC0385">
      <w:pPr>
        <w:pStyle w:val="tier1Itext"/>
        <w:rPr>
          <w:highlight w:val="lightGray"/>
        </w:rPr>
      </w:pPr>
      <w:r w:rsidRPr="00487E50">
        <w:rPr>
          <w:highlight w:val="lightGray"/>
        </w:rPr>
        <w:lastRenderedPageBreak/>
        <w:t xml:space="preserve">No Projeto para a perfuração no Bloco FZA-M-59, caso a BP Energy não consiga implementar a opção </w:t>
      </w:r>
      <w:r w:rsidR="00183E41" w:rsidRPr="00487E50">
        <w:rPr>
          <w:highlight w:val="lightGray"/>
        </w:rPr>
        <w:t xml:space="preserve">desejada </w:t>
      </w:r>
      <w:r w:rsidRPr="00487E50">
        <w:rPr>
          <w:highlight w:val="lightGray"/>
        </w:rPr>
        <w:t xml:space="preserve">de </w:t>
      </w:r>
      <w:r w:rsidR="00183E41" w:rsidRPr="00487E50">
        <w:rPr>
          <w:highlight w:val="lightGray"/>
        </w:rPr>
        <w:t xml:space="preserve">ter um </w:t>
      </w:r>
      <w:r w:rsidRPr="00487E50">
        <w:rPr>
          <w:highlight w:val="lightGray"/>
        </w:rPr>
        <w:t xml:space="preserve">sistema integrado </w:t>
      </w:r>
      <w:r w:rsidR="00183E41" w:rsidRPr="00487E50">
        <w:rPr>
          <w:highlight w:val="lightGray"/>
        </w:rPr>
        <w:t>a bordo da embarcação dedicada</w:t>
      </w:r>
      <w:r w:rsidRPr="00487E50">
        <w:rPr>
          <w:highlight w:val="lightGray"/>
        </w:rPr>
        <w:t>, então contará com dois aerostatos, um de cada modelo</w:t>
      </w:r>
      <w:r w:rsidR="00183E41" w:rsidRPr="00487E50">
        <w:rPr>
          <w:highlight w:val="lightGray"/>
        </w:rPr>
        <w:t xml:space="preserve"> descrito anteriormente</w:t>
      </w:r>
      <w:r w:rsidRPr="00487E50">
        <w:rPr>
          <w:highlight w:val="lightGray"/>
        </w:rPr>
        <w:t>. O modelo mais completo ficará a bordo da embarcação OSRV, de modo a complementar seu radar de óleo com a capacidade de geração de imagens, atendendo assim às especificações relativas do item III.3 da Nota Técnica 03/13; e o modelo mais simples, ficará a bordo da embarcação PSV durante o tempo em que estiver na locação, exercendo a redundância da função de embarcação de resposta, solicitada no PT 176/18. Antes de deixar a locação, o aerostato deverá ser transferido para a unidade de perfuração e posteriormente passado à embarcação PSV recém chegada, que passará a exercer esta redundância.</w:t>
      </w:r>
    </w:p>
    <w:p w14:paraId="29CAECB8" w14:textId="2BC42663" w:rsidR="00DC0385" w:rsidRDefault="00DC0385" w:rsidP="00DC0385">
      <w:pPr>
        <w:pStyle w:val="tier1Itext"/>
        <w:spacing w:before="360"/>
      </w:pPr>
      <w:r w:rsidRPr="00487E50">
        <w:rPr>
          <w:highlight w:val="lightGray"/>
        </w:rPr>
        <w:t>Caso a embarcação dedicada seja dotada de sistema integrado de detecção, o Projeto contará apenas com um aerostato do modelo mais simples, sendo este mantido a bordo da embarcação PSV que estiver na locação (para atendimento à solicitação da redundância, com a mesma logística de troca via unidade de perfuração).</w:t>
      </w:r>
    </w:p>
    <w:p w14:paraId="34937403" w14:textId="619199EC" w:rsidR="0090582E" w:rsidRDefault="0090582E" w:rsidP="0090582E">
      <w:pPr>
        <w:pStyle w:val="tier1Itext"/>
        <w:spacing w:before="360"/>
      </w:pPr>
      <w:r w:rsidRPr="00EE0E12">
        <w:t xml:space="preserve">Entretanto, ressalta-se que, mesmo que a embarcação esteja equipada com dispositivos automatizados de rastreamento de manchas de óleo (radar </w:t>
      </w:r>
      <w:r w:rsidRPr="00487E50">
        <w:rPr>
          <w:highlight w:val="lightGray"/>
        </w:rPr>
        <w:t>e/</w:t>
      </w:r>
      <w:r w:rsidRPr="00EE0E12">
        <w:t xml:space="preserve">ou </w:t>
      </w:r>
      <w:r w:rsidRPr="00487E50">
        <w:rPr>
          <w:highlight w:val="lightGray"/>
        </w:rPr>
        <w:t>aerostato</w:t>
      </w:r>
      <w:r w:rsidRPr="00EE0E12">
        <w:t>), o incremento do estado do mar pode criar falsos registros positivos, em função do mais intenso retroespalhamento difuso das ondas dos si</w:t>
      </w:r>
      <w:r>
        <w:t xml:space="preserve">stemas de rastreamento (radar). Da mesma forma, ainda que estes dispositivos </w:t>
      </w:r>
      <w:r w:rsidRPr="00EE0E12">
        <w:t>permitam a observação e o monitoramento durante os períodos noturnos</w:t>
      </w:r>
      <w:r>
        <w:t xml:space="preserve">, isto não garante a eficiência da operação de recolhimento nestes períodos, devendo </w:t>
      </w:r>
      <w:r w:rsidRPr="00487E50">
        <w:rPr>
          <w:highlight w:val="lightGray"/>
        </w:rPr>
        <w:t>esta operação</w:t>
      </w:r>
      <w:r>
        <w:t xml:space="preserve"> ser criteriosamente avaliada </w:t>
      </w:r>
      <w:r w:rsidRPr="00487E50">
        <w:rPr>
          <w:highlight w:val="lightGray"/>
        </w:rPr>
        <w:t>para</w:t>
      </w:r>
      <w:r>
        <w:t xml:space="preserve"> sua </w:t>
      </w:r>
      <w:r w:rsidRPr="00487E50">
        <w:rPr>
          <w:highlight w:val="lightGray"/>
        </w:rPr>
        <w:t>consideração, baseada também em outros aspectos operacionais e condições ambientais.</w:t>
      </w:r>
    </w:p>
    <w:p w14:paraId="2B8C4F0E" w14:textId="56C3E94B" w:rsidR="003651A2" w:rsidRPr="0090582E" w:rsidRDefault="003651A2" w:rsidP="003651A2">
      <w:pPr>
        <w:rPr>
          <w:rFonts w:asciiTheme="majorHAnsi" w:hAnsiTheme="majorHAnsi"/>
          <w:iCs/>
        </w:rPr>
      </w:pPr>
      <w:r w:rsidRPr="00487E50">
        <w:rPr>
          <w:rFonts w:asciiTheme="majorHAnsi" w:hAnsiTheme="majorHAnsi"/>
          <w:iCs/>
          <w:highlight w:val="lightGray"/>
        </w:rPr>
        <w:t>No que tange à capacidade de integração d</w:t>
      </w:r>
      <w:r w:rsidR="0090582E" w:rsidRPr="00487E50">
        <w:rPr>
          <w:rFonts w:asciiTheme="majorHAnsi" w:hAnsiTheme="majorHAnsi"/>
          <w:iCs/>
          <w:highlight w:val="lightGray"/>
        </w:rPr>
        <w:t>as</w:t>
      </w:r>
      <w:r w:rsidRPr="00487E50">
        <w:rPr>
          <w:rFonts w:asciiTheme="majorHAnsi" w:hAnsiTheme="majorHAnsi"/>
          <w:iCs/>
          <w:highlight w:val="lightGray"/>
        </w:rPr>
        <w:t xml:space="preserve"> diversas </w:t>
      </w:r>
      <w:r w:rsidR="0090582E" w:rsidRPr="00487E50">
        <w:rPr>
          <w:rFonts w:asciiTheme="majorHAnsi" w:hAnsiTheme="majorHAnsi"/>
          <w:iCs/>
          <w:highlight w:val="lightGray"/>
        </w:rPr>
        <w:t xml:space="preserve">imagens e/ou </w:t>
      </w:r>
      <w:r w:rsidRPr="00487E50">
        <w:rPr>
          <w:rFonts w:asciiTheme="majorHAnsi" w:hAnsiTheme="majorHAnsi"/>
          <w:iCs/>
          <w:highlight w:val="lightGray"/>
        </w:rPr>
        <w:t xml:space="preserve">informações </w:t>
      </w:r>
      <w:r w:rsidR="0090582E" w:rsidRPr="00487E50">
        <w:rPr>
          <w:rFonts w:asciiTheme="majorHAnsi" w:hAnsiTheme="majorHAnsi"/>
          <w:iCs/>
          <w:highlight w:val="lightGray"/>
        </w:rPr>
        <w:t>geradas pelos diferentes sensores automatizados (sejam as informações do radar de óleo, transmissões de ROV, bem como de todas as outras coletadas durante a evolução da resposta)</w:t>
      </w:r>
      <w:r w:rsidRPr="00487E50">
        <w:rPr>
          <w:rFonts w:asciiTheme="majorHAnsi" w:hAnsiTheme="majorHAnsi"/>
          <w:iCs/>
          <w:highlight w:val="lightGray"/>
        </w:rPr>
        <w:t>, a BP Energy entende</w:t>
      </w:r>
      <w:r w:rsidR="0090582E" w:rsidRPr="00487E50">
        <w:rPr>
          <w:rFonts w:asciiTheme="majorHAnsi" w:hAnsiTheme="majorHAnsi"/>
          <w:iCs/>
          <w:highlight w:val="lightGray"/>
        </w:rPr>
        <w:t xml:space="preserve"> que</w:t>
      </w:r>
      <w:r w:rsidRPr="00487E50">
        <w:rPr>
          <w:rFonts w:asciiTheme="majorHAnsi" w:hAnsiTheme="majorHAnsi"/>
          <w:iCs/>
          <w:highlight w:val="lightGray"/>
        </w:rPr>
        <w:t xml:space="preserve"> </w:t>
      </w:r>
      <w:r w:rsidR="0090582E" w:rsidRPr="00487E50">
        <w:rPr>
          <w:rFonts w:asciiTheme="majorHAnsi" w:hAnsiTheme="majorHAnsi"/>
          <w:iCs/>
          <w:highlight w:val="lightGray"/>
        </w:rPr>
        <w:t xml:space="preserve">esta </w:t>
      </w:r>
      <w:r w:rsidRPr="00487E50">
        <w:rPr>
          <w:rFonts w:asciiTheme="majorHAnsi" w:hAnsiTheme="majorHAnsi"/>
          <w:iCs/>
          <w:highlight w:val="lightGray"/>
        </w:rPr>
        <w:t>ser</w:t>
      </w:r>
      <w:r w:rsidR="0090582E" w:rsidRPr="00487E50">
        <w:rPr>
          <w:rFonts w:asciiTheme="majorHAnsi" w:hAnsiTheme="majorHAnsi"/>
          <w:iCs/>
          <w:highlight w:val="lightGray"/>
        </w:rPr>
        <w:t>á</w:t>
      </w:r>
      <w:r w:rsidRPr="00487E50">
        <w:rPr>
          <w:rFonts w:asciiTheme="majorHAnsi" w:hAnsiTheme="majorHAnsi"/>
          <w:iCs/>
          <w:highlight w:val="lightGray"/>
        </w:rPr>
        <w:t xml:space="preserve"> feita no Posto de Comando de Incidentes (ICP), onde é processado o COP (</w:t>
      </w:r>
      <w:r w:rsidRPr="00487E50">
        <w:rPr>
          <w:rFonts w:asciiTheme="majorHAnsi" w:hAnsiTheme="majorHAnsi"/>
          <w:i/>
          <w:iCs/>
          <w:highlight w:val="lightGray"/>
        </w:rPr>
        <w:t>Common Operating Picture</w:t>
      </w:r>
      <w:r w:rsidRPr="00487E50">
        <w:rPr>
          <w:rFonts w:asciiTheme="majorHAnsi" w:hAnsiTheme="majorHAnsi"/>
          <w:iCs/>
          <w:highlight w:val="lightGray"/>
        </w:rPr>
        <w:t>, “Panorama Operacional Comum”, tradução IPIECA). Conforme descrito no Guia de Boas Práticas da IPIECA/IOGP “Sistema de Gestão de Incidentes para a Indústria de Óleo e Gás”</w:t>
      </w:r>
      <w:r w:rsidRPr="00487E50">
        <w:rPr>
          <w:rStyle w:val="Refdenotaderodap"/>
          <w:rFonts w:asciiTheme="majorHAnsi" w:hAnsiTheme="majorHAnsi"/>
          <w:iCs/>
          <w:highlight w:val="lightGray"/>
        </w:rPr>
        <w:footnoteReference w:id="42"/>
      </w:r>
      <w:r w:rsidRPr="00487E50">
        <w:rPr>
          <w:rFonts w:asciiTheme="majorHAnsi" w:hAnsiTheme="majorHAnsi"/>
          <w:iCs/>
          <w:highlight w:val="lightGray"/>
        </w:rPr>
        <w:t>, o COP é “</w:t>
      </w:r>
      <w:r w:rsidRPr="00487E50">
        <w:rPr>
          <w:rFonts w:asciiTheme="majorHAnsi" w:hAnsiTheme="majorHAnsi"/>
          <w:i/>
          <w:iCs/>
          <w:highlight w:val="lightGray"/>
        </w:rPr>
        <w:t xml:space="preserve">uma exibição única e ampla de informações operacionais e de planejamento </w:t>
      </w:r>
      <w:r w:rsidRPr="00487E50">
        <w:rPr>
          <w:rFonts w:asciiTheme="majorHAnsi" w:hAnsiTheme="majorHAnsi"/>
          <w:i/>
          <w:iCs/>
          <w:highlight w:val="lightGray"/>
        </w:rPr>
        <w:lastRenderedPageBreak/>
        <w:t>relevantes que proporciona um status geral sobre as prioridades, atividades e recursos. Um COP facilita o planejamento colaborativo e ajuda a alcançar percepção sobre a situação. Um COP pode ser feito na forma de quadros de status e/ou telas de informações digitais que são mantidas atualizadas pela Unidade de Situação”</w:t>
      </w:r>
      <w:r w:rsidRPr="00487E50">
        <w:rPr>
          <w:rFonts w:asciiTheme="majorHAnsi" w:hAnsiTheme="majorHAnsi"/>
          <w:iCs/>
          <w:highlight w:val="lightGray"/>
        </w:rPr>
        <w:t xml:space="preserve">.  No ambiente do IMT é que a integração destas informações proporcionará os melhores resultados, pois será </w:t>
      </w:r>
      <w:r w:rsidR="0090582E" w:rsidRPr="00487E50">
        <w:rPr>
          <w:rFonts w:asciiTheme="majorHAnsi" w:hAnsiTheme="majorHAnsi"/>
          <w:iCs/>
          <w:highlight w:val="lightGray"/>
        </w:rPr>
        <w:t>considerada</w:t>
      </w:r>
      <w:r w:rsidRPr="00487E50">
        <w:rPr>
          <w:rFonts w:asciiTheme="majorHAnsi" w:hAnsiTheme="majorHAnsi"/>
          <w:iCs/>
          <w:highlight w:val="lightGray"/>
        </w:rPr>
        <w:t xml:space="preserve"> com as outras ações de resposta em andamento (não somente aquelas realizadas na</w:t>
      </w:r>
      <w:r w:rsidR="0090582E" w:rsidRPr="00487E50">
        <w:rPr>
          <w:rFonts w:asciiTheme="majorHAnsi" w:hAnsiTheme="majorHAnsi"/>
          <w:iCs/>
          <w:highlight w:val="lightGray"/>
        </w:rPr>
        <w:t>s</w:t>
      </w:r>
      <w:r w:rsidRPr="00487E50">
        <w:rPr>
          <w:rFonts w:asciiTheme="majorHAnsi" w:hAnsiTheme="majorHAnsi"/>
          <w:iCs/>
          <w:highlight w:val="lightGray"/>
        </w:rPr>
        <w:t xml:space="preserve"> embarcaç</w:t>
      </w:r>
      <w:r w:rsidR="0090582E" w:rsidRPr="00487E50">
        <w:rPr>
          <w:rFonts w:asciiTheme="majorHAnsi" w:hAnsiTheme="majorHAnsi"/>
          <w:iCs/>
          <w:highlight w:val="lightGray"/>
        </w:rPr>
        <w:t>ões – OSRV e PSV</w:t>
      </w:r>
      <w:r w:rsidRPr="00487E50">
        <w:rPr>
          <w:rFonts w:asciiTheme="majorHAnsi" w:hAnsiTheme="majorHAnsi"/>
          <w:iCs/>
          <w:highlight w:val="lightGray"/>
        </w:rPr>
        <w:t>), contribuindo com o melhor planejamento das ações de resposta.</w:t>
      </w:r>
      <w:r w:rsidRPr="0090582E">
        <w:rPr>
          <w:rFonts w:asciiTheme="majorHAnsi" w:hAnsiTheme="majorHAnsi"/>
          <w:iCs/>
        </w:rPr>
        <w:t xml:space="preserve"> </w:t>
      </w:r>
    </w:p>
    <w:p w14:paraId="31A2DE7D" w14:textId="77777777" w:rsidR="005D4052" w:rsidRPr="00EE0E12" w:rsidRDefault="005D4052" w:rsidP="00BB36FA">
      <w:pPr>
        <w:pStyle w:val="tier1Itext"/>
        <w:spacing w:before="360"/>
      </w:pPr>
    </w:p>
    <w:p w14:paraId="619F0B41" w14:textId="7E87986B" w:rsidR="00290F16" w:rsidRPr="00605B0B" w:rsidRDefault="001A0409" w:rsidP="006F18B8">
      <w:pPr>
        <w:pStyle w:val="Ttulo3"/>
        <w:ind w:left="1224"/>
        <w:rPr>
          <w:lang w:val="pt-BR"/>
        </w:rPr>
      </w:pPr>
      <w:r>
        <w:rPr>
          <w:lang w:val="pt-BR"/>
        </w:rPr>
        <w:t xml:space="preserve"> </w:t>
      </w:r>
      <w:bookmarkStart w:id="172" w:name="_Toc527990425"/>
      <w:r w:rsidR="00EE16FF" w:rsidRPr="00605B0B">
        <w:rPr>
          <w:lang w:val="pt-BR"/>
        </w:rPr>
        <w:t>Bóia</w:t>
      </w:r>
      <w:r w:rsidR="003B5C96" w:rsidRPr="00605B0B">
        <w:rPr>
          <w:lang w:val="pt-BR"/>
        </w:rPr>
        <w:t>s de Deriva (Drifting Buoys)</w:t>
      </w:r>
      <w:bookmarkEnd w:id="172"/>
    </w:p>
    <w:p w14:paraId="2D7F9F5F" w14:textId="5B3E50E2" w:rsidR="00B97508" w:rsidRPr="00EE0E12" w:rsidRDefault="00B97508" w:rsidP="005239F6">
      <w:pPr>
        <w:pStyle w:val="tier1Itext"/>
      </w:pPr>
      <w:r w:rsidRPr="00EE0E12">
        <w:t xml:space="preserve">Os derivadores, ou </w:t>
      </w:r>
      <w:r w:rsidR="00273FEB" w:rsidRPr="00EE0E12">
        <w:t>b</w:t>
      </w:r>
      <w:r w:rsidR="00273FEB">
        <w:t>ó</w:t>
      </w:r>
      <w:r w:rsidR="00273FEB" w:rsidRPr="00EE0E12">
        <w:t xml:space="preserve">ias </w:t>
      </w:r>
      <w:r w:rsidRPr="00EE0E12">
        <w:t>de deriva (</w:t>
      </w:r>
      <w:r w:rsidRPr="00EE0E12">
        <w:rPr>
          <w:i/>
        </w:rPr>
        <w:t>drifting buoys</w:t>
      </w:r>
      <w:r w:rsidRPr="00EE0E12">
        <w:t xml:space="preserve">), consistem em </w:t>
      </w:r>
      <w:r w:rsidR="00273FEB">
        <w:t>flutuadores</w:t>
      </w:r>
      <w:r w:rsidR="00273FEB" w:rsidRPr="00EE0E12">
        <w:t xml:space="preserve"> dotad</w:t>
      </w:r>
      <w:r w:rsidR="00273FEB">
        <w:t>o</w:t>
      </w:r>
      <w:r w:rsidR="00273FEB" w:rsidRPr="00EE0E12">
        <w:t xml:space="preserve">s </w:t>
      </w:r>
      <w:r w:rsidRPr="00EE0E12">
        <w:t>de rastreadores monitorados por satélite, projetados especificamente para simular a deriva do óleo na superfície do mar (</w:t>
      </w:r>
      <w:r w:rsidRPr="00EE0E12">
        <w:rPr>
          <w:b/>
        </w:rPr>
        <w:fldChar w:fldCharType="begin"/>
      </w:r>
      <w:r w:rsidRPr="00EE0E12">
        <w:rPr>
          <w:b/>
        </w:rPr>
        <w:instrText xml:space="preserve"> REF _Ref412807892 \h  \* MERGEFORMAT </w:instrText>
      </w:r>
      <w:r w:rsidRPr="00EE0E12">
        <w:rPr>
          <w:b/>
        </w:rPr>
      </w:r>
      <w:r w:rsidRPr="00EE0E12">
        <w:rPr>
          <w:b/>
        </w:rPr>
        <w:fldChar w:fldCharType="separate"/>
      </w:r>
      <w:r w:rsidR="00A50E67" w:rsidRPr="00A50E67">
        <w:rPr>
          <w:b/>
        </w:rPr>
        <w:t xml:space="preserve">Figura </w:t>
      </w:r>
      <w:r w:rsidR="00A50E67" w:rsidRPr="00A50E67">
        <w:rPr>
          <w:b/>
          <w:noProof/>
        </w:rPr>
        <w:t>13</w:t>
      </w:r>
      <w:r w:rsidRPr="00EE0E12">
        <w:rPr>
          <w:b/>
        </w:rPr>
        <w:fldChar w:fldCharType="end"/>
      </w:r>
      <w:r w:rsidRPr="00EE0E12">
        <w:t>). Estes dispositivos devem ser lançados sobre a mancha de óleo pelos coordenadores de resposta a bordo das embarcações, respeitando as orientações do fabricante.</w:t>
      </w:r>
    </w:p>
    <w:p w14:paraId="1411C26D" w14:textId="77777777" w:rsidR="00B97508" w:rsidRPr="005239F6" w:rsidRDefault="00B97508" w:rsidP="005239F6">
      <w:pPr>
        <w:pStyle w:val="tier1Itext"/>
        <w:spacing w:before="0" w:after="0" w:line="240" w:lineRule="auto"/>
        <w:jc w:val="center"/>
      </w:pPr>
      <w:r w:rsidRPr="00EE0E12">
        <w:rPr>
          <w:noProof/>
          <w:lang w:val="en-US"/>
        </w:rPr>
        <w:drawing>
          <wp:inline distT="0" distB="0" distL="0" distR="0" wp14:anchorId="1FC17143" wp14:editId="5B22CD10">
            <wp:extent cx="2875812" cy="2160000"/>
            <wp:effectExtent l="0" t="0" r="1270" b="0"/>
            <wp:docPr id="12" name="Imagem 12" descr="C:\Users\lucas.fantinato\Desktop\boia_ispher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ucas.fantinato\Desktop\boia_isphere_1.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75812" cy="2160000"/>
                    </a:xfrm>
                    <a:prstGeom prst="rect">
                      <a:avLst/>
                    </a:prstGeom>
                    <a:noFill/>
                    <a:ln>
                      <a:noFill/>
                    </a:ln>
                  </pic:spPr>
                </pic:pic>
              </a:graphicData>
            </a:graphic>
          </wp:inline>
        </w:drawing>
      </w:r>
    </w:p>
    <w:p w14:paraId="085C8AF2" w14:textId="24A78991" w:rsidR="00B97508" w:rsidRPr="005239F6" w:rsidRDefault="00B97508" w:rsidP="005239F6">
      <w:pPr>
        <w:pStyle w:val="Legenda"/>
        <w:keepNext w:val="0"/>
        <w:spacing w:before="0" w:after="0" w:line="240" w:lineRule="auto"/>
      </w:pPr>
      <w:bookmarkStart w:id="173" w:name="_Ref412807892"/>
      <w:bookmarkStart w:id="174" w:name="_Toc412812288"/>
      <w:bookmarkStart w:id="175" w:name="_Toc527990460"/>
      <w:r w:rsidRPr="005239F6">
        <w:t xml:space="preserve">Figura </w:t>
      </w:r>
      <w:fldSimple w:instr=" SEQ Figura \* ARABIC ">
        <w:r w:rsidR="00A50E67">
          <w:rPr>
            <w:noProof/>
          </w:rPr>
          <w:t>13</w:t>
        </w:r>
      </w:fldSimple>
      <w:bookmarkEnd w:id="173"/>
      <w:r w:rsidRPr="005239F6">
        <w:t xml:space="preserve">: Exemplo de </w:t>
      </w:r>
      <w:r w:rsidR="00EE16FF">
        <w:t>Bóia</w:t>
      </w:r>
      <w:r w:rsidRPr="005239F6">
        <w:t xml:space="preserve"> de deriva (</w:t>
      </w:r>
      <w:r w:rsidRPr="005239F6">
        <w:rPr>
          <w:i/>
        </w:rPr>
        <w:t>drifting buoy</w:t>
      </w:r>
      <w:r w:rsidRPr="005239F6">
        <w:t xml:space="preserve">). (Fonte: Prooceano, </w:t>
      </w:r>
      <w:r w:rsidRPr="00BC431A">
        <w:t>2015)</w:t>
      </w:r>
      <w:bookmarkEnd w:id="174"/>
      <w:r w:rsidR="00BF2A83" w:rsidRPr="00BC431A">
        <w:t>.</w:t>
      </w:r>
      <w:bookmarkEnd w:id="175"/>
    </w:p>
    <w:p w14:paraId="614B13FE" w14:textId="77777777" w:rsidR="00B97508" w:rsidRPr="00EE0E12" w:rsidRDefault="00B97508" w:rsidP="00BB36FA">
      <w:pPr>
        <w:pStyle w:val="tier1Itext"/>
        <w:spacing w:before="360"/>
      </w:pPr>
      <w:r w:rsidRPr="00EE0E12">
        <w:t xml:space="preserve">A embarcação dedicada para a operação no Bloco FZA-M-59 terá cinco </w:t>
      </w:r>
      <w:r w:rsidR="00273FEB" w:rsidRPr="00EE0E12">
        <w:t>b</w:t>
      </w:r>
      <w:r w:rsidR="00273FEB">
        <w:t>ó</w:t>
      </w:r>
      <w:r w:rsidR="00273FEB" w:rsidRPr="00EE0E12">
        <w:t xml:space="preserve">ias </w:t>
      </w:r>
      <w:r w:rsidRPr="00EE0E12">
        <w:t xml:space="preserve">de rastreamento de superfície para derramamento de óleo a bordo, prontas para ser ativadas, em caso de vazamento. Em complemento, a base de apoio também terá um conjunto de 5 </w:t>
      </w:r>
      <w:r w:rsidR="00273FEB" w:rsidRPr="00EE0E12">
        <w:t>b</w:t>
      </w:r>
      <w:r w:rsidR="00273FEB">
        <w:t>ó</w:t>
      </w:r>
      <w:r w:rsidR="00273FEB" w:rsidRPr="00EE0E12">
        <w:t>ias</w:t>
      </w:r>
      <w:r w:rsidRPr="00EE0E12">
        <w:t>, que poderão ser embarcadas em qualquer um dos PSVs, caso seja necessário.</w:t>
      </w:r>
    </w:p>
    <w:p w14:paraId="184AEC50" w14:textId="77777777" w:rsidR="00B97508" w:rsidRPr="00EE0E12" w:rsidRDefault="00B97508" w:rsidP="005239F6">
      <w:pPr>
        <w:pStyle w:val="tier1Itext"/>
      </w:pPr>
      <w:r w:rsidRPr="00EE0E12">
        <w:lastRenderedPageBreak/>
        <w:t xml:space="preserve">A BP Energy tem um provedor de serviços sob contrato que possui </w:t>
      </w:r>
      <w:r w:rsidR="00273FEB" w:rsidRPr="00EE0E12">
        <w:t>b</w:t>
      </w:r>
      <w:r w:rsidR="00273FEB">
        <w:t>ó</w:t>
      </w:r>
      <w:r w:rsidR="00273FEB" w:rsidRPr="00EE0E12">
        <w:t xml:space="preserve">ias </w:t>
      </w:r>
      <w:r w:rsidRPr="00EE0E12">
        <w:t>de superfície (que se movimenta simulando manchas superficiais, com influência direta do vento local) e subsuperficiais (que se movimenta em torno de 1 a 2 m abaixo da superfície do mar, sem a influência direta do vento local</w:t>
      </w:r>
      <w:r w:rsidRPr="00EE0E12">
        <w:rPr>
          <w:rStyle w:val="Refdenotaderodap"/>
          <w:rFonts w:cstheme="majorHAnsi"/>
          <w:szCs w:val="22"/>
        </w:rPr>
        <w:footnoteReference w:id="43"/>
      </w:r>
      <w:r w:rsidRPr="00EE0E12">
        <w:t xml:space="preserve">) em estoque suficiente, caso o incidente demande mais deste tipo de equipamento. Os membros da Unidade de RC&amp;E são os responsáveis pelo contato direto com o fornecedor e pelo processamento das informações geradas pelas </w:t>
      </w:r>
      <w:r w:rsidR="00273FEB" w:rsidRPr="00EE0E12">
        <w:t>b</w:t>
      </w:r>
      <w:r w:rsidR="00273FEB">
        <w:t>ó</w:t>
      </w:r>
      <w:r w:rsidR="00273FEB" w:rsidRPr="00EE0E12">
        <w:t>ias</w:t>
      </w:r>
      <w:r w:rsidRPr="00EE0E12">
        <w:t>.</w:t>
      </w:r>
    </w:p>
    <w:p w14:paraId="0D588844" w14:textId="2553E5C8" w:rsidR="00B97508" w:rsidRPr="00EE0E12" w:rsidRDefault="00B97508" w:rsidP="005239F6">
      <w:pPr>
        <w:pStyle w:val="tier1Itext"/>
      </w:pPr>
      <w:r w:rsidRPr="00EE0E12">
        <w:t>As tripulações são treinadas na ativação (e desativação) correta dos dispositivos e em realizar o esquema de lançamento específico, considerando a circunscrição da parte superior da mancha</w:t>
      </w:r>
      <w:r w:rsidR="00246F01">
        <w:t>.</w:t>
      </w:r>
      <w:r w:rsidRPr="00EE0E12">
        <w:t xml:space="preserve"> </w:t>
      </w:r>
    </w:p>
    <w:p w14:paraId="5FBD1551" w14:textId="575BB214" w:rsidR="00B97508" w:rsidRPr="00EE0E12" w:rsidRDefault="00B97508" w:rsidP="00121F26">
      <w:pPr>
        <w:pStyle w:val="tier1Itext"/>
        <w:spacing w:before="360"/>
      </w:pPr>
      <w:r w:rsidRPr="00EE0E12">
        <w:t xml:space="preserve">A frequência de transmissão de cada </w:t>
      </w:r>
      <w:r w:rsidR="00273FEB" w:rsidRPr="00EE0E12">
        <w:t>b</w:t>
      </w:r>
      <w:r w:rsidR="00273FEB">
        <w:t>ó</w:t>
      </w:r>
      <w:r w:rsidR="00273FEB" w:rsidRPr="00EE0E12">
        <w:t xml:space="preserve">ia </w:t>
      </w:r>
      <w:r w:rsidRPr="00EE0E12">
        <w:t xml:space="preserve">para o satélite (que define o intervalo de tempo entre duas posições subsequentes da </w:t>
      </w:r>
      <w:r w:rsidR="00273FEB" w:rsidRPr="00EE0E12">
        <w:t>b</w:t>
      </w:r>
      <w:r w:rsidR="00273FEB">
        <w:t>ó</w:t>
      </w:r>
      <w:r w:rsidR="00273FEB" w:rsidRPr="00EE0E12">
        <w:t>ia</w:t>
      </w:r>
      <w:r w:rsidRPr="00EE0E12">
        <w:t xml:space="preserve">) pode ser ajustado entre 15 minutos e 2 horas, dependendo da finalidade da vigilância. É importante levar em consideração que um período menor de transmissão terá impacto sobre a carga da bateria do equipamento, reduzindo o período de seu funcionamento no mar. Normalmente, uma carga completa da bateria, transmitindo a cada 15 minutos, pode durar </w:t>
      </w:r>
      <w:r w:rsidR="002B1821">
        <w:t xml:space="preserve">de quatro </w:t>
      </w:r>
      <w:r w:rsidRPr="00EE0E12">
        <w:t>até seis meses (média) no mar.</w:t>
      </w:r>
    </w:p>
    <w:p w14:paraId="73E7B7E3" w14:textId="77777777" w:rsidR="00B97508" w:rsidRPr="00EE0E12" w:rsidRDefault="00B97508" w:rsidP="005239F6">
      <w:pPr>
        <w:pStyle w:val="tier1Itext"/>
      </w:pPr>
      <w:r w:rsidRPr="00EE0E12">
        <w:t xml:space="preserve">Também é importante considerar o atraso na transmissão e processamento do sinal do sistema de satélite na atualização da posição das </w:t>
      </w:r>
      <w:r w:rsidR="00273FEB" w:rsidRPr="00EE0E12">
        <w:t>b</w:t>
      </w:r>
      <w:r w:rsidR="00273FEB">
        <w:t>ó</w:t>
      </w:r>
      <w:r w:rsidR="00273FEB" w:rsidRPr="00EE0E12">
        <w:t xml:space="preserve">ias </w:t>
      </w:r>
      <w:r w:rsidRPr="00EE0E12">
        <w:t>de monitoramento na tela da página do provedor de serviço</w:t>
      </w:r>
      <w:r w:rsidRPr="00EE0E12">
        <w:rPr>
          <w:rStyle w:val="Refdenotaderodap"/>
          <w:rFonts w:cstheme="majorHAnsi"/>
          <w:szCs w:val="22"/>
        </w:rPr>
        <w:footnoteReference w:id="44"/>
      </w:r>
      <w:r w:rsidRPr="00EE0E12">
        <w:t>.</w:t>
      </w:r>
    </w:p>
    <w:p w14:paraId="1B867C26" w14:textId="77777777" w:rsidR="00B97508" w:rsidRPr="00EE0E12" w:rsidRDefault="00B97508" w:rsidP="005239F6">
      <w:pPr>
        <w:pStyle w:val="tier1Itext"/>
      </w:pPr>
      <w:r w:rsidRPr="00EE0E12">
        <w:t xml:space="preserve">O uso deste tipo de dispositivo de rastreamento é uma alternativa confiável para o acompanhamento do deslocamento da mancha, principalmente quando as condições de tempo vigentes restringem o monitoramento visual por embarcação ou aeronave e mesmo durante o período noturno. Também contribui </w:t>
      </w:r>
      <w:r w:rsidRPr="00971AC0">
        <w:t>com medições lagrangianas atuais</w:t>
      </w:r>
      <w:r w:rsidRPr="00EE0E12">
        <w:t xml:space="preserve"> do campo de correntes superficial para a recalibração dos modelos de previsão de dispersão e deslocamento de vazamentos de óleo continuamente durante e após o vazamento, como exigido pelos requisitos Corporativos </w:t>
      </w:r>
      <w:r w:rsidR="005239F6">
        <w:t>da BP para este tipo de modelo.</w:t>
      </w:r>
    </w:p>
    <w:p w14:paraId="11557AE0" w14:textId="189046A7" w:rsidR="00B97508" w:rsidRPr="00EE0E12" w:rsidRDefault="00B97508" w:rsidP="005239F6">
      <w:pPr>
        <w:pStyle w:val="tier1Itext"/>
      </w:pPr>
      <w:r w:rsidRPr="00EE0E12">
        <w:lastRenderedPageBreak/>
        <w:t xml:space="preserve">A deriva em zonas eminentemente oceânicas e o modelo da </w:t>
      </w:r>
      <w:r w:rsidR="00273FEB" w:rsidRPr="00EE0E12">
        <w:t>b</w:t>
      </w:r>
      <w:r w:rsidR="00273FEB">
        <w:t>ó</w:t>
      </w:r>
      <w:r w:rsidR="00273FEB" w:rsidRPr="00EE0E12">
        <w:t xml:space="preserve">ia </w:t>
      </w:r>
      <w:r w:rsidRPr="00EE0E12">
        <w:t>(que a faz derivar como a mancha de óleo, balanceando o efeito de arrasto do vento) permite projetar que nenhuma d</w:t>
      </w:r>
      <w:r w:rsidR="00273FEB">
        <w:t>el</w:t>
      </w:r>
      <w:r w:rsidRPr="00EE0E12">
        <w:t>as</w:t>
      </w:r>
      <w:r w:rsidR="00273FEB" w:rsidRPr="00EE0E12">
        <w:t xml:space="preserve"> </w:t>
      </w:r>
      <w:r w:rsidRPr="00EE0E12">
        <w:t>deverá ser recuperada, não devendo ser reconsideradas nos cálculos do</w:t>
      </w:r>
      <w:r w:rsidR="005239F6">
        <w:t>s quantitativos a serem usados.</w:t>
      </w:r>
    </w:p>
    <w:p w14:paraId="17579847" w14:textId="37276CD9" w:rsidR="00290F16" w:rsidRPr="009E316F" w:rsidRDefault="001A0409" w:rsidP="006F18B8">
      <w:pPr>
        <w:pStyle w:val="Ttulo3"/>
        <w:ind w:left="1224"/>
        <w:rPr>
          <w:lang w:val="pt-BR"/>
        </w:rPr>
      </w:pPr>
      <w:r>
        <w:rPr>
          <w:lang w:val="pt-BR"/>
        </w:rPr>
        <w:t xml:space="preserve"> </w:t>
      </w:r>
      <w:bookmarkStart w:id="176" w:name="_Toc527990426"/>
      <w:r w:rsidR="003B5C96" w:rsidRPr="009E316F">
        <w:rPr>
          <w:lang w:val="pt-BR"/>
        </w:rPr>
        <w:t>Sensoriamento Remoto por Imagens de Satélite</w:t>
      </w:r>
      <w:bookmarkEnd w:id="176"/>
    </w:p>
    <w:p w14:paraId="1679986A" w14:textId="77777777" w:rsidR="00B97508" w:rsidRPr="00EE0E12" w:rsidRDefault="00B97508" w:rsidP="005239F6">
      <w:pPr>
        <w:pStyle w:val="tier1Itext"/>
      </w:pPr>
      <w:r w:rsidRPr="00EE0E12">
        <w:t>A presente técnica de monitoramento consiste na utilização de imagens de satélite para detectar e monitora</w:t>
      </w:r>
      <w:r w:rsidR="005239F6">
        <w:t>r derramamentos de óleo no mar.</w:t>
      </w:r>
    </w:p>
    <w:p w14:paraId="51D8CBF6" w14:textId="77777777" w:rsidR="00B97508" w:rsidRPr="00EE0E12" w:rsidRDefault="00B97508" w:rsidP="005239F6">
      <w:pPr>
        <w:pStyle w:val="tier1Itext"/>
      </w:pPr>
      <w:r w:rsidRPr="00EE0E12">
        <w:t>Para que as imagens de satélite sejam eficazes para a vigilância de um vazamento de óleo, três critérios básicos devem ser atendidos:</w:t>
      </w:r>
    </w:p>
    <w:p w14:paraId="051571B7"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EE0E12">
        <w:rPr>
          <w:rFonts w:asciiTheme="majorHAnsi" w:hAnsiTheme="majorHAnsi"/>
        </w:rPr>
        <w:t>O sensor de satélite deve ser capaz de detectar o vazamento/mancha e suas alterações posteriores;</w:t>
      </w:r>
    </w:p>
    <w:p w14:paraId="22B828B0"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 xml:space="preserve">O satélite deve ter uma cobertura confiável e frequente sobre a área afetada; e </w:t>
      </w:r>
    </w:p>
    <w:p w14:paraId="0DFDAC0D"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EE0E12">
        <w:rPr>
          <w:rFonts w:asciiTheme="majorHAnsi" w:hAnsiTheme="majorHAnsi"/>
        </w:rPr>
        <w:t xml:space="preserve">O programa de processamento das imagens do satélite e a expertise do </w:t>
      </w:r>
      <w:r w:rsidR="00273FEB">
        <w:rPr>
          <w:rFonts w:asciiTheme="majorHAnsi" w:hAnsiTheme="majorHAnsi"/>
        </w:rPr>
        <w:t>i</w:t>
      </w:r>
      <w:r w:rsidRPr="00EE0E12">
        <w:rPr>
          <w:rFonts w:asciiTheme="majorHAnsi" w:hAnsiTheme="majorHAnsi"/>
        </w:rPr>
        <w:t>nterpretador devem ser capazes de fornecer os produtos para o usuário final em tempo hábil.</w:t>
      </w:r>
    </w:p>
    <w:p w14:paraId="57BE2678" w14:textId="77777777" w:rsidR="00B97508" w:rsidRPr="00EE0E12" w:rsidRDefault="00B97508" w:rsidP="005239F6">
      <w:pPr>
        <w:pStyle w:val="tier1Itext"/>
      </w:pPr>
      <w:r w:rsidRPr="00EE0E12">
        <w:t xml:space="preserve">Considerando isso, as manchas de óleo podem ser rastreadas por duas tecnologias diferentes de imagens de satélite: (i) imagens do </w:t>
      </w:r>
      <w:r w:rsidRPr="00EE0E12">
        <w:rPr>
          <w:b/>
        </w:rPr>
        <w:t>Radar de</w:t>
      </w:r>
      <w:r w:rsidRPr="00EE0E12">
        <w:t xml:space="preserve"> </w:t>
      </w:r>
      <w:r w:rsidRPr="00EE0E12">
        <w:rPr>
          <w:b/>
        </w:rPr>
        <w:t xml:space="preserve">Abertura Sintética </w:t>
      </w:r>
      <w:r w:rsidRPr="00EE0E12">
        <w:t>(do inglês</w:t>
      </w:r>
      <w:r w:rsidR="00BF2A83">
        <w:t>,</w:t>
      </w:r>
      <w:r w:rsidRPr="00EE0E12">
        <w:t xml:space="preserve"> </w:t>
      </w:r>
      <w:r w:rsidRPr="00EE0E12">
        <w:rPr>
          <w:i/>
        </w:rPr>
        <w:t>Synthetic Aperture Radar</w:t>
      </w:r>
      <w:r w:rsidRPr="00EE0E12">
        <w:t xml:space="preserve"> – </w:t>
      </w:r>
      <w:r w:rsidRPr="00EE0E12">
        <w:rPr>
          <w:b/>
        </w:rPr>
        <w:t>SAR</w:t>
      </w:r>
      <w:r w:rsidRPr="00EE0E12">
        <w:t xml:space="preserve">), indicada como a mais apropriada para este objetivo, cobrindo a região da Foz do Amazonas de uma a duas vezes por dia; e (ii) imagens de satélite </w:t>
      </w:r>
      <w:r w:rsidRPr="00EE0E12">
        <w:rPr>
          <w:b/>
        </w:rPr>
        <w:t>MODIS</w:t>
      </w:r>
      <w:r w:rsidRPr="00EE0E12">
        <w:t xml:space="preserve"> (ou </w:t>
      </w:r>
      <w:r w:rsidRPr="00EE0E12">
        <w:rPr>
          <w:i/>
        </w:rPr>
        <w:t>Moderate Resolution Imaging Spectroradiometer</w:t>
      </w:r>
      <w:r w:rsidRPr="00EE0E12">
        <w:t>), que cobre a região uma vez a cada dois ou três dias.</w:t>
      </w:r>
    </w:p>
    <w:p w14:paraId="6400B35E" w14:textId="77777777" w:rsidR="00B97508" w:rsidRPr="00EE0E12" w:rsidRDefault="00B97508" w:rsidP="00121F26">
      <w:pPr>
        <w:pStyle w:val="tier1Itext"/>
        <w:spacing w:before="360"/>
      </w:pPr>
      <w:r w:rsidRPr="00EE0E12">
        <w:t>Outro elemento interessante na operação com satélites com tecnologia SAR é que, durante um incidente de vazamento de óleo declarado (considerado uma "emergência declarada"), o evento recebe prioridade na programação dos satélites em órbita, depois da própria integridade do satélite, tornando mais ágil o início da aquisição das imagen</w:t>
      </w:r>
      <w:r w:rsidR="005368E7">
        <w:t>s de vigilância.</w:t>
      </w:r>
    </w:p>
    <w:p w14:paraId="06E378FB" w14:textId="77777777" w:rsidR="00B97508" w:rsidRPr="00EE0E12" w:rsidRDefault="00B97508" w:rsidP="005368E7">
      <w:pPr>
        <w:pStyle w:val="tier1Itext"/>
      </w:pPr>
      <w:r w:rsidRPr="00EE0E12">
        <w:t xml:space="preserve">O aspecto mais importante ao qual se deve atentar é que a imagem de vigilância de satélite deve ser sempre calibrada com informações locais visuais, o que permitirá que os ajustes adequados sejam feitos no </w:t>
      </w:r>
      <w:r w:rsidRPr="00EE0E12">
        <w:rPr>
          <w:i/>
        </w:rPr>
        <w:t>software</w:t>
      </w:r>
      <w:r w:rsidRPr="00EE0E12">
        <w:t xml:space="preserve"> de processamento desta imagem. Mesmo o uso de imagens MODIS deve ser associado a outras informações obtidas no processo de observação, como uma verificação cruzada com imagens SAR, a fim de evitar interpretações erradas ou aplicações indevidas de ferramentas dos programas de tratamento de imagens quando a feição da mancha de óleo não </w:t>
      </w:r>
      <w:r w:rsidR="005368E7">
        <w:t>é tão claramente identificável.</w:t>
      </w:r>
    </w:p>
    <w:p w14:paraId="5FA4D6AD" w14:textId="77777777" w:rsidR="00B97508" w:rsidRPr="00EE0E12" w:rsidRDefault="00B97508" w:rsidP="005368E7">
      <w:pPr>
        <w:pStyle w:val="tier1Itext"/>
      </w:pPr>
      <w:r w:rsidRPr="00EE0E12">
        <w:lastRenderedPageBreak/>
        <w:t>Assim sendo a BP mantém contrato global com a empresa K-SAT, que fornece relatórios periódicos com imagens de passagens de satélites com tecnologia SAR escolhidas pelos especialistas da BP Energy. A nível local, este contrato, bem como a sua ativação, é de responsabilidade do Coordenador de Gerenciamento de Crise e Continuidade e Resposta à Emergência (CCMER C</w:t>
      </w:r>
      <w:r w:rsidRPr="00EE0E12">
        <w:rPr>
          <w:i/>
        </w:rPr>
        <w:t>oordinator</w:t>
      </w:r>
      <w:r w:rsidRPr="00EE0E12">
        <w:t>). Durante uma resposta à emergência, o contato técnico com a empresa de satélite é feito por um membro da Unidade de RC&amp;E.</w:t>
      </w:r>
    </w:p>
    <w:p w14:paraId="51CC8C1B" w14:textId="77777777" w:rsidR="00B97508" w:rsidRPr="00EE0E12" w:rsidRDefault="00B97508" w:rsidP="005368E7">
      <w:pPr>
        <w:pStyle w:val="tier1Itext"/>
      </w:pPr>
      <w:r w:rsidRPr="00EE0E12">
        <w:t>A BP Energy mantém um procedimento relacionado ao monitoramento por imagens de satélite que visa garantir uma maior eficiência no uso desta ferramenta durante o período de atividade de perfuração em seus blocos, a saber:</w:t>
      </w:r>
    </w:p>
    <w:p w14:paraId="2F27B8CF" w14:textId="77777777" w:rsidR="00B97508" w:rsidRPr="00EE0E12" w:rsidRDefault="00B97508" w:rsidP="00EA2A77">
      <w:pPr>
        <w:pStyle w:val="tier1Itext"/>
        <w:numPr>
          <w:ilvl w:val="0"/>
          <w:numId w:val="18"/>
        </w:numPr>
        <w:spacing w:after="0"/>
        <w:ind w:left="714" w:hanging="357"/>
      </w:pPr>
      <w:r w:rsidRPr="00EE0E12">
        <w:t>Inicialmente é solicitado a K-SAT o envio da programação dos satélites no período desejado, a fim de definir as melhores passagens sobre a área de interesse. Assim, define-se um cardápio inicial de imagens a serem contratadas, o que é periodicamente revisitado.</w:t>
      </w:r>
    </w:p>
    <w:p w14:paraId="21E99E3D" w14:textId="77777777" w:rsidR="00B97508" w:rsidRPr="00EE0E12" w:rsidRDefault="00B97508" w:rsidP="00EA2A77">
      <w:pPr>
        <w:pStyle w:val="tier1Itext"/>
        <w:numPr>
          <w:ilvl w:val="0"/>
          <w:numId w:val="18"/>
        </w:numPr>
        <w:spacing w:before="0" w:after="0"/>
        <w:ind w:left="714" w:hanging="357"/>
      </w:pPr>
      <w:r w:rsidRPr="00EE0E12">
        <w:t>O monitoramento inicia-se com a coleta semanal de imagens da área de interesse cerca de um a dois meses antes do início da atividade, no modo mais amplo de varredura, de forma a prover de registros reais os interpretadores que estarão avaliando estas imagens e levantar informações da área quanto à ocorrência de vazamentos naturais ou não;</w:t>
      </w:r>
    </w:p>
    <w:p w14:paraId="1A68571D" w14:textId="70DB063E" w:rsidR="00B97508" w:rsidRPr="00EE0E12" w:rsidRDefault="00B97508" w:rsidP="00EA2A77">
      <w:pPr>
        <w:pStyle w:val="tier1Itext"/>
        <w:numPr>
          <w:ilvl w:val="0"/>
          <w:numId w:val="18"/>
        </w:numPr>
        <w:spacing w:before="0" w:after="0"/>
        <w:ind w:left="714" w:hanging="357"/>
      </w:pPr>
      <w:r w:rsidRPr="00EE0E12">
        <w:t xml:space="preserve">Durante o período inicial de perfuração, as imagens são coletadas também com </w:t>
      </w:r>
      <w:r w:rsidR="00BF2A83" w:rsidRPr="00EE0E12">
        <w:t>frequência</w:t>
      </w:r>
      <w:r w:rsidRPr="00EE0E12">
        <w:t xml:space="preserve"> semanal, mas com varredura mais refinada (</w:t>
      </w:r>
      <w:r w:rsidR="001A0409">
        <w:t>menor cobertura e mais detalhamento</w:t>
      </w:r>
      <w:r w:rsidRPr="00EE0E12">
        <w:t xml:space="preserve">), para monitoramento específico do bloco e da região da perfuração. Esta frequência contribui para a continuação do aumento do conhecimento do padrão local pelo interpretador e melhor calibração do </w:t>
      </w:r>
      <w:r w:rsidR="00BF2A83" w:rsidRPr="00EE0E12">
        <w:t>algoritmo</w:t>
      </w:r>
      <w:r w:rsidRPr="00EE0E12">
        <w:t xml:space="preserve"> identificador de possíveis vazamentos na região de interesse;</w:t>
      </w:r>
    </w:p>
    <w:p w14:paraId="2FE2BBEB" w14:textId="77777777" w:rsidR="00B97508" w:rsidRPr="00EE0E12" w:rsidRDefault="00B97508" w:rsidP="00EA2A77">
      <w:pPr>
        <w:pStyle w:val="tier1Itext"/>
        <w:numPr>
          <w:ilvl w:val="0"/>
          <w:numId w:val="18"/>
        </w:numPr>
        <w:spacing w:before="0" w:after="0"/>
        <w:ind w:left="714" w:hanging="357"/>
      </w:pPr>
      <w:r w:rsidRPr="00EE0E12">
        <w:t>Quando a perfuração entra na zona prevista da camada objetivo, a frequência é alterada para diária, o que permite um melhor acompanhamento e a garantia do imageamento da região na programação do satélite, mesmo não considerando o procedimento de “emergência declarada”. Caso o poço não registre camada portadora de óleo, o imageamento retorna à frequência semanal;</w:t>
      </w:r>
    </w:p>
    <w:p w14:paraId="284FEBAE" w14:textId="77777777" w:rsidR="00B97508" w:rsidRPr="00EE0E12" w:rsidRDefault="00B97508" w:rsidP="00EA2A77">
      <w:pPr>
        <w:pStyle w:val="tier1Itext"/>
        <w:numPr>
          <w:ilvl w:val="0"/>
          <w:numId w:val="18"/>
        </w:numPr>
        <w:spacing w:before="0"/>
        <w:ind w:left="714" w:hanging="357"/>
      </w:pPr>
      <w:r w:rsidRPr="00EE0E12">
        <w:t>Ao final da perfuração, no caso de registro de camada portadora de óleo, após o tamponamento e abandono do poço, ainda são coletadas mais três imagens: (i) uma logo após o abandono; (ii) outra uma semana depois e (iii) outra um mês depois do abandono. Isto permite registrar a ausência de vazamentos nos curto e longo intervalos após o fechamento e abandono do poço.</w:t>
      </w:r>
    </w:p>
    <w:p w14:paraId="1D114CBA" w14:textId="0B0AC4AA" w:rsidR="00290F16" w:rsidRPr="009E316F" w:rsidRDefault="001A0409" w:rsidP="006F18B8">
      <w:pPr>
        <w:pStyle w:val="Ttulo3"/>
        <w:ind w:left="1224"/>
        <w:rPr>
          <w:lang w:val="pt-BR"/>
        </w:rPr>
      </w:pPr>
      <w:r>
        <w:rPr>
          <w:lang w:val="pt-BR"/>
        </w:rPr>
        <w:lastRenderedPageBreak/>
        <w:t xml:space="preserve"> </w:t>
      </w:r>
      <w:bookmarkStart w:id="177" w:name="_Toc527990427"/>
      <w:r w:rsidR="00290F16" w:rsidRPr="009E316F">
        <w:rPr>
          <w:lang w:val="pt-BR"/>
        </w:rPr>
        <w:t>Modelagem de Dispersão e Deriva de Óleo</w:t>
      </w:r>
      <w:bookmarkEnd w:id="177"/>
    </w:p>
    <w:p w14:paraId="3BB93F3B" w14:textId="77777777" w:rsidR="00B97508" w:rsidRPr="00EE0E12" w:rsidRDefault="00B97508" w:rsidP="005368E7">
      <w:pPr>
        <w:pStyle w:val="tier1Itext"/>
      </w:pPr>
      <w:r w:rsidRPr="00EE0E12">
        <w:t>Com base nas orientações do Sistema de Gerenciamento de Resposta a Emergências da BP, quando a modelagem de vazamento de óleo for utilizada como parte da estratégia de acompanhamento e vigilância, o modelo deverá ter a capacidade de ser recalibrado periodicamente à medida que novos dados de campo forem gerados.</w:t>
      </w:r>
    </w:p>
    <w:p w14:paraId="4CBB9519" w14:textId="77777777" w:rsidR="00B97508" w:rsidRPr="00EE0E12" w:rsidRDefault="00B97508" w:rsidP="005368E7">
      <w:pPr>
        <w:pStyle w:val="tier1Itext"/>
      </w:pPr>
      <w:r w:rsidRPr="00EE0E12">
        <w:t>A BP Energy usa o modelo OSCAR</w:t>
      </w:r>
      <w:r w:rsidRPr="00EE0E12">
        <w:rPr>
          <w:rStyle w:val="Refdenotaderodap"/>
          <w:rFonts w:cstheme="majorHAnsi"/>
        </w:rPr>
        <w:footnoteReference w:id="45"/>
      </w:r>
      <w:r w:rsidRPr="00EE0E12">
        <w:t xml:space="preserve"> para modelar a previsão da trajetória da mancha de um vazamento de óleo, com base na hidrodinâmica local, desenvolvida por empresa local habilitada, cujo contato é parte da lista de empresas contratadas, atualizada no momento da ativação da IMT. </w:t>
      </w:r>
    </w:p>
    <w:p w14:paraId="5353B1AE" w14:textId="77777777" w:rsidR="00B97508" w:rsidRPr="00EE0E12" w:rsidRDefault="00B97508" w:rsidP="005368E7">
      <w:pPr>
        <w:pStyle w:val="tier1Itext"/>
      </w:pPr>
      <w:r w:rsidRPr="00EE0E12">
        <w:t>A empresa de modelagem contratada é normalmente a mesma que gerou as previsões na fase de elaboração do PEI e deve comprovar que possui procedimentos sistemáticos de atualização de sua base de dados hidrodinâmicos da região. A BP Energy mantém um contrato de prontidão operacional durante o período da perfuração, o que garante que, em caso de vazamento, a modelagem possa ser ativada imediatamente, a partir de dados atualizados de parâmetros ambientais.</w:t>
      </w:r>
    </w:p>
    <w:p w14:paraId="4CD432A2" w14:textId="77777777" w:rsidR="00B97508" w:rsidRPr="00EE0E12" w:rsidRDefault="00B97508" w:rsidP="005368E7">
      <w:pPr>
        <w:pStyle w:val="tier1Itext"/>
      </w:pPr>
      <w:r w:rsidRPr="00EE0E12">
        <w:t xml:space="preserve">Antes da entrada na camada projetada objetivo da perfuração no Bloco (até quinze dias antes), a BP Energy planeja uma campanha de lançamento de </w:t>
      </w:r>
      <w:r w:rsidR="00D06378" w:rsidRPr="00EE0E12">
        <w:t>b</w:t>
      </w:r>
      <w:r w:rsidR="00D06378">
        <w:t>ó</w:t>
      </w:r>
      <w:r w:rsidR="00D06378" w:rsidRPr="00EE0E12">
        <w:t xml:space="preserve">ias </w:t>
      </w:r>
      <w:r w:rsidRPr="00EE0E12">
        <w:t>de deriva (modelos I-Sphere e SLB) para atualizar as informações local e regional dos padrões de correntes de superfície e subsuperfície, contribuindo para atualizar o modelo hidrodinâmico da área.</w:t>
      </w:r>
    </w:p>
    <w:p w14:paraId="03A74334" w14:textId="59276ADC" w:rsidR="00B97508" w:rsidRDefault="00B97508" w:rsidP="005368E7">
      <w:pPr>
        <w:pStyle w:val="tier1Itext"/>
      </w:pPr>
      <w:r w:rsidRPr="00EE0E12">
        <w:t xml:space="preserve">O relatório de modelagem contém informações para as 72 horas seguintes </w:t>
      </w:r>
      <w:r w:rsidR="00D06378">
        <w:t>à sua referência de emissão</w:t>
      </w:r>
      <w:r w:rsidRPr="00EE0E12">
        <w:t>, com saídas em passos de tempo variáveis, não limitadas a dispersão e deriva da mancha de óleo vazado apresentado sob o formato de curvas probabilísticas de concentração de óleo; tempos de chegada de óleo em pontos significativos da grade de modelagem (costa e pontos marinhos de relevância), espessura média de óleo na superfície; e balanço de massa ao longo do tempo. Estes resultados também podem ser exibidos no sistema georeferenciado em site do provedor, por meio da senha de acesso ou fornecidos em formato GIS e integrados na base de dados espacial georreferenciada on-line da BP</w:t>
      </w:r>
      <w:r w:rsidR="00D06378">
        <w:t xml:space="preserve"> Energy</w:t>
      </w:r>
      <w:r w:rsidRPr="00EE0E12">
        <w:t>, aumentando a extensão e integração de avaliação de todas as ferramentas de vigilância. A verificação da integração dos dados de modelagem na Base GIS é de responsabilidade da Unidade de RC&amp;E.</w:t>
      </w:r>
    </w:p>
    <w:p w14:paraId="583B4EF7" w14:textId="46B3F56F" w:rsidR="0099317E" w:rsidRPr="00605B0B" w:rsidRDefault="0099317E" w:rsidP="005368E7">
      <w:pPr>
        <w:pStyle w:val="tier1Itext"/>
      </w:pPr>
      <w:r w:rsidRPr="00487E50">
        <w:rPr>
          <w:highlight w:val="lightGray"/>
        </w:rPr>
        <w:lastRenderedPageBreak/>
        <w:t>De forma a suportar comunicações com países onde haja a potencial presença de uma deriva de mancha, tanto na base de dados espacial georreferenciada da BP Energy, como na base da modelagem, estará presente a camada com informações sobre os limites reais ou presumidos das águas nacionais dos países do sudoeste do Caribe, de forma que esta informação seja uma das saídas constantes do relatório.</w:t>
      </w:r>
      <w:r w:rsidRPr="00605B0B">
        <w:t xml:space="preserve">   </w:t>
      </w:r>
    </w:p>
    <w:p w14:paraId="42C9C6E8" w14:textId="356FBA5A" w:rsidR="00B97508" w:rsidRPr="00EE0E12" w:rsidRDefault="00B97508" w:rsidP="00E9093F">
      <w:pPr>
        <w:pStyle w:val="tier1Itext"/>
        <w:spacing w:after="120"/>
        <w:rPr>
          <w:rFonts w:cstheme="majorHAnsi"/>
        </w:rPr>
      </w:pPr>
      <w:r w:rsidRPr="00EE0E12">
        <w:rPr>
          <w:rFonts w:cstheme="majorHAnsi"/>
        </w:rPr>
        <w:t xml:space="preserve">A </w:t>
      </w:r>
      <w:r w:rsidRPr="00EE0E12">
        <w:rPr>
          <w:rFonts w:cstheme="majorHAnsi"/>
          <w:b/>
        </w:rPr>
        <w:fldChar w:fldCharType="begin"/>
      </w:r>
      <w:r w:rsidRPr="00EE0E12">
        <w:rPr>
          <w:rFonts w:cstheme="majorHAnsi"/>
          <w:b/>
        </w:rPr>
        <w:instrText xml:space="preserve"> REF _Ref412808109 \h  \* MERGEFORMAT </w:instrText>
      </w:r>
      <w:r w:rsidRPr="00EE0E12">
        <w:rPr>
          <w:rFonts w:cstheme="majorHAnsi"/>
          <w:b/>
        </w:rPr>
      </w:r>
      <w:r w:rsidRPr="00EE0E12">
        <w:rPr>
          <w:rFonts w:cstheme="majorHAnsi"/>
          <w:b/>
        </w:rPr>
        <w:fldChar w:fldCharType="separate"/>
      </w:r>
      <w:r w:rsidR="00A50E67" w:rsidRPr="00A50E67">
        <w:rPr>
          <w:b/>
        </w:rPr>
        <w:t xml:space="preserve">Figura </w:t>
      </w:r>
      <w:r w:rsidR="00A50E67" w:rsidRPr="00A50E67">
        <w:rPr>
          <w:b/>
          <w:noProof/>
        </w:rPr>
        <w:t>14</w:t>
      </w:r>
      <w:r w:rsidRPr="00EE0E12">
        <w:rPr>
          <w:rFonts w:cstheme="majorHAnsi"/>
          <w:b/>
        </w:rPr>
        <w:fldChar w:fldCharType="end"/>
      </w:r>
      <w:r w:rsidRPr="00EE0E12">
        <w:rPr>
          <w:rFonts w:cstheme="majorHAnsi"/>
        </w:rPr>
        <w:t xml:space="preserve"> apresenta saídas de exemplo dos resultados do modelo.</w:t>
      </w:r>
    </w:p>
    <w:tbl>
      <w:tblPr>
        <w:tblW w:w="5000" w:type="pct"/>
        <w:jc w:val="center"/>
        <w:tblBorders>
          <w:top w:val="single" w:sz="6" w:space="0" w:color="008000"/>
          <w:left w:val="single" w:sz="6" w:space="0" w:color="008000"/>
          <w:bottom w:val="single" w:sz="6" w:space="0" w:color="008000"/>
          <w:right w:val="single" w:sz="6" w:space="0" w:color="008000"/>
        </w:tblBorders>
        <w:tblLook w:val="01E0" w:firstRow="1" w:lastRow="1" w:firstColumn="1" w:lastColumn="1" w:noHBand="0" w:noVBand="0"/>
      </w:tblPr>
      <w:tblGrid>
        <w:gridCol w:w="4440"/>
        <w:gridCol w:w="228"/>
        <w:gridCol w:w="4386"/>
      </w:tblGrid>
      <w:tr w:rsidR="00B97508" w:rsidRPr="00EE0E12" w14:paraId="0771F43A" w14:textId="77777777" w:rsidTr="005368E7">
        <w:trPr>
          <w:jc w:val="center"/>
        </w:trPr>
        <w:tc>
          <w:tcPr>
            <w:tcW w:w="2459" w:type="pct"/>
            <w:shd w:val="clear" w:color="auto" w:fill="auto"/>
          </w:tcPr>
          <w:p w14:paraId="51E081C8" w14:textId="77777777" w:rsidR="00B97508" w:rsidRPr="00EE0E12" w:rsidRDefault="00B97508" w:rsidP="005368E7">
            <w:pPr>
              <w:spacing w:before="0" w:line="240" w:lineRule="auto"/>
              <w:jc w:val="center"/>
              <w:rPr>
                <w:rFonts w:asciiTheme="majorHAnsi" w:hAnsiTheme="majorHAnsi"/>
                <w:color w:val="008000"/>
                <w:szCs w:val="20"/>
              </w:rPr>
            </w:pPr>
            <w:r w:rsidRPr="00EE0E12">
              <w:rPr>
                <w:rFonts w:asciiTheme="majorHAnsi" w:hAnsiTheme="majorHAnsi"/>
                <w:noProof/>
                <w:lang w:val="en-US" w:eastAsia="en-US"/>
              </w:rPr>
              <w:drawing>
                <wp:inline distT="0" distB="0" distL="0" distR="0" wp14:anchorId="308D0BB0" wp14:editId="2E062B4A">
                  <wp:extent cx="2646000" cy="2005200"/>
                  <wp:effectExtent l="0" t="0" r="2540" b="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referRelativeResize="0"/>
                        </pic:nvPicPr>
                        <pic:blipFill>
                          <a:blip r:embed="rId55"/>
                          <a:stretch>
                            <a:fillRect/>
                          </a:stretch>
                        </pic:blipFill>
                        <pic:spPr>
                          <a:xfrm>
                            <a:off x="0" y="0"/>
                            <a:ext cx="2646000" cy="2005200"/>
                          </a:xfrm>
                          <a:prstGeom prst="rect">
                            <a:avLst/>
                          </a:prstGeom>
                        </pic:spPr>
                      </pic:pic>
                    </a:graphicData>
                  </a:graphic>
                </wp:inline>
              </w:drawing>
            </w:r>
          </w:p>
        </w:tc>
        <w:tc>
          <w:tcPr>
            <w:tcW w:w="133" w:type="pct"/>
            <w:shd w:val="clear" w:color="auto" w:fill="auto"/>
          </w:tcPr>
          <w:p w14:paraId="2CDFA4C8" w14:textId="77777777" w:rsidR="00B97508" w:rsidRPr="00EE0E12" w:rsidRDefault="00B97508" w:rsidP="005368E7">
            <w:pPr>
              <w:spacing w:before="0" w:line="240" w:lineRule="auto"/>
              <w:jc w:val="center"/>
              <w:rPr>
                <w:rFonts w:asciiTheme="majorHAnsi" w:hAnsiTheme="majorHAnsi"/>
                <w:color w:val="008000"/>
                <w:szCs w:val="20"/>
              </w:rPr>
            </w:pPr>
          </w:p>
        </w:tc>
        <w:tc>
          <w:tcPr>
            <w:tcW w:w="2408" w:type="pct"/>
            <w:shd w:val="clear" w:color="auto" w:fill="auto"/>
          </w:tcPr>
          <w:p w14:paraId="1AC15F4E" w14:textId="77777777" w:rsidR="00B97508" w:rsidRPr="00EE0E12" w:rsidRDefault="00B97508" w:rsidP="005368E7">
            <w:pPr>
              <w:spacing w:before="0" w:line="240" w:lineRule="auto"/>
              <w:jc w:val="center"/>
              <w:rPr>
                <w:rFonts w:asciiTheme="majorHAnsi" w:hAnsiTheme="majorHAnsi"/>
                <w:color w:val="008000"/>
                <w:szCs w:val="20"/>
              </w:rPr>
            </w:pPr>
            <w:r w:rsidRPr="00EE0E12">
              <w:rPr>
                <w:rFonts w:asciiTheme="majorHAnsi" w:hAnsiTheme="majorHAnsi"/>
                <w:noProof/>
                <w:lang w:val="en-US" w:eastAsia="en-US"/>
              </w:rPr>
              <w:drawing>
                <wp:inline distT="0" distB="0" distL="0" distR="0" wp14:anchorId="3DB7933E" wp14:editId="469897CD">
                  <wp:extent cx="2646000" cy="2005200"/>
                  <wp:effectExtent l="0" t="0" r="2540" b="0"/>
                  <wp:docPr id="27"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referRelativeResize="0"/>
                        </pic:nvPicPr>
                        <pic:blipFill>
                          <a:blip r:embed="rId56"/>
                          <a:stretch>
                            <a:fillRect/>
                          </a:stretch>
                        </pic:blipFill>
                        <pic:spPr>
                          <a:xfrm>
                            <a:off x="0" y="0"/>
                            <a:ext cx="2646000" cy="2005200"/>
                          </a:xfrm>
                          <a:prstGeom prst="rect">
                            <a:avLst/>
                          </a:prstGeom>
                        </pic:spPr>
                      </pic:pic>
                    </a:graphicData>
                  </a:graphic>
                </wp:inline>
              </w:drawing>
            </w:r>
          </w:p>
        </w:tc>
      </w:tr>
      <w:tr w:rsidR="00B97508" w:rsidRPr="00EE0E12" w14:paraId="6CA6058F" w14:textId="77777777" w:rsidTr="005368E7">
        <w:trPr>
          <w:jc w:val="center"/>
        </w:trPr>
        <w:tc>
          <w:tcPr>
            <w:tcW w:w="2459" w:type="pct"/>
            <w:shd w:val="clear" w:color="auto" w:fill="auto"/>
          </w:tcPr>
          <w:p w14:paraId="39B31416" w14:textId="77777777" w:rsidR="00B97508" w:rsidRPr="00EE0E12" w:rsidRDefault="00B97508" w:rsidP="005368E7">
            <w:pPr>
              <w:spacing w:before="0" w:line="240" w:lineRule="auto"/>
              <w:jc w:val="center"/>
              <w:rPr>
                <w:rFonts w:asciiTheme="majorHAnsi" w:hAnsiTheme="majorHAnsi"/>
                <w:szCs w:val="18"/>
              </w:rPr>
            </w:pPr>
            <w:r w:rsidRPr="00EE0E12">
              <w:rPr>
                <w:rFonts w:asciiTheme="majorHAnsi" w:hAnsiTheme="majorHAnsi"/>
                <w:szCs w:val="18"/>
              </w:rPr>
              <w:t>Probabilidade de contaminação na superfície (%)</w:t>
            </w:r>
          </w:p>
        </w:tc>
        <w:tc>
          <w:tcPr>
            <w:tcW w:w="133" w:type="pct"/>
            <w:shd w:val="clear" w:color="auto" w:fill="auto"/>
          </w:tcPr>
          <w:p w14:paraId="2616609E" w14:textId="77777777" w:rsidR="00B97508" w:rsidRPr="00EE0E12" w:rsidRDefault="00B97508" w:rsidP="005368E7">
            <w:pPr>
              <w:spacing w:before="0" w:line="240" w:lineRule="auto"/>
              <w:jc w:val="center"/>
              <w:rPr>
                <w:rFonts w:asciiTheme="majorHAnsi" w:hAnsiTheme="majorHAnsi"/>
                <w:szCs w:val="18"/>
              </w:rPr>
            </w:pPr>
          </w:p>
        </w:tc>
        <w:tc>
          <w:tcPr>
            <w:tcW w:w="2408" w:type="pct"/>
            <w:shd w:val="clear" w:color="auto" w:fill="auto"/>
          </w:tcPr>
          <w:p w14:paraId="438551F5" w14:textId="77777777" w:rsidR="00B97508" w:rsidRPr="00EE0E12" w:rsidRDefault="00B97508" w:rsidP="005368E7">
            <w:pPr>
              <w:spacing w:before="0" w:line="240" w:lineRule="auto"/>
              <w:jc w:val="center"/>
              <w:rPr>
                <w:rFonts w:asciiTheme="majorHAnsi" w:hAnsiTheme="majorHAnsi"/>
                <w:szCs w:val="18"/>
              </w:rPr>
            </w:pPr>
            <w:r w:rsidRPr="00EE0E12">
              <w:rPr>
                <w:rFonts w:asciiTheme="majorHAnsi" w:hAnsiTheme="majorHAnsi"/>
                <w:szCs w:val="18"/>
              </w:rPr>
              <w:t>Tempo mínimo de chegada à costa (dias)</w:t>
            </w:r>
          </w:p>
        </w:tc>
      </w:tr>
      <w:tr w:rsidR="00B97508" w:rsidRPr="00EE0E12" w14:paraId="1CF784F1" w14:textId="77777777" w:rsidTr="005368E7">
        <w:trPr>
          <w:jc w:val="center"/>
        </w:trPr>
        <w:tc>
          <w:tcPr>
            <w:tcW w:w="2459" w:type="pct"/>
            <w:shd w:val="clear" w:color="auto" w:fill="auto"/>
          </w:tcPr>
          <w:p w14:paraId="38302BD2" w14:textId="77777777" w:rsidR="00B97508" w:rsidRPr="00EE0E12" w:rsidRDefault="00B97508" w:rsidP="005368E7">
            <w:pPr>
              <w:spacing w:before="0" w:line="240" w:lineRule="auto"/>
              <w:jc w:val="center"/>
              <w:rPr>
                <w:rFonts w:asciiTheme="majorHAnsi" w:hAnsiTheme="majorHAnsi"/>
                <w:color w:val="008000"/>
                <w:szCs w:val="20"/>
              </w:rPr>
            </w:pPr>
            <w:r w:rsidRPr="00EE0E12">
              <w:rPr>
                <w:rFonts w:asciiTheme="majorHAnsi" w:hAnsiTheme="majorHAnsi"/>
                <w:noProof/>
                <w:lang w:val="en-US" w:eastAsia="en-US"/>
              </w:rPr>
              <w:drawing>
                <wp:inline distT="0" distB="0" distL="0" distR="0" wp14:anchorId="67046AFD" wp14:editId="2F894BBF">
                  <wp:extent cx="2646000" cy="2005200"/>
                  <wp:effectExtent l="0" t="0" r="2540" b="0"/>
                  <wp:docPr id="33" name="Pictur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referRelativeResize="0"/>
                        </pic:nvPicPr>
                        <pic:blipFill>
                          <a:blip r:embed="rId57"/>
                          <a:stretch>
                            <a:fillRect/>
                          </a:stretch>
                        </pic:blipFill>
                        <pic:spPr>
                          <a:xfrm>
                            <a:off x="0" y="0"/>
                            <a:ext cx="2646000" cy="2005200"/>
                          </a:xfrm>
                          <a:prstGeom prst="rect">
                            <a:avLst/>
                          </a:prstGeom>
                        </pic:spPr>
                      </pic:pic>
                    </a:graphicData>
                  </a:graphic>
                </wp:inline>
              </w:drawing>
            </w:r>
          </w:p>
        </w:tc>
        <w:tc>
          <w:tcPr>
            <w:tcW w:w="133" w:type="pct"/>
            <w:shd w:val="clear" w:color="auto" w:fill="auto"/>
          </w:tcPr>
          <w:p w14:paraId="2B0DEE48" w14:textId="77777777" w:rsidR="00B97508" w:rsidRPr="00EE0E12" w:rsidRDefault="00B97508" w:rsidP="005368E7">
            <w:pPr>
              <w:spacing w:before="0" w:line="240" w:lineRule="auto"/>
              <w:jc w:val="center"/>
              <w:rPr>
                <w:rFonts w:asciiTheme="majorHAnsi" w:hAnsiTheme="majorHAnsi"/>
                <w:color w:val="008000"/>
                <w:szCs w:val="20"/>
              </w:rPr>
            </w:pPr>
          </w:p>
        </w:tc>
        <w:tc>
          <w:tcPr>
            <w:tcW w:w="2408" w:type="pct"/>
            <w:shd w:val="clear" w:color="auto" w:fill="auto"/>
          </w:tcPr>
          <w:p w14:paraId="507B1593" w14:textId="77777777" w:rsidR="00B97508" w:rsidRPr="00EE0E12" w:rsidRDefault="00B97508" w:rsidP="005368E7">
            <w:pPr>
              <w:spacing w:before="0" w:line="240" w:lineRule="auto"/>
              <w:jc w:val="center"/>
              <w:rPr>
                <w:rFonts w:asciiTheme="majorHAnsi" w:hAnsiTheme="majorHAnsi"/>
                <w:color w:val="008000"/>
                <w:szCs w:val="20"/>
              </w:rPr>
            </w:pPr>
            <w:r w:rsidRPr="00EE0E12">
              <w:rPr>
                <w:rFonts w:asciiTheme="majorHAnsi" w:hAnsiTheme="majorHAnsi"/>
                <w:noProof/>
                <w:lang w:val="en-US" w:eastAsia="en-US"/>
              </w:rPr>
              <w:drawing>
                <wp:inline distT="0" distB="0" distL="0" distR="0" wp14:anchorId="412B9E13" wp14:editId="415C27E1">
                  <wp:extent cx="2646000" cy="2005200"/>
                  <wp:effectExtent l="0" t="0" r="2540" b="0"/>
                  <wp:docPr id="34"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referRelativeResize="0"/>
                        </pic:nvPicPr>
                        <pic:blipFill>
                          <a:blip r:embed="rId58"/>
                          <a:stretch>
                            <a:fillRect/>
                          </a:stretch>
                        </pic:blipFill>
                        <pic:spPr>
                          <a:xfrm>
                            <a:off x="0" y="0"/>
                            <a:ext cx="2646000" cy="2005200"/>
                          </a:xfrm>
                          <a:prstGeom prst="rect">
                            <a:avLst/>
                          </a:prstGeom>
                        </pic:spPr>
                      </pic:pic>
                    </a:graphicData>
                  </a:graphic>
                </wp:inline>
              </w:drawing>
            </w:r>
          </w:p>
        </w:tc>
      </w:tr>
      <w:tr w:rsidR="00B97508" w:rsidRPr="00EE0E12" w14:paraId="012ADE9A" w14:textId="77777777" w:rsidTr="005368E7">
        <w:trPr>
          <w:jc w:val="center"/>
        </w:trPr>
        <w:tc>
          <w:tcPr>
            <w:tcW w:w="2459" w:type="pct"/>
            <w:shd w:val="clear" w:color="auto" w:fill="auto"/>
          </w:tcPr>
          <w:p w14:paraId="5EB3D18A" w14:textId="77777777" w:rsidR="00B97508" w:rsidRPr="00EE0E12" w:rsidRDefault="00B97508" w:rsidP="005368E7">
            <w:pPr>
              <w:spacing w:before="0" w:line="240" w:lineRule="auto"/>
              <w:jc w:val="center"/>
              <w:rPr>
                <w:rFonts w:asciiTheme="majorHAnsi" w:hAnsiTheme="majorHAnsi"/>
                <w:szCs w:val="18"/>
              </w:rPr>
            </w:pPr>
            <w:r w:rsidRPr="00EE0E12">
              <w:rPr>
                <w:rFonts w:asciiTheme="majorHAnsi" w:hAnsiTheme="majorHAnsi"/>
                <w:szCs w:val="18"/>
              </w:rPr>
              <w:t>Modo determinístico: Espessura de óleo (mm)</w:t>
            </w:r>
          </w:p>
        </w:tc>
        <w:tc>
          <w:tcPr>
            <w:tcW w:w="133" w:type="pct"/>
            <w:shd w:val="clear" w:color="auto" w:fill="auto"/>
          </w:tcPr>
          <w:p w14:paraId="337A799E" w14:textId="77777777" w:rsidR="00B97508" w:rsidRPr="00EE0E12" w:rsidRDefault="00B97508" w:rsidP="005368E7">
            <w:pPr>
              <w:spacing w:before="0" w:line="240" w:lineRule="auto"/>
              <w:jc w:val="center"/>
              <w:rPr>
                <w:rFonts w:asciiTheme="majorHAnsi" w:hAnsiTheme="majorHAnsi"/>
                <w:szCs w:val="18"/>
              </w:rPr>
            </w:pPr>
          </w:p>
        </w:tc>
        <w:tc>
          <w:tcPr>
            <w:tcW w:w="2408" w:type="pct"/>
            <w:shd w:val="clear" w:color="auto" w:fill="auto"/>
          </w:tcPr>
          <w:p w14:paraId="7C987E1B" w14:textId="77777777" w:rsidR="00B97508" w:rsidRPr="00EE0E12" w:rsidRDefault="00B97508" w:rsidP="005368E7">
            <w:pPr>
              <w:spacing w:before="0" w:line="240" w:lineRule="auto"/>
              <w:jc w:val="center"/>
              <w:rPr>
                <w:rFonts w:asciiTheme="majorHAnsi" w:hAnsiTheme="majorHAnsi"/>
                <w:szCs w:val="18"/>
              </w:rPr>
            </w:pPr>
            <w:r w:rsidRPr="00EE0E12">
              <w:rPr>
                <w:rFonts w:asciiTheme="majorHAnsi" w:hAnsiTheme="majorHAnsi"/>
                <w:szCs w:val="18"/>
              </w:rPr>
              <w:t>Balanço de massa durante modelagem</w:t>
            </w:r>
          </w:p>
        </w:tc>
      </w:tr>
    </w:tbl>
    <w:p w14:paraId="64AA791C" w14:textId="1E0C5B3C" w:rsidR="00B97508" w:rsidRPr="00EE0E12" w:rsidRDefault="00B97508" w:rsidP="00E9093F">
      <w:pPr>
        <w:pStyle w:val="Legenda"/>
        <w:keepNext w:val="0"/>
        <w:spacing w:before="0" w:after="0" w:line="240" w:lineRule="auto"/>
      </w:pPr>
      <w:bookmarkStart w:id="178" w:name="_Ref412808109"/>
      <w:bookmarkStart w:id="179" w:name="_Toc412812290"/>
      <w:bookmarkStart w:id="180" w:name="_Toc527990461"/>
      <w:r w:rsidRPr="00EE0E12">
        <w:t xml:space="preserve">Figura </w:t>
      </w:r>
      <w:fldSimple w:instr=" SEQ Figura \* ARABIC ">
        <w:r w:rsidR="00A50E67">
          <w:rPr>
            <w:noProof/>
          </w:rPr>
          <w:t>14</w:t>
        </w:r>
      </w:fldSimple>
      <w:bookmarkEnd w:id="178"/>
      <w:r w:rsidRPr="00EE0E12">
        <w:t>: Amostras de resultados de saída do modelo</w:t>
      </w:r>
      <w:r w:rsidR="008D6541">
        <w:t xml:space="preserve"> (Fonte: Prooceano, 2015)</w:t>
      </w:r>
      <w:r w:rsidRPr="00EE0E12">
        <w:t>.</w:t>
      </w:r>
      <w:bookmarkEnd w:id="179"/>
      <w:bookmarkEnd w:id="180"/>
    </w:p>
    <w:p w14:paraId="7AF505BB" w14:textId="7855C179" w:rsidR="00B97508" w:rsidRDefault="00B97508" w:rsidP="005368E7">
      <w:pPr>
        <w:pStyle w:val="tier1Itext"/>
        <w:spacing w:before="360"/>
        <w:rPr>
          <w:szCs w:val="22"/>
        </w:rPr>
      </w:pPr>
      <w:r w:rsidRPr="00EE0E12">
        <w:t xml:space="preserve">É válido ressaltar que as informações levantadas que retratam situações reais (monitoramento aéreo e imageamento por satélites) devem ser cruzadas com os resultados das modelagens, de forma a permitir que estes últimos sejam calibrados e feitos os ajustes necessários ao modelo para convergir da melhor forma para a situação observada. </w:t>
      </w:r>
      <w:r w:rsidRPr="00EE0E12">
        <w:rPr>
          <w:szCs w:val="22"/>
        </w:rPr>
        <w:t xml:space="preserve">Dessa forma, confirma-se que a estratégia de modelagem de dispersão e deriva de óleo é complementada pela observação aérea (por </w:t>
      </w:r>
      <w:r w:rsidR="00D06378" w:rsidRPr="00EE0E12">
        <w:rPr>
          <w:szCs w:val="22"/>
        </w:rPr>
        <w:t>sobrev</w:t>
      </w:r>
      <w:r w:rsidR="00D06378">
        <w:rPr>
          <w:szCs w:val="22"/>
        </w:rPr>
        <w:t>ô</w:t>
      </w:r>
      <w:r w:rsidR="00D06378" w:rsidRPr="00EE0E12">
        <w:rPr>
          <w:szCs w:val="22"/>
        </w:rPr>
        <w:t>o</w:t>
      </w:r>
      <w:r w:rsidRPr="00EE0E12">
        <w:rPr>
          <w:szCs w:val="22"/>
        </w:rPr>
        <w:t>) e pelo sensoriamento remoto por imagens de satélite, que orientam o planejamento de um monitoramento, com ações de curto, médio e longo prazos.</w:t>
      </w:r>
    </w:p>
    <w:p w14:paraId="48B23E02" w14:textId="336563F3" w:rsidR="00F06117" w:rsidRPr="00487E50" w:rsidRDefault="003B7EA4" w:rsidP="003B7EA4">
      <w:pPr>
        <w:pStyle w:val="tier1Itext"/>
        <w:spacing w:before="360"/>
        <w:rPr>
          <w:highlight w:val="lightGray"/>
        </w:rPr>
      </w:pPr>
      <w:r w:rsidRPr="00487E50">
        <w:rPr>
          <w:highlight w:val="lightGray"/>
        </w:rPr>
        <w:lastRenderedPageBreak/>
        <w:t xml:space="preserve">É objetivo da BP Energy elaborar </w:t>
      </w:r>
      <w:r w:rsidR="00F06117" w:rsidRPr="00487E50">
        <w:rPr>
          <w:highlight w:val="lightGray"/>
        </w:rPr>
        <w:t>uma versão sumarizada do relatório de modelagem</w:t>
      </w:r>
      <w:r w:rsidRPr="00487E50">
        <w:rPr>
          <w:highlight w:val="lightGray"/>
        </w:rPr>
        <w:t xml:space="preserve"> para constar no PEI</w:t>
      </w:r>
      <w:r w:rsidR="00F06117" w:rsidRPr="00487E50">
        <w:rPr>
          <w:highlight w:val="lightGray"/>
        </w:rPr>
        <w:t xml:space="preserve">, com estrutura apresentada a seguir. Isto visa moldar este relatório em uma ferramenta operacional, que seja focado e conciso quanto às informações de ativação desta ferramenta e de informação básica de suporte aos momentos iniciais da resposta, quando as primeiras ações da fase reativa estão sendo definidas e o potencial do incidente está sendo avaliado. </w:t>
      </w:r>
    </w:p>
    <w:p w14:paraId="7901AAFD" w14:textId="77777777" w:rsidR="00F06117" w:rsidRPr="003B7EA4" w:rsidRDefault="00F06117" w:rsidP="003B7EA4">
      <w:pPr>
        <w:pStyle w:val="tier1Itext"/>
        <w:spacing w:before="360"/>
      </w:pPr>
      <w:r w:rsidRPr="00487E50">
        <w:rPr>
          <w:highlight w:val="lightGray"/>
        </w:rPr>
        <w:t>Assim que a BP Energy tiver definida a empresa contratada para prestação deste serviço, encaminhará cópia do relatório para avaliação desta Coordenação.</w:t>
      </w:r>
    </w:p>
    <w:p w14:paraId="5009AB10" w14:textId="77777777" w:rsidR="00F06117" w:rsidRPr="00487E50" w:rsidRDefault="00F06117" w:rsidP="003B7EA4">
      <w:pPr>
        <w:pStyle w:val="tier1Itext"/>
        <w:spacing w:before="360"/>
        <w:rPr>
          <w:highlight w:val="lightGray"/>
        </w:rPr>
      </w:pPr>
      <w:r w:rsidRPr="00487E50">
        <w:rPr>
          <w:highlight w:val="lightGray"/>
        </w:rPr>
        <w:t>Estrutura do relatório de suporte ao PEI, com as informações relacionadas a ferramenta “Modelagem de Dispersão de Vazamentos”.</w:t>
      </w:r>
    </w:p>
    <w:p w14:paraId="1DF46818" w14:textId="77777777" w:rsidR="00F06117" w:rsidRPr="00487E50" w:rsidRDefault="00F06117" w:rsidP="003B7EA4">
      <w:pPr>
        <w:pStyle w:val="PargrafodaLista"/>
        <w:keepLines w:val="0"/>
        <w:numPr>
          <w:ilvl w:val="0"/>
          <w:numId w:val="45"/>
        </w:numPr>
        <w:tabs>
          <w:tab w:val="clear" w:pos="227"/>
          <w:tab w:val="clear" w:pos="709"/>
        </w:tabs>
        <w:spacing w:before="360" w:after="240" w:line="360" w:lineRule="auto"/>
        <w:contextualSpacing/>
        <w:rPr>
          <w:b/>
          <w:color w:val="auto"/>
          <w:highlight w:val="lightGray"/>
        </w:rPr>
      </w:pPr>
      <w:r w:rsidRPr="00487E50">
        <w:rPr>
          <w:b/>
          <w:color w:val="auto"/>
          <w:highlight w:val="lightGray"/>
        </w:rPr>
        <w:t>Procedimento de ativação da modelagem</w:t>
      </w:r>
    </w:p>
    <w:p w14:paraId="444A2E0B" w14:textId="77777777" w:rsidR="00F06117" w:rsidRPr="00487E50" w:rsidRDefault="00F06117" w:rsidP="003B7EA4">
      <w:pPr>
        <w:pStyle w:val="PargrafodaLista"/>
        <w:keepLines w:val="0"/>
        <w:numPr>
          <w:ilvl w:val="1"/>
          <w:numId w:val="46"/>
        </w:numPr>
        <w:tabs>
          <w:tab w:val="clear" w:pos="227"/>
          <w:tab w:val="clear" w:pos="709"/>
        </w:tabs>
        <w:spacing w:before="360" w:after="240" w:line="360" w:lineRule="auto"/>
        <w:contextualSpacing/>
        <w:rPr>
          <w:color w:val="auto"/>
          <w:highlight w:val="lightGray"/>
        </w:rPr>
      </w:pPr>
      <w:r w:rsidRPr="00487E50">
        <w:rPr>
          <w:color w:val="auto"/>
          <w:highlight w:val="lightGray"/>
        </w:rPr>
        <w:t>Responsável no IMT</w:t>
      </w:r>
    </w:p>
    <w:p w14:paraId="6CD54737" w14:textId="77777777" w:rsidR="00F06117" w:rsidRPr="00487E50" w:rsidRDefault="00F06117" w:rsidP="003B7EA4">
      <w:pPr>
        <w:pStyle w:val="PargrafodaLista"/>
        <w:keepLines w:val="0"/>
        <w:numPr>
          <w:ilvl w:val="1"/>
          <w:numId w:val="46"/>
        </w:numPr>
        <w:tabs>
          <w:tab w:val="clear" w:pos="227"/>
          <w:tab w:val="clear" w:pos="709"/>
        </w:tabs>
        <w:spacing w:before="360" w:after="240" w:line="360" w:lineRule="auto"/>
        <w:contextualSpacing/>
        <w:rPr>
          <w:color w:val="auto"/>
          <w:highlight w:val="lightGray"/>
        </w:rPr>
      </w:pPr>
      <w:r w:rsidRPr="00487E50">
        <w:rPr>
          <w:color w:val="auto"/>
          <w:highlight w:val="lightGray"/>
        </w:rPr>
        <w:t>Informações básicas a serem passadas a empresa prestadora do serviço</w:t>
      </w:r>
    </w:p>
    <w:p w14:paraId="4D1A0669" w14:textId="77777777" w:rsidR="00F06117" w:rsidRPr="00487E50" w:rsidRDefault="00F06117" w:rsidP="003B7EA4">
      <w:pPr>
        <w:pStyle w:val="PargrafodaLista"/>
        <w:keepLines w:val="0"/>
        <w:numPr>
          <w:ilvl w:val="1"/>
          <w:numId w:val="46"/>
        </w:numPr>
        <w:tabs>
          <w:tab w:val="clear" w:pos="227"/>
          <w:tab w:val="clear" w:pos="709"/>
        </w:tabs>
        <w:spacing w:before="360" w:after="240" w:line="360" w:lineRule="auto"/>
        <w:contextualSpacing/>
        <w:rPr>
          <w:color w:val="auto"/>
          <w:highlight w:val="lightGray"/>
        </w:rPr>
      </w:pPr>
      <w:r w:rsidRPr="00487E50">
        <w:rPr>
          <w:color w:val="auto"/>
          <w:highlight w:val="lightGray"/>
        </w:rPr>
        <w:t xml:space="preserve">Empresa contratada </w:t>
      </w:r>
      <w:r w:rsidRPr="00487E50">
        <w:rPr>
          <w:color w:val="auto"/>
          <w:highlight w:val="lightGray"/>
        </w:rPr>
        <w:sym w:font="Symbol" w:char="F0DE"/>
      </w:r>
      <w:r w:rsidRPr="00487E50">
        <w:rPr>
          <w:color w:val="auto"/>
          <w:highlight w:val="lightGray"/>
        </w:rPr>
        <w:t xml:space="preserve"> procedimento de ativação do serviço e contatos</w:t>
      </w:r>
    </w:p>
    <w:p w14:paraId="7A74C6AD" w14:textId="77777777" w:rsidR="00F06117" w:rsidRPr="00487E50" w:rsidRDefault="00F06117" w:rsidP="003B7EA4">
      <w:pPr>
        <w:pStyle w:val="PargrafodaLista"/>
        <w:keepLines w:val="0"/>
        <w:numPr>
          <w:ilvl w:val="0"/>
          <w:numId w:val="46"/>
        </w:numPr>
        <w:tabs>
          <w:tab w:val="clear" w:pos="227"/>
          <w:tab w:val="clear" w:pos="709"/>
        </w:tabs>
        <w:spacing w:before="360" w:after="240" w:line="360" w:lineRule="auto"/>
        <w:contextualSpacing/>
        <w:rPr>
          <w:b/>
          <w:color w:val="auto"/>
          <w:highlight w:val="lightGray"/>
        </w:rPr>
      </w:pPr>
      <w:r w:rsidRPr="00487E50">
        <w:rPr>
          <w:b/>
          <w:color w:val="auto"/>
          <w:highlight w:val="lightGray"/>
        </w:rPr>
        <w:t>Informações básicas para análise de dispersão de óleo no Bloco FZA-M-59</w:t>
      </w:r>
    </w:p>
    <w:p w14:paraId="6CF6E790" w14:textId="77777777" w:rsidR="00F06117" w:rsidRPr="00487E50" w:rsidRDefault="00F06117" w:rsidP="003B7EA4">
      <w:pPr>
        <w:pStyle w:val="PargrafodaLista"/>
        <w:keepLines w:val="0"/>
        <w:numPr>
          <w:ilvl w:val="1"/>
          <w:numId w:val="46"/>
        </w:numPr>
        <w:tabs>
          <w:tab w:val="clear" w:pos="227"/>
          <w:tab w:val="clear" w:pos="709"/>
        </w:tabs>
        <w:spacing w:before="360" w:after="0" w:line="240" w:lineRule="auto"/>
        <w:ind w:left="1483"/>
        <w:contextualSpacing/>
        <w:rPr>
          <w:color w:val="auto"/>
          <w:highlight w:val="lightGray"/>
        </w:rPr>
      </w:pPr>
      <w:r w:rsidRPr="00487E50">
        <w:rPr>
          <w:color w:val="auto"/>
          <w:highlight w:val="lightGray"/>
        </w:rPr>
        <w:t>Dados climatológicos</w:t>
      </w:r>
    </w:p>
    <w:p w14:paraId="571E5DF2" w14:textId="77777777" w:rsidR="00F06117" w:rsidRPr="00487E50" w:rsidRDefault="00F06117" w:rsidP="003B7EA4">
      <w:pPr>
        <w:spacing w:line="240" w:lineRule="auto"/>
        <w:ind w:left="1123"/>
        <w:rPr>
          <w:rFonts w:asciiTheme="majorHAnsi" w:hAnsiTheme="majorHAnsi"/>
          <w:i/>
          <w:highlight w:val="lightGray"/>
        </w:rPr>
      </w:pPr>
      <w:r w:rsidRPr="00487E50">
        <w:rPr>
          <w:rFonts w:asciiTheme="majorHAnsi" w:hAnsiTheme="majorHAnsi"/>
          <w:i/>
          <w:highlight w:val="lightGray"/>
        </w:rPr>
        <w:t>{Estes dados devem ser apresentados na forma de rosas (como as figuras 83 e 84 para vento e 85 e 86, para correntes, do relatório da modelagem apresentado no EIA), complementados por tabelas, se necessário.}</w:t>
      </w:r>
    </w:p>
    <w:p w14:paraId="4306F6A3" w14:textId="77777777" w:rsidR="00F06117" w:rsidRPr="00487E50" w:rsidRDefault="00F06117" w:rsidP="003B7EA4">
      <w:pPr>
        <w:pStyle w:val="PargrafodaLista"/>
        <w:keepLines w:val="0"/>
        <w:numPr>
          <w:ilvl w:val="2"/>
          <w:numId w:val="46"/>
        </w:numPr>
        <w:tabs>
          <w:tab w:val="clear" w:pos="227"/>
          <w:tab w:val="clear" w:pos="709"/>
        </w:tabs>
        <w:spacing w:after="240" w:line="360" w:lineRule="auto"/>
        <w:ind w:left="2203"/>
        <w:contextualSpacing/>
        <w:rPr>
          <w:color w:val="auto"/>
          <w:highlight w:val="lightGray"/>
        </w:rPr>
      </w:pPr>
      <w:r w:rsidRPr="00487E50">
        <w:rPr>
          <w:color w:val="auto"/>
          <w:highlight w:val="lightGray"/>
        </w:rPr>
        <w:t>Ventos</w:t>
      </w:r>
    </w:p>
    <w:p w14:paraId="7D30B05D" w14:textId="77777777" w:rsidR="00F06117" w:rsidRPr="00487E50" w:rsidRDefault="00F06117" w:rsidP="003B7EA4">
      <w:pPr>
        <w:pStyle w:val="PargrafodaLista"/>
        <w:keepLines w:val="0"/>
        <w:numPr>
          <w:ilvl w:val="2"/>
          <w:numId w:val="46"/>
        </w:numPr>
        <w:tabs>
          <w:tab w:val="clear" w:pos="227"/>
          <w:tab w:val="clear" w:pos="709"/>
        </w:tabs>
        <w:spacing w:before="360" w:after="240" w:line="360" w:lineRule="auto"/>
        <w:contextualSpacing/>
        <w:rPr>
          <w:color w:val="auto"/>
          <w:highlight w:val="lightGray"/>
        </w:rPr>
      </w:pPr>
      <w:r w:rsidRPr="00487E50">
        <w:rPr>
          <w:color w:val="auto"/>
          <w:highlight w:val="lightGray"/>
        </w:rPr>
        <w:t>Correntes superficiais</w:t>
      </w:r>
    </w:p>
    <w:p w14:paraId="4FEAE83B" w14:textId="77777777" w:rsidR="00F06117" w:rsidRPr="00487E50" w:rsidRDefault="00F06117" w:rsidP="003B7EA4">
      <w:pPr>
        <w:pStyle w:val="PargrafodaLista"/>
        <w:keepLines w:val="0"/>
        <w:numPr>
          <w:ilvl w:val="1"/>
          <w:numId w:val="46"/>
        </w:numPr>
        <w:tabs>
          <w:tab w:val="clear" w:pos="227"/>
          <w:tab w:val="clear" w:pos="709"/>
        </w:tabs>
        <w:spacing w:before="360" w:after="240" w:line="360" w:lineRule="auto"/>
        <w:contextualSpacing/>
        <w:rPr>
          <w:color w:val="auto"/>
          <w:highlight w:val="lightGray"/>
        </w:rPr>
      </w:pPr>
      <w:r w:rsidRPr="00487E50">
        <w:rPr>
          <w:color w:val="auto"/>
          <w:highlight w:val="lightGray"/>
        </w:rPr>
        <w:t>Resultados sazonais de ensaios realizados</w:t>
      </w:r>
    </w:p>
    <w:p w14:paraId="01DBF06F" w14:textId="77777777" w:rsidR="00F06117" w:rsidRPr="00487E50" w:rsidRDefault="00F06117" w:rsidP="003B7EA4">
      <w:pPr>
        <w:pStyle w:val="PargrafodaLista"/>
        <w:keepLines w:val="0"/>
        <w:numPr>
          <w:ilvl w:val="2"/>
          <w:numId w:val="46"/>
        </w:numPr>
        <w:tabs>
          <w:tab w:val="clear" w:pos="227"/>
          <w:tab w:val="clear" w:pos="709"/>
        </w:tabs>
        <w:spacing w:before="360" w:after="240" w:line="360" w:lineRule="auto"/>
        <w:contextualSpacing/>
        <w:rPr>
          <w:color w:val="auto"/>
          <w:highlight w:val="lightGray"/>
        </w:rPr>
      </w:pPr>
      <w:r w:rsidRPr="00487E50">
        <w:rPr>
          <w:color w:val="auto"/>
          <w:highlight w:val="lightGray"/>
        </w:rPr>
        <w:t>Cenário de Vp (Volume pequeno) – 8 m</w:t>
      </w:r>
      <w:r w:rsidRPr="00487E50">
        <w:rPr>
          <w:color w:val="auto"/>
          <w:highlight w:val="lightGray"/>
          <w:vertAlign w:val="superscript"/>
        </w:rPr>
        <w:t>3</w:t>
      </w:r>
    </w:p>
    <w:p w14:paraId="6DA3935C" w14:textId="77777777" w:rsidR="00F06117" w:rsidRPr="00487E50" w:rsidRDefault="00F06117" w:rsidP="003B7EA4">
      <w:pPr>
        <w:pStyle w:val="PargrafodaLista"/>
        <w:keepLines w:val="0"/>
        <w:numPr>
          <w:ilvl w:val="2"/>
          <w:numId w:val="46"/>
        </w:numPr>
        <w:tabs>
          <w:tab w:val="clear" w:pos="227"/>
          <w:tab w:val="clear" w:pos="709"/>
        </w:tabs>
        <w:spacing w:before="360" w:after="240" w:line="360" w:lineRule="auto"/>
        <w:contextualSpacing/>
        <w:rPr>
          <w:color w:val="auto"/>
          <w:highlight w:val="lightGray"/>
        </w:rPr>
      </w:pPr>
      <w:r w:rsidRPr="00487E50">
        <w:rPr>
          <w:color w:val="auto"/>
          <w:highlight w:val="lightGray"/>
        </w:rPr>
        <w:t>Cenário de Vm (Volume médio) – 200 m</w:t>
      </w:r>
      <w:r w:rsidRPr="00487E50">
        <w:rPr>
          <w:color w:val="auto"/>
          <w:highlight w:val="lightGray"/>
          <w:vertAlign w:val="superscript"/>
        </w:rPr>
        <w:t>3</w:t>
      </w:r>
    </w:p>
    <w:p w14:paraId="375923BD" w14:textId="77777777" w:rsidR="00F06117" w:rsidRPr="00487E50" w:rsidRDefault="00F06117" w:rsidP="003B7EA4">
      <w:pPr>
        <w:pStyle w:val="PargrafodaLista"/>
        <w:keepLines w:val="0"/>
        <w:numPr>
          <w:ilvl w:val="2"/>
          <w:numId w:val="46"/>
        </w:numPr>
        <w:tabs>
          <w:tab w:val="clear" w:pos="227"/>
          <w:tab w:val="clear" w:pos="709"/>
        </w:tabs>
        <w:spacing w:before="360" w:after="0" w:line="240" w:lineRule="auto"/>
        <w:ind w:left="2203"/>
        <w:contextualSpacing/>
        <w:rPr>
          <w:color w:val="auto"/>
          <w:highlight w:val="lightGray"/>
        </w:rPr>
      </w:pPr>
      <w:r w:rsidRPr="00487E50">
        <w:rPr>
          <w:color w:val="auto"/>
          <w:highlight w:val="lightGray"/>
        </w:rPr>
        <w:t>Cenário de Vpc (Volume de Pior Caso – 46.742,20 m</w:t>
      </w:r>
      <w:r w:rsidRPr="00487E50">
        <w:rPr>
          <w:color w:val="auto"/>
          <w:highlight w:val="lightGray"/>
          <w:vertAlign w:val="superscript"/>
        </w:rPr>
        <w:t>3</w:t>
      </w:r>
      <w:r w:rsidRPr="00487E50">
        <w:rPr>
          <w:color w:val="auto"/>
          <w:highlight w:val="lightGray"/>
        </w:rPr>
        <w:t>)</w:t>
      </w:r>
    </w:p>
    <w:p w14:paraId="71BCE90B" w14:textId="77777777" w:rsidR="00F06117" w:rsidRPr="00487E50" w:rsidRDefault="00F06117" w:rsidP="003B7EA4">
      <w:pPr>
        <w:spacing w:line="240" w:lineRule="auto"/>
        <w:ind w:left="1483"/>
        <w:rPr>
          <w:rFonts w:asciiTheme="majorHAnsi" w:hAnsiTheme="majorHAnsi"/>
          <w:highlight w:val="lightGray"/>
        </w:rPr>
      </w:pPr>
      <w:r w:rsidRPr="00487E50">
        <w:rPr>
          <w:rFonts w:asciiTheme="majorHAnsi" w:hAnsiTheme="majorHAnsi"/>
          <w:i/>
          <w:highlight w:val="lightGray"/>
        </w:rPr>
        <w:t>{Estas informações serão apresentadas de forma gráfica, através de mapas de probabilidade da presença de óleo, tempo mínimo de chegada e balanço de massa. Nos cenários de volumes médio e de pior caso, serão exibidas as informações para superfície e para a coluna d’água.}</w:t>
      </w:r>
    </w:p>
    <w:p w14:paraId="77452D99" w14:textId="77777777" w:rsidR="00F06117" w:rsidRPr="00487E50" w:rsidRDefault="00F06117" w:rsidP="003B7EA4">
      <w:pPr>
        <w:pStyle w:val="PargrafodaLista"/>
        <w:keepLines w:val="0"/>
        <w:numPr>
          <w:ilvl w:val="0"/>
          <w:numId w:val="46"/>
        </w:numPr>
        <w:tabs>
          <w:tab w:val="clear" w:pos="227"/>
          <w:tab w:val="clear" w:pos="709"/>
        </w:tabs>
        <w:spacing w:before="360" w:after="120" w:line="240" w:lineRule="auto"/>
        <w:ind w:left="763"/>
        <w:contextualSpacing/>
        <w:rPr>
          <w:b/>
          <w:color w:val="auto"/>
          <w:highlight w:val="lightGray"/>
        </w:rPr>
      </w:pPr>
      <w:r w:rsidRPr="00487E50">
        <w:rPr>
          <w:b/>
          <w:color w:val="auto"/>
          <w:highlight w:val="lightGray"/>
        </w:rPr>
        <w:t>Mapas de suporte para análise de deriva</w:t>
      </w:r>
    </w:p>
    <w:p w14:paraId="33F34849" w14:textId="77777777" w:rsidR="00F06117" w:rsidRPr="003B7EA4" w:rsidRDefault="00F06117" w:rsidP="003B7EA4">
      <w:pPr>
        <w:spacing w:before="0" w:line="240" w:lineRule="auto"/>
        <w:ind w:left="763"/>
        <w:rPr>
          <w:rFonts w:asciiTheme="majorHAnsi" w:hAnsiTheme="majorHAnsi"/>
          <w:i/>
        </w:rPr>
      </w:pPr>
      <w:r w:rsidRPr="00487E50">
        <w:rPr>
          <w:rFonts w:asciiTheme="majorHAnsi" w:hAnsiTheme="majorHAnsi"/>
          <w:i/>
          <w:highlight w:val="lightGray"/>
        </w:rPr>
        <w:t>{Mapas de situação, com indicação de posicionamento da unidade e informações ambientais correntes básicas para análise preliminar de possível deslocamento da mancha de óleo. Serão produzidos ao menos três escalas: campo próximo; área do bloco e adjacências imediatas e visão regional (onde conste algum ponto de amarração de costa).}</w:t>
      </w:r>
      <w:r w:rsidRPr="003B7EA4">
        <w:rPr>
          <w:rFonts w:asciiTheme="majorHAnsi" w:hAnsiTheme="majorHAnsi"/>
          <w:i/>
        </w:rPr>
        <w:t xml:space="preserve"> </w:t>
      </w:r>
    </w:p>
    <w:p w14:paraId="1728DC2F" w14:textId="77777777" w:rsidR="00F06117" w:rsidRPr="008D4524" w:rsidRDefault="00F06117" w:rsidP="00F06117">
      <w:pPr>
        <w:ind w:left="1123"/>
        <w:rPr>
          <w:rFonts w:asciiTheme="majorHAnsi" w:hAnsiTheme="majorHAnsi"/>
          <w:i/>
          <w:color w:val="1F497D" w:themeColor="text2"/>
          <w:highlight w:val="yellow"/>
        </w:rPr>
      </w:pPr>
    </w:p>
    <w:p w14:paraId="0CEC3BB7" w14:textId="77777777" w:rsidR="00F06117" w:rsidRPr="00EE0E12" w:rsidRDefault="00F06117" w:rsidP="005368E7">
      <w:pPr>
        <w:pStyle w:val="tier1Itext"/>
        <w:spacing w:before="360"/>
      </w:pPr>
    </w:p>
    <w:p w14:paraId="24E9C515" w14:textId="1D8B7B6D" w:rsidR="00290F16" w:rsidRPr="009D01BE" w:rsidRDefault="001A0409" w:rsidP="006F18B8">
      <w:pPr>
        <w:pStyle w:val="Ttulo3"/>
        <w:ind w:left="1224"/>
      </w:pPr>
      <w:r w:rsidRPr="00C83F24">
        <w:rPr>
          <w:lang w:val="pt-BR"/>
        </w:rPr>
        <w:t xml:space="preserve"> </w:t>
      </w:r>
      <w:bookmarkStart w:id="181" w:name="_Toc527990428"/>
      <w:r w:rsidR="003B5C96" w:rsidRPr="009D01BE">
        <w:t>Amostragem de Óleo</w:t>
      </w:r>
      <w:bookmarkEnd w:id="181"/>
    </w:p>
    <w:p w14:paraId="373A6AB4" w14:textId="77777777" w:rsidR="00B97508" w:rsidRPr="00EE0E12" w:rsidRDefault="00B97508" w:rsidP="00852397">
      <w:pPr>
        <w:pStyle w:val="tier1Itext"/>
      </w:pPr>
      <w:r w:rsidRPr="00EE0E12">
        <w:t xml:space="preserve">A amostragem da mistura do óleo derramando no ambiente marinho, e/ou da água e sedimentos na região de interesse poderá ser realizada em qualquer fase da resposta à emergência, conforme o objetivo desejado (identificação do produto </w:t>
      </w:r>
      <w:r w:rsidR="00BF2A83" w:rsidRPr="00EE0E12">
        <w:t>derramado, análise do grau de in</w:t>
      </w:r>
      <w:r w:rsidRPr="00EE0E12">
        <w:t xml:space="preserve">temperização do óleo, análise da qualidade da água, entre outros). </w:t>
      </w:r>
      <w:r w:rsidRPr="00EE0E12">
        <w:rPr>
          <w:rFonts w:cstheme="majorHAnsi"/>
        </w:rPr>
        <w:t xml:space="preserve">A amostragem é ainda mais crítica nos casos de resposta a manchas órfãs, a fim de garantir a clara identificação da origem do óleo vazado, evidenciando ser diferente dos envolvidos nas operações da perfuração </w:t>
      </w:r>
      <w:r w:rsidR="00D06378">
        <w:rPr>
          <w:rFonts w:cstheme="majorHAnsi"/>
        </w:rPr>
        <w:t xml:space="preserve">da empresa </w:t>
      </w:r>
      <w:r w:rsidRPr="00EE0E12">
        <w:rPr>
          <w:rFonts w:cstheme="majorHAnsi"/>
        </w:rPr>
        <w:t>no Bloco FZA-M-59.</w:t>
      </w:r>
    </w:p>
    <w:p w14:paraId="571C5E72" w14:textId="77777777" w:rsidR="00B97508" w:rsidRPr="00EE0E12" w:rsidRDefault="00B97508" w:rsidP="00852397">
      <w:pPr>
        <w:pStyle w:val="tier1Itext"/>
      </w:pPr>
      <w:r w:rsidRPr="00EE0E12">
        <w:t xml:space="preserve">O processo consiste em utilizar um </w:t>
      </w:r>
      <w:r w:rsidRPr="00EE0E12">
        <w:rPr>
          <w:i/>
        </w:rPr>
        <w:t>kit</w:t>
      </w:r>
      <w:r w:rsidRPr="00EE0E12">
        <w:t xml:space="preserve"> adequado para a coleta da amostra do óleo vazado, preservar esta amostra e preparar a documentação da cadeia de custódia para enviá-lo a um laboratório autorizado no período definido para a realização da análise. As distâncias envolvidas na operação da BP Energy na Foz do Amazonas poderão levar a necessidade de ajustes de logística na coleta e envio das amostras, de forma a se preservar os tempos definidos para as análises.</w:t>
      </w:r>
    </w:p>
    <w:p w14:paraId="76601A32" w14:textId="77777777" w:rsidR="00B97508" w:rsidRPr="00EE0E12" w:rsidRDefault="00B97508" w:rsidP="00852397">
      <w:pPr>
        <w:pStyle w:val="tier1Itext"/>
      </w:pPr>
      <w:r w:rsidRPr="00EE0E12">
        <w:t xml:space="preserve">Com objetivo de permitir uma avaliação inicial rápida, </w:t>
      </w:r>
      <w:r w:rsidRPr="00EE0E12">
        <w:rPr>
          <w:i/>
        </w:rPr>
        <w:t>kits</w:t>
      </w:r>
      <w:r w:rsidRPr="00EE0E12">
        <w:t xml:space="preserve"> de amostragem da mistura do óleo no ambiente marinho estarão disponibilizados na embarcação dedicada e na base de apoio logístico, podendo ser embarcados em qualquer um dos PSVs. Equipamentos adicionais para a realização das campanhas de monitoramento e amostragem poderão ser definidos e mobilizados</w:t>
      </w:r>
      <w:r w:rsidR="00852397">
        <w:t xml:space="preserve"> durante as ações de respostas.</w:t>
      </w:r>
    </w:p>
    <w:p w14:paraId="5FD9E7BF" w14:textId="77777777" w:rsidR="00290F16" w:rsidRPr="00A50E67" w:rsidRDefault="00290F16" w:rsidP="009D01BE">
      <w:pPr>
        <w:pStyle w:val="Ttulo2"/>
        <w:rPr>
          <w:lang w:val="pt-BR"/>
        </w:rPr>
      </w:pPr>
      <w:bookmarkStart w:id="182" w:name="_Ref414612593"/>
      <w:bookmarkStart w:id="183" w:name="_Ref414612625"/>
      <w:bookmarkStart w:id="184" w:name="_Ref414612885"/>
      <w:bookmarkStart w:id="185" w:name="_Ref414612911"/>
      <w:bookmarkStart w:id="186" w:name="_Toc527990429"/>
      <w:r w:rsidRPr="00A50E67">
        <w:rPr>
          <w:lang w:val="pt-BR"/>
        </w:rPr>
        <w:t>Procedimentos para Contenção e Recolhimento de Óleo Derramado</w:t>
      </w:r>
      <w:bookmarkEnd w:id="182"/>
      <w:bookmarkEnd w:id="183"/>
      <w:bookmarkEnd w:id="184"/>
      <w:bookmarkEnd w:id="185"/>
      <w:bookmarkEnd w:id="186"/>
    </w:p>
    <w:p w14:paraId="036A561F" w14:textId="06095486" w:rsidR="00B97508" w:rsidRPr="00EE0E12" w:rsidRDefault="00B97508" w:rsidP="00915026">
      <w:pPr>
        <w:pStyle w:val="tier1Itext"/>
      </w:pPr>
      <w:r w:rsidRPr="00EE0E12">
        <w:t xml:space="preserve">Na ocorrência de um incidente de poluição por óleo no mar durante as atividades da BP Energy na Bacia da Foz do Amazonas, os procedimentos para o combate ao óleo derramado, através de equipamentos para a contenção e recolhimento, deverão ser priorizados sempre que esta técnica for considerada no conjunto de respostas. </w:t>
      </w:r>
    </w:p>
    <w:p w14:paraId="21769E02" w14:textId="197E5D12" w:rsidR="00B97508" w:rsidRPr="00EE0E12" w:rsidRDefault="00B97508" w:rsidP="00852397">
      <w:pPr>
        <w:pStyle w:val="tier1Itext"/>
      </w:pPr>
      <w:r w:rsidRPr="00EE0E12">
        <w:t xml:space="preserve">As condições ambientais momentâneas no local das ações de resposta (como velocidade da corrente, velocidade do vento, altura e frequência de ondas, por exemplo) juntamente com as características do vazamento (espessura e dispersão da mancha) influenciarão diretamente a eficiência de operacionalização </w:t>
      </w:r>
      <w:r w:rsidR="00915026">
        <w:t>da</w:t>
      </w:r>
      <w:r w:rsidRPr="00EE0E12">
        <w:t xml:space="preserve"> estratég</w:t>
      </w:r>
      <w:r w:rsidR="00915026">
        <w:t>ia</w:t>
      </w:r>
      <w:r w:rsidRPr="00EE0E12">
        <w:t xml:space="preserve"> de contenção e recolhimento. </w:t>
      </w:r>
    </w:p>
    <w:p w14:paraId="19EB8FAA" w14:textId="12EFEF26" w:rsidR="00B97508" w:rsidRPr="00EE0E12" w:rsidRDefault="00FB78EA" w:rsidP="00852397">
      <w:pPr>
        <w:pStyle w:val="tier1Itext"/>
      </w:pPr>
      <w:r>
        <w:lastRenderedPageBreak/>
        <w:t>A configuração definida é dimensionada</w:t>
      </w:r>
      <w:r w:rsidR="00DE19B6">
        <w:t xml:space="preserve"> até </w:t>
      </w:r>
      <w:r w:rsidR="00B97508" w:rsidRPr="00EE0E12">
        <w:t xml:space="preserve">cenários com maior velocidade resultante de reboque (de 3 a 5 nós) e em condições de mar mais agitadas (até Beaufort 7 - ventos de moderados a forte [21 a 33 nós] e ondas de até 3.0 m). </w:t>
      </w:r>
      <w:r>
        <w:t>M</w:t>
      </w:r>
      <w:r w:rsidR="00B97508" w:rsidRPr="00EE0E12">
        <w:t xml:space="preserve">anchas mais espalhadas e filmes menos espessos de óleo </w:t>
      </w:r>
      <w:r>
        <w:t>são</w:t>
      </w:r>
      <w:r w:rsidR="00B97508" w:rsidRPr="00EE0E12">
        <w:t xml:space="preserve"> melhor combatidos </w:t>
      </w:r>
      <w:r>
        <w:t>pela tecnologia do sistema</w:t>
      </w:r>
      <w:r w:rsidR="00B97508" w:rsidRPr="00EE0E12">
        <w:t xml:space="preserve">, que prima pela alta capacidade nominal de recolhimento, a despeito do menor </w:t>
      </w:r>
      <w:r w:rsidR="00B97508" w:rsidRPr="00EE0E12">
        <w:rPr>
          <w:i/>
        </w:rPr>
        <w:t>swath</w:t>
      </w:r>
      <w:r>
        <w:rPr>
          <w:rStyle w:val="Refdenotaderodap"/>
          <w:i/>
        </w:rPr>
        <w:footnoteReference w:id="46"/>
      </w:r>
      <w:r w:rsidR="00B97508" w:rsidRPr="00EE0E12">
        <w:t>, também atendendo aos limites operacionais dos equipamentos.</w:t>
      </w:r>
    </w:p>
    <w:p w14:paraId="7CF338F5" w14:textId="00003CA0" w:rsidR="00B97508" w:rsidRPr="00487E50" w:rsidRDefault="00B97508" w:rsidP="00852397">
      <w:pPr>
        <w:pStyle w:val="tier1Itext"/>
      </w:pPr>
      <w:r w:rsidRPr="00852397">
        <w:t xml:space="preserve">A </w:t>
      </w:r>
      <w:r w:rsidRPr="00487E50">
        <w:rPr>
          <w:b/>
        </w:rPr>
        <w:fldChar w:fldCharType="begin"/>
      </w:r>
      <w:r w:rsidRPr="00487E50">
        <w:rPr>
          <w:b/>
        </w:rPr>
        <w:instrText xml:space="preserve"> REF _Ref411453102 \h  \* MERGEFORMAT </w:instrText>
      </w:r>
      <w:r w:rsidRPr="00487E50">
        <w:rPr>
          <w:b/>
        </w:rPr>
      </w:r>
      <w:r w:rsidRPr="00487E50">
        <w:rPr>
          <w:b/>
        </w:rPr>
        <w:fldChar w:fldCharType="separate"/>
      </w:r>
      <w:r w:rsidR="00CD1E9E" w:rsidRPr="00487E50">
        <w:rPr>
          <w:b/>
        </w:rPr>
        <w:t xml:space="preserve">Tabela </w:t>
      </w:r>
      <w:r w:rsidR="00CD1E9E" w:rsidRPr="00487E50">
        <w:rPr>
          <w:b/>
          <w:noProof/>
        </w:rPr>
        <w:t>15</w:t>
      </w:r>
      <w:r w:rsidRPr="00487E50">
        <w:rPr>
          <w:b/>
        </w:rPr>
        <w:fldChar w:fldCharType="end"/>
      </w:r>
      <w:r w:rsidRPr="00487E50">
        <w:t xml:space="preserve"> resume as principais características analisadas da configuraç</w:t>
      </w:r>
      <w:r w:rsidR="00FB78EA" w:rsidRPr="00487E50">
        <w:t>ão escolhida para a resposta a</w:t>
      </w:r>
      <w:r w:rsidRPr="00487E50">
        <w:t xml:space="preserve"> um evento </w:t>
      </w:r>
      <w:r w:rsidR="00FB78EA" w:rsidRPr="00487E50">
        <w:t>de</w:t>
      </w:r>
      <w:r w:rsidRPr="00487E50">
        <w:t xml:space="preserve"> vazamento de óleo.</w:t>
      </w:r>
    </w:p>
    <w:tbl>
      <w:tblPr>
        <w:tblW w:w="5000" w:type="pct"/>
        <w:tblLayout w:type="fixed"/>
        <w:tblCellMar>
          <w:left w:w="70" w:type="dxa"/>
          <w:right w:w="70" w:type="dxa"/>
        </w:tblCellMar>
        <w:tblLook w:val="04A0" w:firstRow="1" w:lastRow="0" w:firstColumn="1" w:lastColumn="0" w:noHBand="0" w:noVBand="1"/>
      </w:tblPr>
      <w:tblGrid>
        <w:gridCol w:w="1592"/>
        <w:gridCol w:w="1515"/>
        <w:gridCol w:w="1517"/>
        <w:gridCol w:w="1472"/>
        <w:gridCol w:w="1474"/>
        <w:gridCol w:w="1470"/>
      </w:tblGrid>
      <w:tr w:rsidR="00B97508" w:rsidRPr="00EE0E12" w14:paraId="4F0DA7E7" w14:textId="77777777" w:rsidTr="00852397">
        <w:trPr>
          <w:trHeight w:val="340"/>
          <w:tblHeader/>
        </w:trPr>
        <w:tc>
          <w:tcPr>
            <w:tcW w:w="5000" w:type="pct"/>
            <w:gridSpan w:val="6"/>
            <w:tcBorders>
              <w:top w:val="single" w:sz="12" w:space="0" w:color="FFFFFF"/>
              <w:left w:val="single" w:sz="12" w:space="0" w:color="FFFFFF"/>
              <w:bottom w:val="single" w:sz="12" w:space="0" w:color="FFFFFF" w:themeColor="background1"/>
              <w:right w:val="single" w:sz="12" w:space="0" w:color="FFFFFF"/>
            </w:tcBorders>
            <w:shd w:val="clear" w:color="auto" w:fill="FFFFFF" w:themeFill="background1"/>
            <w:vAlign w:val="bottom"/>
          </w:tcPr>
          <w:p w14:paraId="19DD04CB" w14:textId="58DFCA8B" w:rsidR="00B97508" w:rsidRPr="00EE0E12" w:rsidRDefault="00B97508" w:rsidP="00FB78EA">
            <w:pPr>
              <w:pStyle w:val="Legenda"/>
              <w:spacing w:before="0" w:after="0" w:line="240" w:lineRule="auto"/>
              <w:jc w:val="left"/>
              <w:rPr>
                <w:rFonts w:cs="Times New Roman"/>
                <w:bCs/>
                <w:color w:val="FFFFFF"/>
                <w:lang w:eastAsia="pt-BR"/>
              </w:rPr>
            </w:pPr>
            <w:bookmarkStart w:id="187" w:name="_Ref411453102"/>
            <w:bookmarkStart w:id="188" w:name="_Toc412812270"/>
            <w:bookmarkStart w:id="189" w:name="_Toc527990490"/>
            <w:r w:rsidRPr="00487E50">
              <w:t xml:space="preserve">Tabela </w:t>
            </w:r>
            <w:fldSimple w:instr=" SEQ Tabela \* ARABIC ">
              <w:r w:rsidR="00CD1E9E" w:rsidRPr="00487E50">
                <w:rPr>
                  <w:noProof/>
                </w:rPr>
                <w:t>15</w:t>
              </w:r>
            </w:fldSimple>
            <w:bookmarkEnd w:id="187"/>
            <w:r w:rsidRPr="00487E50">
              <w:t xml:space="preserve">: Características </w:t>
            </w:r>
            <w:r w:rsidR="00FB78EA" w:rsidRPr="00487E50">
              <w:t>da</w:t>
            </w:r>
            <w:r w:rsidRPr="00487E50">
              <w:t xml:space="preserve"> estratégia adotada</w:t>
            </w:r>
            <w:bookmarkEnd w:id="188"/>
            <w:r w:rsidR="00852397" w:rsidRPr="00487E50">
              <w:t>.</w:t>
            </w:r>
            <w:bookmarkEnd w:id="189"/>
          </w:p>
        </w:tc>
      </w:tr>
      <w:tr w:rsidR="00B97508" w:rsidRPr="00EE0E12" w14:paraId="21ADA114" w14:textId="77777777" w:rsidTr="00FB78EA">
        <w:trPr>
          <w:trHeight w:val="254"/>
          <w:tblHeader/>
        </w:trPr>
        <w:tc>
          <w:tcPr>
            <w:tcW w:w="881" w:type="pct"/>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1F497D"/>
            <w:vAlign w:val="center"/>
            <w:hideMark/>
          </w:tcPr>
          <w:p w14:paraId="59EF1FAF" w14:textId="252E6A43" w:rsidR="00B97508" w:rsidRPr="00EE0E12" w:rsidRDefault="00FB78EA" w:rsidP="00852397">
            <w:pPr>
              <w:keepNext/>
              <w:keepLines/>
              <w:tabs>
                <w:tab w:val="left" w:pos="5529"/>
              </w:tabs>
              <w:spacing w:before="0" w:line="240" w:lineRule="auto"/>
              <w:jc w:val="center"/>
              <w:rPr>
                <w:rFonts w:asciiTheme="majorHAnsi" w:hAnsiTheme="majorHAnsi" w:cs="Times New Roman"/>
                <w:b/>
                <w:bCs/>
                <w:color w:val="FFFFFF"/>
                <w:sz w:val="20"/>
                <w:szCs w:val="20"/>
              </w:rPr>
            </w:pPr>
            <w:r>
              <w:rPr>
                <w:rFonts w:asciiTheme="majorHAnsi" w:hAnsiTheme="majorHAnsi" w:cs="Times New Roman"/>
                <w:b/>
                <w:bCs/>
                <w:color w:val="FFFFFF"/>
                <w:sz w:val="20"/>
                <w:szCs w:val="20"/>
              </w:rPr>
              <w:t>Sistema de Recolhimento</w:t>
            </w:r>
          </w:p>
        </w:tc>
        <w:tc>
          <w:tcPr>
            <w:tcW w:w="838" w:type="pct"/>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1F497D"/>
            <w:vAlign w:val="center"/>
          </w:tcPr>
          <w:p w14:paraId="459F6373" w14:textId="77777777" w:rsidR="00B97508" w:rsidRPr="00EE0E12" w:rsidRDefault="00B97508" w:rsidP="00852397">
            <w:pPr>
              <w:keepNext/>
              <w:keepLines/>
              <w:tabs>
                <w:tab w:val="left" w:pos="4913"/>
                <w:tab w:val="left" w:pos="5529"/>
              </w:tabs>
              <w:spacing w:before="0" w:line="240" w:lineRule="auto"/>
              <w:jc w:val="center"/>
              <w:rPr>
                <w:rFonts w:asciiTheme="majorHAnsi" w:hAnsiTheme="majorHAnsi" w:cs="Times New Roman"/>
                <w:b/>
                <w:bCs/>
                <w:color w:val="FFFFFF"/>
                <w:sz w:val="20"/>
                <w:szCs w:val="20"/>
              </w:rPr>
            </w:pPr>
            <w:r w:rsidRPr="00EE0E12">
              <w:rPr>
                <w:rFonts w:asciiTheme="majorHAnsi" w:hAnsiTheme="majorHAnsi" w:cs="Times New Roman"/>
                <w:b/>
                <w:bCs/>
                <w:color w:val="FFFFFF"/>
                <w:sz w:val="20"/>
                <w:szCs w:val="20"/>
              </w:rPr>
              <w:t>Tipo de óleo</w:t>
            </w:r>
          </w:p>
        </w:tc>
        <w:tc>
          <w:tcPr>
            <w:tcW w:w="3281" w:type="pct"/>
            <w:gridSpan w:val="4"/>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1F497D"/>
          </w:tcPr>
          <w:p w14:paraId="0EB71BAE" w14:textId="77777777" w:rsidR="00B97508" w:rsidRPr="00EE0E12" w:rsidRDefault="00F9135C" w:rsidP="00852397">
            <w:pPr>
              <w:keepNext/>
              <w:keepLines/>
              <w:tabs>
                <w:tab w:val="left" w:pos="5529"/>
              </w:tabs>
              <w:spacing w:before="0" w:line="240" w:lineRule="auto"/>
              <w:jc w:val="center"/>
              <w:rPr>
                <w:rFonts w:asciiTheme="majorHAnsi" w:hAnsiTheme="majorHAnsi" w:cs="Times New Roman"/>
                <w:b/>
                <w:bCs/>
                <w:color w:val="FFFFFF"/>
                <w:sz w:val="20"/>
                <w:szCs w:val="20"/>
              </w:rPr>
            </w:pPr>
            <w:r w:rsidRPr="00EE0E12">
              <w:rPr>
                <w:rFonts w:asciiTheme="majorHAnsi" w:hAnsiTheme="majorHAnsi" w:cs="Times New Roman"/>
                <w:b/>
                <w:bCs/>
                <w:color w:val="FFFFFF"/>
                <w:sz w:val="20"/>
                <w:szCs w:val="20"/>
              </w:rPr>
              <w:t>Referência</w:t>
            </w:r>
            <w:r w:rsidR="00B97508" w:rsidRPr="00EE0E12">
              <w:rPr>
                <w:rFonts w:asciiTheme="majorHAnsi" w:hAnsiTheme="majorHAnsi" w:cs="Times New Roman"/>
                <w:b/>
                <w:bCs/>
                <w:color w:val="FFFFFF"/>
                <w:sz w:val="20"/>
                <w:szCs w:val="20"/>
              </w:rPr>
              <w:t xml:space="preserve"> de Condições meteoceanográficas limites </w:t>
            </w:r>
          </w:p>
        </w:tc>
      </w:tr>
      <w:tr w:rsidR="00B97508" w:rsidRPr="00EE0E12" w14:paraId="1827BE10" w14:textId="77777777" w:rsidTr="00FB78EA">
        <w:trPr>
          <w:trHeight w:val="248"/>
          <w:tblHeader/>
        </w:trPr>
        <w:tc>
          <w:tcPr>
            <w:tcW w:w="881"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vAlign w:val="center"/>
          </w:tcPr>
          <w:p w14:paraId="1D093EF4" w14:textId="77777777" w:rsidR="00B97508" w:rsidRPr="00EE0E12" w:rsidRDefault="00B97508" w:rsidP="00852397">
            <w:pPr>
              <w:keepNext/>
              <w:keepLines/>
              <w:tabs>
                <w:tab w:val="left" w:pos="5529"/>
              </w:tabs>
              <w:spacing w:before="0" w:line="240" w:lineRule="auto"/>
              <w:rPr>
                <w:rFonts w:asciiTheme="majorHAnsi" w:hAnsiTheme="majorHAnsi" w:cs="Times New Roman"/>
                <w:b/>
                <w:bCs/>
                <w:color w:val="FFFFFF"/>
                <w:sz w:val="20"/>
                <w:szCs w:val="20"/>
              </w:rPr>
            </w:pPr>
          </w:p>
        </w:tc>
        <w:tc>
          <w:tcPr>
            <w:tcW w:w="838"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1F497D"/>
          </w:tcPr>
          <w:p w14:paraId="06C0E372" w14:textId="77777777" w:rsidR="00B97508" w:rsidRPr="00EE0E12" w:rsidRDefault="00B97508" w:rsidP="00852397">
            <w:pPr>
              <w:keepNext/>
              <w:keepLines/>
              <w:tabs>
                <w:tab w:val="left" w:pos="5529"/>
              </w:tabs>
              <w:spacing w:before="0" w:line="240" w:lineRule="auto"/>
              <w:jc w:val="center"/>
              <w:rPr>
                <w:rFonts w:asciiTheme="majorHAnsi" w:hAnsiTheme="majorHAnsi" w:cs="Times New Roman"/>
                <w:b/>
                <w:bCs/>
                <w:color w:val="FFFFFF"/>
                <w:sz w:val="20"/>
                <w:szCs w:val="20"/>
              </w:rPr>
            </w:pPr>
          </w:p>
        </w:tc>
        <w:tc>
          <w:tcPr>
            <w:tcW w:w="839" w:type="pct"/>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1F497D"/>
            <w:vAlign w:val="center"/>
          </w:tcPr>
          <w:p w14:paraId="30E246DC" w14:textId="77777777" w:rsidR="00B97508" w:rsidRPr="00EE0E12" w:rsidRDefault="00B97508" w:rsidP="00852397">
            <w:pPr>
              <w:keepNext/>
              <w:keepLines/>
              <w:tabs>
                <w:tab w:val="left" w:pos="5529"/>
              </w:tabs>
              <w:spacing w:before="0" w:line="240" w:lineRule="auto"/>
              <w:jc w:val="center"/>
              <w:rPr>
                <w:rFonts w:asciiTheme="majorHAnsi" w:hAnsiTheme="majorHAnsi" w:cs="Times New Roman"/>
                <w:b/>
                <w:bCs/>
                <w:color w:val="FFFFFF"/>
                <w:sz w:val="20"/>
                <w:szCs w:val="20"/>
              </w:rPr>
            </w:pPr>
            <w:r w:rsidRPr="00EE0E12">
              <w:rPr>
                <w:rFonts w:asciiTheme="majorHAnsi" w:hAnsiTheme="majorHAnsi" w:cs="Times New Roman"/>
                <w:b/>
                <w:bCs/>
                <w:color w:val="FFFFFF"/>
                <w:sz w:val="20"/>
                <w:szCs w:val="20"/>
              </w:rPr>
              <w:t>Velocidade de arraste</w:t>
            </w:r>
          </w:p>
          <w:p w14:paraId="73C53378" w14:textId="77777777" w:rsidR="00B97508" w:rsidRPr="00EE0E12" w:rsidRDefault="00B97508" w:rsidP="00852397">
            <w:pPr>
              <w:keepNext/>
              <w:keepLines/>
              <w:tabs>
                <w:tab w:val="left" w:pos="5529"/>
              </w:tabs>
              <w:spacing w:before="0" w:line="240" w:lineRule="auto"/>
              <w:jc w:val="center"/>
              <w:rPr>
                <w:rFonts w:asciiTheme="majorHAnsi" w:hAnsiTheme="majorHAnsi" w:cs="Times New Roman"/>
                <w:b/>
                <w:bCs/>
                <w:color w:val="FFFFFF"/>
                <w:sz w:val="20"/>
                <w:szCs w:val="20"/>
              </w:rPr>
            </w:pPr>
            <w:r w:rsidRPr="00EE0E12">
              <w:rPr>
                <w:rFonts w:asciiTheme="majorHAnsi" w:hAnsiTheme="majorHAnsi" w:cs="Times New Roman"/>
                <w:b/>
                <w:bCs/>
                <w:color w:val="FFFFFF"/>
                <w:sz w:val="20"/>
                <w:szCs w:val="20"/>
              </w:rPr>
              <w:t>(nós)</w:t>
            </w:r>
          </w:p>
        </w:tc>
        <w:tc>
          <w:tcPr>
            <w:tcW w:w="2442" w:type="pct"/>
            <w:gridSpan w:val="3"/>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1F497D"/>
            <w:vAlign w:val="center"/>
          </w:tcPr>
          <w:p w14:paraId="6F5482B8" w14:textId="77777777" w:rsidR="00B97508" w:rsidRPr="00EE0E12" w:rsidRDefault="00B97508" w:rsidP="00852397">
            <w:pPr>
              <w:keepNext/>
              <w:keepLines/>
              <w:tabs>
                <w:tab w:val="left" w:pos="5529"/>
              </w:tabs>
              <w:spacing w:before="0" w:line="240" w:lineRule="auto"/>
              <w:jc w:val="center"/>
              <w:rPr>
                <w:rFonts w:asciiTheme="majorHAnsi" w:hAnsiTheme="majorHAnsi" w:cs="Times New Roman"/>
                <w:b/>
                <w:bCs/>
                <w:color w:val="FFFFFF"/>
                <w:sz w:val="20"/>
                <w:szCs w:val="20"/>
              </w:rPr>
            </w:pPr>
            <w:r w:rsidRPr="00EE0E12">
              <w:rPr>
                <w:rFonts w:asciiTheme="majorHAnsi" w:hAnsiTheme="majorHAnsi" w:cs="Times New Roman"/>
                <w:b/>
                <w:bCs/>
                <w:color w:val="FFFFFF"/>
                <w:sz w:val="20"/>
                <w:szCs w:val="20"/>
              </w:rPr>
              <w:t>Escala Beaufort</w:t>
            </w:r>
          </w:p>
        </w:tc>
      </w:tr>
      <w:tr w:rsidR="00B97508" w:rsidRPr="00EE0E12" w14:paraId="77C20A73" w14:textId="77777777" w:rsidTr="00FB78EA">
        <w:trPr>
          <w:trHeight w:val="686"/>
          <w:tblHeader/>
        </w:trPr>
        <w:tc>
          <w:tcPr>
            <w:tcW w:w="881"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vAlign w:val="center"/>
            <w:hideMark/>
          </w:tcPr>
          <w:p w14:paraId="47B330F9" w14:textId="77777777" w:rsidR="00B97508" w:rsidRPr="00EE0E12" w:rsidRDefault="00B97508" w:rsidP="00852397">
            <w:pPr>
              <w:tabs>
                <w:tab w:val="left" w:pos="5529"/>
              </w:tabs>
              <w:spacing w:before="0" w:line="240" w:lineRule="auto"/>
              <w:rPr>
                <w:rFonts w:asciiTheme="majorHAnsi" w:hAnsiTheme="majorHAnsi" w:cs="Times New Roman"/>
                <w:b/>
                <w:bCs/>
                <w:color w:val="FFFFFF"/>
                <w:sz w:val="20"/>
                <w:szCs w:val="20"/>
              </w:rPr>
            </w:pPr>
          </w:p>
        </w:tc>
        <w:tc>
          <w:tcPr>
            <w:tcW w:w="838"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1F497D"/>
          </w:tcPr>
          <w:p w14:paraId="406A8D09" w14:textId="77777777" w:rsidR="00B97508" w:rsidRPr="00EE0E12" w:rsidRDefault="00B97508" w:rsidP="00852397">
            <w:pPr>
              <w:tabs>
                <w:tab w:val="left" w:pos="5529"/>
              </w:tabs>
              <w:spacing w:before="0" w:line="240" w:lineRule="auto"/>
              <w:jc w:val="center"/>
              <w:rPr>
                <w:rFonts w:asciiTheme="majorHAnsi" w:hAnsiTheme="majorHAnsi" w:cs="Times New Roman"/>
                <w:b/>
                <w:bCs/>
                <w:color w:val="FFFFFF"/>
                <w:sz w:val="20"/>
                <w:szCs w:val="20"/>
              </w:rPr>
            </w:pPr>
          </w:p>
        </w:tc>
        <w:tc>
          <w:tcPr>
            <w:tcW w:w="839"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1F497D"/>
          </w:tcPr>
          <w:p w14:paraId="52B15E2C" w14:textId="77777777" w:rsidR="00B97508" w:rsidRPr="00EE0E12" w:rsidRDefault="00B97508" w:rsidP="00852397">
            <w:pPr>
              <w:tabs>
                <w:tab w:val="left" w:pos="5529"/>
              </w:tabs>
              <w:spacing w:before="0" w:line="240" w:lineRule="auto"/>
              <w:jc w:val="center"/>
              <w:rPr>
                <w:rFonts w:asciiTheme="majorHAnsi" w:hAnsiTheme="majorHAnsi" w:cs="Times New Roman"/>
                <w:b/>
                <w:bCs/>
                <w:color w:val="FFFFFF"/>
                <w:sz w:val="20"/>
                <w:szCs w:val="20"/>
              </w:rPr>
            </w:pPr>
          </w:p>
        </w:tc>
        <w:tc>
          <w:tcPr>
            <w:tcW w:w="81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1F497D"/>
            <w:vAlign w:val="center"/>
            <w:hideMark/>
          </w:tcPr>
          <w:p w14:paraId="797697E5" w14:textId="77777777" w:rsidR="00B97508" w:rsidRPr="00EE0E12" w:rsidRDefault="00B97508" w:rsidP="00852397">
            <w:pPr>
              <w:tabs>
                <w:tab w:val="left" w:pos="5529"/>
              </w:tabs>
              <w:spacing w:before="0" w:line="240" w:lineRule="auto"/>
              <w:jc w:val="center"/>
              <w:rPr>
                <w:rFonts w:asciiTheme="majorHAnsi" w:hAnsiTheme="majorHAnsi" w:cs="Times New Roman"/>
                <w:b/>
                <w:bCs/>
                <w:color w:val="FFFFFF"/>
                <w:sz w:val="20"/>
                <w:szCs w:val="20"/>
              </w:rPr>
            </w:pPr>
            <w:r w:rsidRPr="00EE0E12">
              <w:rPr>
                <w:rFonts w:asciiTheme="majorHAnsi" w:hAnsiTheme="majorHAnsi" w:cs="Times New Roman"/>
                <w:b/>
                <w:bCs/>
                <w:color w:val="FFFFFF"/>
                <w:sz w:val="20"/>
                <w:szCs w:val="20"/>
              </w:rPr>
              <w:t xml:space="preserve">Classe </w:t>
            </w:r>
          </w:p>
        </w:tc>
        <w:tc>
          <w:tcPr>
            <w:tcW w:w="81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1F497D"/>
            <w:vAlign w:val="center"/>
            <w:hideMark/>
          </w:tcPr>
          <w:p w14:paraId="55AE2B32" w14:textId="77777777" w:rsidR="00B97508" w:rsidRPr="00EE0E12" w:rsidRDefault="00B97508" w:rsidP="00852397">
            <w:pPr>
              <w:tabs>
                <w:tab w:val="left" w:pos="5529"/>
              </w:tabs>
              <w:spacing w:before="0" w:line="240" w:lineRule="auto"/>
              <w:jc w:val="center"/>
              <w:rPr>
                <w:rFonts w:asciiTheme="majorHAnsi" w:hAnsiTheme="majorHAnsi" w:cs="Times New Roman"/>
                <w:b/>
                <w:bCs/>
                <w:color w:val="FFFFFF"/>
                <w:sz w:val="20"/>
                <w:szCs w:val="20"/>
              </w:rPr>
            </w:pPr>
            <w:r w:rsidRPr="00EE0E12">
              <w:rPr>
                <w:rFonts w:asciiTheme="majorHAnsi" w:hAnsiTheme="majorHAnsi" w:cs="Times New Roman"/>
                <w:b/>
                <w:bCs/>
                <w:color w:val="FFFFFF"/>
                <w:sz w:val="20"/>
                <w:szCs w:val="20"/>
              </w:rPr>
              <w:t>Velocidade do vento</w:t>
            </w:r>
          </w:p>
          <w:p w14:paraId="15BBF283" w14:textId="77777777" w:rsidR="00B97508" w:rsidRPr="00EE0E12" w:rsidRDefault="00B97508" w:rsidP="00852397">
            <w:pPr>
              <w:tabs>
                <w:tab w:val="left" w:pos="5529"/>
              </w:tabs>
              <w:spacing w:before="0" w:line="240" w:lineRule="auto"/>
              <w:jc w:val="center"/>
              <w:rPr>
                <w:rFonts w:asciiTheme="majorHAnsi" w:hAnsiTheme="majorHAnsi" w:cs="Times New Roman"/>
                <w:b/>
                <w:bCs/>
                <w:color w:val="FFFFFF"/>
                <w:sz w:val="20"/>
                <w:szCs w:val="20"/>
              </w:rPr>
            </w:pPr>
            <w:r w:rsidRPr="00EE0E12">
              <w:rPr>
                <w:rFonts w:asciiTheme="majorHAnsi" w:hAnsiTheme="majorHAnsi" w:cs="Times New Roman"/>
                <w:b/>
                <w:bCs/>
                <w:color w:val="FFFFFF"/>
                <w:sz w:val="20"/>
                <w:szCs w:val="20"/>
              </w:rPr>
              <w:t>(nós)</w:t>
            </w:r>
          </w:p>
        </w:tc>
        <w:tc>
          <w:tcPr>
            <w:tcW w:w="81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1F497D"/>
            <w:vAlign w:val="center"/>
            <w:hideMark/>
          </w:tcPr>
          <w:p w14:paraId="66533ACB" w14:textId="77777777" w:rsidR="00B97508" w:rsidRPr="00EE0E12" w:rsidRDefault="00B97508" w:rsidP="00852397">
            <w:pPr>
              <w:tabs>
                <w:tab w:val="left" w:pos="5529"/>
              </w:tabs>
              <w:spacing w:before="0" w:line="240" w:lineRule="auto"/>
              <w:jc w:val="center"/>
              <w:rPr>
                <w:rFonts w:asciiTheme="majorHAnsi" w:hAnsiTheme="majorHAnsi" w:cs="Times New Roman"/>
                <w:b/>
                <w:bCs/>
                <w:color w:val="FFFFFF"/>
                <w:sz w:val="20"/>
                <w:szCs w:val="20"/>
              </w:rPr>
            </w:pPr>
            <w:r w:rsidRPr="00EE0E12">
              <w:rPr>
                <w:rFonts w:asciiTheme="majorHAnsi" w:hAnsiTheme="majorHAnsi" w:cs="Times New Roman"/>
                <w:b/>
                <w:bCs/>
                <w:color w:val="FFFFFF"/>
                <w:sz w:val="20"/>
                <w:szCs w:val="20"/>
              </w:rPr>
              <w:t>Altura das ondas</w:t>
            </w:r>
          </w:p>
          <w:p w14:paraId="22036839" w14:textId="77777777" w:rsidR="00B97508" w:rsidRPr="00EE0E12" w:rsidRDefault="00B97508" w:rsidP="00852397">
            <w:pPr>
              <w:tabs>
                <w:tab w:val="left" w:pos="5529"/>
              </w:tabs>
              <w:spacing w:before="0" w:line="240" w:lineRule="auto"/>
              <w:jc w:val="center"/>
              <w:rPr>
                <w:rFonts w:asciiTheme="majorHAnsi" w:hAnsiTheme="majorHAnsi" w:cs="Times New Roman"/>
                <w:b/>
                <w:bCs/>
                <w:color w:val="FFFFFF"/>
                <w:sz w:val="20"/>
                <w:szCs w:val="20"/>
              </w:rPr>
            </w:pPr>
            <w:r w:rsidRPr="00EE0E12">
              <w:rPr>
                <w:rFonts w:asciiTheme="majorHAnsi" w:hAnsiTheme="majorHAnsi" w:cs="Times New Roman"/>
                <w:b/>
                <w:bCs/>
                <w:color w:val="FFFFFF"/>
                <w:sz w:val="20"/>
                <w:szCs w:val="20"/>
              </w:rPr>
              <w:t>(m)</w:t>
            </w:r>
          </w:p>
        </w:tc>
      </w:tr>
      <w:tr w:rsidR="00B97508" w:rsidRPr="00EE0E12" w14:paraId="751BE694" w14:textId="77777777" w:rsidTr="00FB78EA">
        <w:trPr>
          <w:cantSplit/>
          <w:trHeight w:val="882"/>
        </w:trPr>
        <w:tc>
          <w:tcPr>
            <w:tcW w:w="88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F2F2F2"/>
            <w:vAlign w:val="center"/>
          </w:tcPr>
          <w:p w14:paraId="33661A7C" w14:textId="7D0D2F92" w:rsidR="00B97508" w:rsidRPr="00EE0E12" w:rsidRDefault="00FB78EA" w:rsidP="00852397">
            <w:pPr>
              <w:tabs>
                <w:tab w:val="left" w:pos="5529"/>
              </w:tabs>
              <w:spacing w:before="0" w:line="240" w:lineRule="auto"/>
              <w:jc w:val="center"/>
              <w:rPr>
                <w:rFonts w:asciiTheme="majorHAnsi" w:hAnsiTheme="majorHAnsi" w:cs="Times New Roman"/>
                <w:i/>
                <w:color w:val="000000"/>
                <w:sz w:val="20"/>
                <w:szCs w:val="20"/>
              </w:rPr>
            </w:pPr>
            <w:r>
              <w:rPr>
                <w:rFonts w:asciiTheme="majorHAnsi" w:hAnsiTheme="majorHAnsi" w:cs="Times New Roman"/>
                <w:i/>
                <w:color w:val="000000"/>
                <w:sz w:val="20"/>
                <w:szCs w:val="20"/>
              </w:rPr>
              <w:t>CB 6 com bomba integrada</w:t>
            </w:r>
          </w:p>
        </w:tc>
        <w:tc>
          <w:tcPr>
            <w:tcW w:w="83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F2F2F2"/>
            <w:vAlign w:val="center"/>
          </w:tcPr>
          <w:p w14:paraId="6F12DF89" w14:textId="77777777" w:rsidR="00B97508" w:rsidRPr="00EE0E12" w:rsidRDefault="00B97508" w:rsidP="00852397">
            <w:pPr>
              <w:tabs>
                <w:tab w:val="left" w:pos="5529"/>
              </w:tabs>
              <w:spacing w:before="0" w:line="240" w:lineRule="auto"/>
              <w:jc w:val="center"/>
              <w:rPr>
                <w:rFonts w:asciiTheme="majorHAnsi" w:hAnsiTheme="majorHAnsi" w:cs="Times New Roman"/>
                <w:color w:val="000000"/>
                <w:sz w:val="20"/>
                <w:szCs w:val="20"/>
              </w:rPr>
            </w:pPr>
            <w:r w:rsidRPr="00EE0E12">
              <w:rPr>
                <w:rFonts w:asciiTheme="majorHAnsi" w:hAnsiTheme="majorHAnsi" w:cs="Times New Roman"/>
                <w:color w:val="000000"/>
                <w:sz w:val="20"/>
                <w:szCs w:val="20"/>
              </w:rPr>
              <w:t>Todos os tipos de óleo</w:t>
            </w:r>
          </w:p>
        </w:tc>
        <w:tc>
          <w:tcPr>
            <w:tcW w:w="83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F2F2F2"/>
            <w:vAlign w:val="center"/>
          </w:tcPr>
          <w:p w14:paraId="42167877" w14:textId="77777777" w:rsidR="00B97508" w:rsidRPr="00EE0E12" w:rsidRDefault="00B97508" w:rsidP="00852397">
            <w:pPr>
              <w:tabs>
                <w:tab w:val="left" w:pos="5529"/>
              </w:tabs>
              <w:spacing w:before="0" w:line="240" w:lineRule="auto"/>
              <w:jc w:val="center"/>
              <w:rPr>
                <w:rFonts w:asciiTheme="majorHAnsi" w:hAnsiTheme="majorHAnsi" w:cs="Times New Roman"/>
                <w:color w:val="000000"/>
                <w:sz w:val="20"/>
                <w:szCs w:val="20"/>
              </w:rPr>
            </w:pPr>
            <w:r w:rsidRPr="00EE0E12">
              <w:rPr>
                <w:rFonts w:asciiTheme="majorHAnsi" w:hAnsiTheme="majorHAnsi" w:cs="Times New Roman"/>
                <w:color w:val="000000"/>
                <w:sz w:val="20"/>
                <w:szCs w:val="20"/>
              </w:rPr>
              <w:t xml:space="preserve">Até 5,0 </w:t>
            </w:r>
          </w:p>
        </w:tc>
        <w:tc>
          <w:tcPr>
            <w:tcW w:w="81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F2F2F2"/>
            <w:vAlign w:val="center"/>
          </w:tcPr>
          <w:p w14:paraId="73184412" w14:textId="77777777" w:rsidR="00B97508" w:rsidRPr="00EE0E12" w:rsidRDefault="00B97508" w:rsidP="00852397">
            <w:pPr>
              <w:tabs>
                <w:tab w:val="left" w:pos="5529"/>
              </w:tabs>
              <w:spacing w:before="0" w:line="240" w:lineRule="auto"/>
              <w:jc w:val="center"/>
              <w:rPr>
                <w:rFonts w:asciiTheme="majorHAnsi" w:hAnsiTheme="majorHAnsi" w:cs="Times New Roman"/>
                <w:color w:val="000000"/>
                <w:sz w:val="20"/>
                <w:szCs w:val="20"/>
              </w:rPr>
            </w:pPr>
            <w:r w:rsidRPr="00EE0E12">
              <w:rPr>
                <w:rFonts w:asciiTheme="majorHAnsi" w:hAnsiTheme="majorHAnsi" w:cs="Times New Roman"/>
                <w:color w:val="000000"/>
                <w:sz w:val="20"/>
                <w:szCs w:val="20"/>
              </w:rPr>
              <w:t>Até 7</w:t>
            </w:r>
          </w:p>
        </w:tc>
        <w:tc>
          <w:tcPr>
            <w:tcW w:w="81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F2F2F2"/>
            <w:vAlign w:val="center"/>
          </w:tcPr>
          <w:p w14:paraId="04F85463" w14:textId="77777777" w:rsidR="00B97508" w:rsidRPr="00EE0E12" w:rsidRDefault="00B97508" w:rsidP="00852397">
            <w:pPr>
              <w:tabs>
                <w:tab w:val="left" w:pos="5529"/>
              </w:tabs>
              <w:spacing w:before="0" w:line="240" w:lineRule="auto"/>
              <w:jc w:val="center"/>
              <w:rPr>
                <w:rFonts w:asciiTheme="majorHAnsi" w:hAnsiTheme="majorHAnsi" w:cs="Times New Roman"/>
                <w:color w:val="000000"/>
                <w:sz w:val="20"/>
                <w:szCs w:val="20"/>
              </w:rPr>
            </w:pPr>
            <w:r w:rsidRPr="00EE0E12">
              <w:rPr>
                <w:rFonts w:asciiTheme="majorHAnsi" w:hAnsiTheme="majorHAnsi" w:cs="Times New Roman"/>
                <w:color w:val="000000"/>
                <w:sz w:val="20"/>
                <w:szCs w:val="20"/>
              </w:rPr>
              <w:t>21 a 33</w:t>
            </w:r>
          </w:p>
        </w:tc>
        <w:tc>
          <w:tcPr>
            <w:tcW w:w="81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F2F2F2"/>
            <w:vAlign w:val="center"/>
          </w:tcPr>
          <w:p w14:paraId="45CA1888" w14:textId="77777777" w:rsidR="00B97508" w:rsidRPr="00EE0E12" w:rsidRDefault="00B97508" w:rsidP="00852397">
            <w:pPr>
              <w:keepNext/>
              <w:tabs>
                <w:tab w:val="left" w:pos="5529"/>
              </w:tabs>
              <w:spacing w:before="0" w:line="240" w:lineRule="auto"/>
              <w:jc w:val="center"/>
              <w:rPr>
                <w:rFonts w:asciiTheme="majorHAnsi" w:hAnsiTheme="majorHAnsi" w:cs="Times New Roman"/>
                <w:color w:val="000000"/>
                <w:sz w:val="20"/>
                <w:szCs w:val="20"/>
              </w:rPr>
            </w:pPr>
            <w:r w:rsidRPr="00EE0E12">
              <w:rPr>
                <w:rFonts w:asciiTheme="majorHAnsi" w:hAnsiTheme="majorHAnsi" w:cs="Times New Roman"/>
                <w:color w:val="000000"/>
                <w:sz w:val="20"/>
                <w:szCs w:val="20"/>
              </w:rPr>
              <w:t>até 3,0</w:t>
            </w:r>
          </w:p>
        </w:tc>
      </w:tr>
    </w:tbl>
    <w:p w14:paraId="4A69BF6A" w14:textId="77777777" w:rsidR="00B97508" w:rsidRPr="00EE0E12" w:rsidRDefault="00B97508" w:rsidP="00852397">
      <w:pPr>
        <w:pStyle w:val="tier1Itext"/>
        <w:spacing w:before="360"/>
      </w:pPr>
      <w:r w:rsidRPr="00EE0E12">
        <w:t xml:space="preserve">Convém ressaltar que as condições ambientais estão associadas não somente às limitações dos equipamentos necessários a operacionalização da estratégia de contenção e recolhimento, mas também aos riscos à segurança do pessoal envolvido na resposta. Esses valores de limitações representam um indicativo, porém a avaliação e consequente decisão pela realização/manutenção da operação é responsabilidade do Capitão da embarcação, com apoio do Coordenador de Resposta embarcado, e deverá ser comunicada ao Chefe da Seção de Operações (ou delegado) ou ao Supervisor da Divisão de Resposta </w:t>
      </w:r>
      <w:r w:rsidRPr="00EE0E12">
        <w:rPr>
          <w:i/>
        </w:rPr>
        <w:t>Offshore</w:t>
      </w:r>
      <w:r w:rsidRPr="00EE0E12">
        <w:t>, se formalmente constituída, em consonância com o protocolo de comunicação interno.</w:t>
      </w:r>
    </w:p>
    <w:p w14:paraId="631EC7B7" w14:textId="7C99A77F" w:rsidR="00B97508" w:rsidRPr="00EE0E12" w:rsidRDefault="00FB78EA" w:rsidP="00852397">
      <w:pPr>
        <w:pStyle w:val="tier1Itext"/>
      </w:pPr>
      <w:r>
        <w:t xml:space="preserve">O sistema de recolhimento definido </w:t>
      </w:r>
      <w:r w:rsidR="00B97508" w:rsidRPr="00EE0E12">
        <w:t xml:space="preserve">prevê a utilização de uma única embarcação, que ficará responsável, simultaneamente, pelo lançamento </w:t>
      </w:r>
      <w:r>
        <w:t>da CB 6</w:t>
      </w:r>
      <w:r w:rsidR="00B97508" w:rsidRPr="00EE0E12">
        <w:t xml:space="preserve"> a partir de sua popa; pelo reboque dessa barreira, fazendo uso de um BoomVane; e pelo recolhimento do óleo contido, através </w:t>
      </w:r>
      <w:r>
        <w:t>da</w:t>
      </w:r>
      <w:r w:rsidR="00B97508" w:rsidRPr="00EE0E12">
        <w:t xml:space="preserve"> estrutura de concentração no final da barreira com bomba acoplada</w:t>
      </w:r>
      <w:r w:rsidR="003E44C4">
        <w:t>.</w:t>
      </w:r>
      <w:r w:rsidR="00B97508" w:rsidRPr="00EE0E12">
        <w:t xml:space="preserve"> A </w:t>
      </w:r>
      <w:r w:rsidR="00B97508" w:rsidRPr="00EE0E12">
        <w:rPr>
          <w:b/>
        </w:rPr>
        <w:fldChar w:fldCharType="begin"/>
      </w:r>
      <w:r w:rsidR="00B97508" w:rsidRPr="00EE0E12">
        <w:rPr>
          <w:b/>
        </w:rPr>
        <w:instrText xml:space="preserve"> REF _Ref412808401 \h  \* MERGEFORMAT </w:instrText>
      </w:r>
      <w:r w:rsidR="00B97508" w:rsidRPr="00EE0E12">
        <w:rPr>
          <w:b/>
        </w:rPr>
      </w:r>
      <w:r w:rsidR="00B97508" w:rsidRPr="00EE0E12">
        <w:rPr>
          <w:b/>
        </w:rPr>
        <w:fldChar w:fldCharType="separate"/>
      </w:r>
      <w:r w:rsidR="00A50E67" w:rsidRPr="00A50E67">
        <w:rPr>
          <w:b/>
        </w:rPr>
        <w:t xml:space="preserve">Figura </w:t>
      </w:r>
      <w:r w:rsidR="00A50E67" w:rsidRPr="00A50E67">
        <w:rPr>
          <w:b/>
          <w:noProof/>
        </w:rPr>
        <w:t>15</w:t>
      </w:r>
      <w:r w:rsidR="00B97508" w:rsidRPr="00EE0E12">
        <w:rPr>
          <w:b/>
        </w:rPr>
        <w:fldChar w:fldCharType="end"/>
      </w:r>
      <w:r w:rsidR="00B97508" w:rsidRPr="00EE0E12">
        <w:t xml:space="preserve"> apresenta um esquema ilustrando o sistema Current Buster</w:t>
      </w:r>
    </w:p>
    <w:p w14:paraId="2EE0A840" w14:textId="77777777" w:rsidR="00B97508" w:rsidRPr="00EE0E12" w:rsidRDefault="00B97508" w:rsidP="00852397">
      <w:pPr>
        <w:pStyle w:val="tier1Itext"/>
        <w:spacing w:before="0" w:after="0" w:line="240" w:lineRule="auto"/>
        <w:jc w:val="center"/>
      </w:pPr>
      <w:r w:rsidRPr="00EE0E12">
        <w:rPr>
          <w:noProof/>
          <w:lang w:val="en-US"/>
        </w:rPr>
        <w:lastRenderedPageBreak/>
        <w:drawing>
          <wp:inline distT="0" distB="0" distL="0" distR="0" wp14:anchorId="319F3015" wp14:editId="430451DF">
            <wp:extent cx="4764115" cy="2958776"/>
            <wp:effectExtent l="0" t="0" r="0" b="0"/>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77817" cy="2967286"/>
                    </a:xfrm>
                    <a:prstGeom prst="rect">
                      <a:avLst/>
                    </a:prstGeom>
                    <a:noFill/>
                    <a:ln>
                      <a:noFill/>
                    </a:ln>
                  </pic:spPr>
                </pic:pic>
              </a:graphicData>
            </a:graphic>
          </wp:inline>
        </w:drawing>
      </w:r>
    </w:p>
    <w:p w14:paraId="7BA360E2" w14:textId="26F66807" w:rsidR="00B97508" w:rsidRPr="00EE0E12" w:rsidRDefault="00B97508" w:rsidP="00E9093F">
      <w:pPr>
        <w:pStyle w:val="Legenda"/>
        <w:keepNext w:val="0"/>
        <w:spacing w:before="0" w:after="0" w:line="240" w:lineRule="auto"/>
      </w:pPr>
      <w:bookmarkStart w:id="190" w:name="_Ref412808401"/>
      <w:bookmarkStart w:id="191" w:name="_Toc412812293"/>
      <w:bookmarkStart w:id="192" w:name="_Toc527990462"/>
      <w:r w:rsidRPr="00EE0E12">
        <w:t xml:space="preserve">Figura </w:t>
      </w:r>
      <w:fldSimple w:instr=" SEQ Figura \* ARABIC ">
        <w:r w:rsidR="00A50E67">
          <w:rPr>
            <w:noProof/>
          </w:rPr>
          <w:t>15</w:t>
        </w:r>
      </w:fldSimple>
      <w:bookmarkEnd w:id="190"/>
      <w:r w:rsidRPr="00EE0E12">
        <w:t xml:space="preserve">: Sistema com tecnologia inovadora de contenção e recolhimento </w:t>
      </w:r>
      <w:r w:rsidR="00E26CE0">
        <w:t>–</w:t>
      </w:r>
      <w:r w:rsidRPr="00EE0E12">
        <w:rPr>
          <w:i/>
        </w:rPr>
        <w:t xml:space="preserve"> Current Buster</w:t>
      </w:r>
      <w:r w:rsidRPr="00EE0E12">
        <w:t xml:space="preserve"> lançado com </w:t>
      </w:r>
      <w:r w:rsidRPr="00EE0E12">
        <w:rPr>
          <w:i/>
        </w:rPr>
        <w:t>Boom Vane</w:t>
      </w:r>
      <w:r w:rsidRPr="00EE0E12">
        <w:t xml:space="preserve"> (Fonte: adaptado de NOFI </w:t>
      </w:r>
      <w:r w:rsidRPr="00EE0E12">
        <w:rPr>
          <w:i/>
        </w:rPr>
        <w:t>Current</w:t>
      </w:r>
      <w:r w:rsidRPr="00EE0E12">
        <w:t xml:space="preserve"> </w:t>
      </w:r>
      <w:r w:rsidRPr="00EE0E12">
        <w:rPr>
          <w:i/>
        </w:rPr>
        <w:t>Buster</w:t>
      </w:r>
      <w:r w:rsidRPr="00EE0E12">
        <w:t>®, 2014).</w:t>
      </w:r>
      <w:bookmarkEnd w:id="191"/>
      <w:bookmarkEnd w:id="192"/>
    </w:p>
    <w:p w14:paraId="41E60053" w14:textId="7934330C" w:rsidR="00B97508" w:rsidRPr="00EE0E12" w:rsidRDefault="00B97508" w:rsidP="00852397">
      <w:pPr>
        <w:pStyle w:val="tier1Itext"/>
        <w:spacing w:before="0" w:after="0" w:line="240" w:lineRule="auto"/>
        <w:jc w:val="center"/>
      </w:pPr>
    </w:p>
    <w:p w14:paraId="2FA73F6E" w14:textId="62974805" w:rsidR="00B97508" w:rsidRPr="00EE0E12" w:rsidRDefault="00B97508" w:rsidP="00852397">
      <w:pPr>
        <w:pStyle w:val="Legenda"/>
        <w:keepNext w:val="0"/>
        <w:spacing w:before="0" w:after="0" w:line="240" w:lineRule="auto"/>
      </w:pPr>
    </w:p>
    <w:p w14:paraId="4116A6AB" w14:textId="72C6000A" w:rsidR="00B97508" w:rsidRPr="00EE0E12" w:rsidRDefault="00B97508" w:rsidP="004B4E3F">
      <w:pPr>
        <w:pStyle w:val="tier1Itext"/>
        <w:spacing w:before="360"/>
      </w:pPr>
      <w:r w:rsidRPr="00EE0E12">
        <w:t>O sistema</w:t>
      </w:r>
      <w:r w:rsidR="00AB1A73">
        <w:t xml:space="preserve"> CB 6</w:t>
      </w:r>
      <w:r w:rsidRPr="00EE0E12">
        <w:t xml:space="preserve"> permite</w:t>
      </w:r>
      <w:r w:rsidR="00F9135C" w:rsidRPr="00EE0E12">
        <w:t xml:space="preserve"> que as operações de va</w:t>
      </w:r>
      <w:r w:rsidRPr="00EE0E12">
        <w:t xml:space="preserve">rredura do óleo e recolhimento através de bombas acopladas possam ser feitas simultaneamente, contra ou a favor da direção da corrente e onda (respeitando o valor de seu limite operacional frente </w:t>
      </w:r>
      <w:r w:rsidR="003E44C4">
        <w:t>à</w:t>
      </w:r>
      <w:r w:rsidR="003E44C4" w:rsidRPr="00EE0E12">
        <w:t xml:space="preserve"> </w:t>
      </w:r>
      <w:r w:rsidRPr="00EE0E12">
        <w:t>resultante), conferindo ao sistema um maior poder de manobra.</w:t>
      </w:r>
    </w:p>
    <w:p w14:paraId="1D04B827" w14:textId="6B45F564" w:rsidR="00B97508" w:rsidRPr="00EE0E12" w:rsidRDefault="00B97508" w:rsidP="008314DB">
      <w:pPr>
        <w:pStyle w:val="tier1Itext"/>
      </w:pPr>
      <w:r w:rsidRPr="00EE0E12">
        <w:t>Adicionalmente, a maior eficiência do sistema se deve a presença d</w:t>
      </w:r>
      <w:r w:rsidR="00AB1A73">
        <w:t>o</w:t>
      </w:r>
      <w:r w:rsidRPr="00EE0E12">
        <w:t xml:space="preserve"> mecanismo de separação primária, que é posicionado antes do tanque separador e de válvulas existentes no assoalho do tanque separador.</w:t>
      </w:r>
    </w:p>
    <w:p w14:paraId="59197553" w14:textId="203E836A" w:rsidR="00B97508" w:rsidRPr="00EE0E12" w:rsidRDefault="00B97508" w:rsidP="008314DB">
      <w:pPr>
        <w:pStyle w:val="tier1Itext"/>
      </w:pPr>
      <w:r w:rsidRPr="00EE0E12">
        <w:t xml:space="preserve">Os recursos </w:t>
      </w:r>
      <w:r w:rsidR="00AB1A73">
        <w:t xml:space="preserve">projetados para a técnica de </w:t>
      </w:r>
      <w:r w:rsidRPr="00EE0E12">
        <w:t xml:space="preserve">contenção e recolhimento descritas neste PEI são apresentados na </w:t>
      </w:r>
      <w:r w:rsidRPr="00EE0E12">
        <w:rPr>
          <w:b/>
        </w:rPr>
        <w:fldChar w:fldCharType="begin"/>
      </w:r>
      <w:r w:rsidRPr="00EE0E12">
        <w:rPr>
          <w:b/>
        </w:rPr>
        <w:instrText xml:space="preserve"> REF _Ref411453111 \h  \* MERGEFORMAT </w:instrText>
      </w:r>
      <w:r w:rsidRPr="00EE0E12">
        <w:rPr>
          <w:b/>
        </w:rPr>
      </w:r>
      <w:r w:rsidRPr="00EE0E12">
        <w:rPr>
          <w:b/>
        </w:rPr>
        <w:fldChar w:fldCharType="separate"/>
      </w:r>
      <w:r w:rsidR="00CD1E9E" w:rsidRPr="00CD1E9E">
        <w:rPr>
          <w:b/>
          <w:szCs w:val="22"/>
        </w:rPr>
        <w:t xml:space="preserve">Tabela </w:t>
      </w:r>
      <w:r w:rsidR="00CD1E9E" w:rsidRPr="00487E50">
        <w:rPr>
          <w:b/>
          <w:noProof/>
          <w:szCs w:val="22"/>
          <w:highlight w:val="lightGray"/>
        </w:rPr>
        <w:t>16</w:t>
      </w:r>
      <w:r w:rsidRPr="00EE0E12">
        <w:rPr>
          <w:b/>
        </w:rPr>
        <w:fldChar w:fldCharType="end"/>
      </w:r>
      <w:r w:rsidRPr="00EE0E12">
        <w:t xml:space="preserve">. </w:t>
      </w:r>
      <w:r w:rsidR="00B434F8">
        <w:t>A</w:t>
      </w:r>
      <w:r w:rsidRPr="00EE0E12">
        <w:t xml:space="preserve"> evolução da resposta (em conformidade com os requisitos da Resolução CONAMA Nº 398/08) </w:t>
      </w:r>
      <w:r w:rsidR="00B434F8">
        <w:t>é indicada pelos tempos de disponibilidade também indicados nesta tabela</w:t>
      </w:r>
      <w:r w:rsidRPr="00EE0E12">
        <w:t>.</w:t>
      </w:r>
    </w:p>
    <w:p w14:paraId="40B6E418" w14:textId="77777777" w:rsidR="00B97508" w:rsidRDefault="00B97508" w:rsidP="00B97508">
      <w:pPr>
        <w:sectPr w:rsidR="00B97508" w:rsidSect="00656D39">
          <w:headerReference w:type="even" r:id="rId60"/>
          <w:headerReference w:type="default" r:id="rId61"/>
          <w:footerReference w:type="even" r:id="rId62"/>
          <w:footerReference w:type="default" r:id="rId63"/>
          <w:pgSz w:w="11906" w:h="16838" w:code="9"/>
          <w:pgMar w:top="1418" w:right="1418" w:bottom="1418" w:left="1418" w:header="170" w:footer="0" w:gutter="0"/>
          <w:cols w:space="708"/>
          <w:docGrid w:linePitch="360"/>
        </w:sectPr>
      </w:pPr>
    </w:p>
    <w:tbl>
      <w:tblPr>
        <w:tblStyle w:val="Ocean"/>
        <w:tblW w:w="4753" w:type="pct"/>
        <w:tblBorders>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ayout w:type="fixed"/>
        <w:tblLook w:val="04A0" w:firstRow="1" w:lastRow="0" w:firstColumn="1" w:lastColumn="0" w:noHBand="0" w:noVBand="1"/>
      </w:tblPr>
      <w:tblGrid>
        <w:gridCol w:w="990"/>
        <w:gridCol w:w="1682"/>
        <w:gridCol w:w="1504"/>
        <w:gridCol w:w="2298"/>
        <w:gridCol w:w="6809"/>
      </w:tblGrid>
      <w:tr w:rsidR="007E0169" w:rsidRPr="008314DB" w14:paraId="50DE05AD" w14:textId="77777777" w:rsidTr="003C7B91">
        <w:trPr>
          <w:cnfStyle w:val="100000000000" w:firstRow="1" w:lastRow="0" w:firstColumn="0" w:lastColumn="0" w:oddVBand="0" w:evenVBand="0" w:oddHBand="0" w:evenHBand="0" w:firstRowFirstColumn="0" w:firstRowLastColumn="0" w:lastRowFirstColumn="0" w:lastRowLastColumn="0"/>
          <w:cantSplit/>
          <w:trHeight w:val="340"/>
          <w:tblHeader/>
        </w:trPr>
        <w:tc>
          <w:tcPr>
            <w:tcW w:w="5000" w:type="pct"/>
            <w:gridSpan w:val="5"/>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FFFFFF" w:themeFill="background1"/>
            <w:vAlign w:val="bottom"/>
          </w:tcPr>
          <w:p w14:paraId="4359389F" w14:textId="23DE46E0" w:rsidR="007E0169" w:rsidRPr="008314DB" w:rsidRDefault="007E0169" w:rsidP="008314DB">
            <w:pPr>
              <w:tabs>
                <w:tab w:val="left" w:pos="5529"/>
              </w:tabs>
              <w:spacing w:before="0" w:line="240" w:lineRule="auto"/>
              <w:jc w:val="left"/>
              <w:rPr>
                <w:rFonts w:asciiTheme="majorHAnsi" w:hAnsiTheme="majorHAnsi"/>
                <w:noProof/>
                <w:color w:val="auto"/>
                <w:sz w:val="20"/>
                <w:szCs w:val="20"/>
              </w:rPr>
            </w:pPr>
            <w:bookmarkStart w:id="193" w:name="_Ref411453111"/>
            <w:bookmarkStart w:id="194" w:name="_Toc412812271"/>
            <w:bookmarkStart w:id="195" w:name="_Toc527990491"/>
            <w:r w:rsidRPr="008314DB">
              <w:rPr>
                <w:rFonts w:asciiTheme="majorHAnsi" w:hAnsiTheme="majorHAnsi"/>
                <w:color w:val="auto"/>
                <w:sz w:val="20"/>
                <w:szCs w:val="20"/>
              </w:rPr>
              <w:lastRenderedPageBreak/>
              <w:t xml:space="preserve">Tabela </w:t>
            </w:r>
            <w:r w:rsidRPr="00487E50">
              <w:rPr>
                <w:rFonts w:asciiTheme="majorHAnsi" w:hAnsiTheme="majorHAnsi"/>
                <w:sz w:val="20"/>
                <w:szCs w:val="20"/>
                <w:highlight w:val="lightGray"/>
              </w:rPr>
              <w:fldChar w:fldCharType="begin"/>
            </w:r>
            <w:r w:rsidRPr="00487E50">
              <w:rPr>
                <w:rFonts w:asciiTheme="majorHAnsi" w:hAnsiTheme="majorHAnsi"/>
                <w:color w:val="auto"/>
                <w:sz w:val="20"/>
                <w:szCs w:val="20"/>
                <w:highlight w:val="lightGray"/>
              </w:rPr>
              <w:instrText xml:space="preserve"> SEQ Tabela \* ARABIC </w:instrText>
            </w:r>
            <w:r w:rsidRPr="00487E50">
              <w:rPr>
                <w:rFonts w:asciiTheme="majorHAnsi" w:hAnsiTheme="majorHAnsi"/>
                <w:sz w:val="20"/>
                <w:szCs w:val="20"/>
                <w:highlight w:val="lightGray"/>
              </w:rPr>
              <w:fldChar w:fldCharType="separate"/>
            </w:r>
            <w:r w:rsidR="00CD1E9E" w:rsidRPr="00487E50">
              <w:rPr>
                <w:rFonts w:asciiTheme="majorHAnsi" w:hAnsiTheme="majorHAnsi"/>
                <w:noProof/>
                <w:color w:val="auto"/>
                <w:sz w:val="20"/>
                <w:szCs w:val="20"/>
                <w:highlight w:val="lightGray"/>
              </w:rPr>
              <w:t>16</w:t>
            </w:r>
            <w:r w:rsidRPr="00487E50">
              <w:rPr>
                <w:rFonts w:asciiTheme="majorHAnsi" w:hAnsiTheme="majorHAnsi"/>
                <w:sz w:val="20"/>
                <w:szCs w:val="20"/>
                <w:highlight w:val="lightGray"/>
              </w:rPr>
              <w:fldChar w:fldCharType="end"/>
            </w:r>
            <w:bookmarkEnd w:id="193"/>
            <w:r w:rsidRPr="008314DB">
              <w:rPr>
                <w:rFonts w:asciiTheme="majorHAnsi" w:hAnsiTheme="majorHAnsi"/>
                <w:color w:val="auto"/>
                <w:sz w:val="20"/>
                <w:szCs w:val="20"/>
              </w:rPr>
              <w:t>: Recursos disponíveis para a operacionalização da estratégia de contenção e recolhimento.</w:t>
            </w:r>
            <w:bookmarkEnd w:id="194"/>
            <w:bookmarkEnd w:id="195"/>
          </w:p>
        </w:tc>
      </w:tr>
      <w:tr w:rsidR="003C7B91" w:rsidRPr="008314DB" w14:paraId="18BE14EC" w14:textId="77777777" w:rsidTr="003C7B91">
        <w:trPr>
          <w:cnfStyle w:val="100000000000" w:firstRow="1" w:lastRow="0" w:firstColumn="0" w:lastColumn="0" w:oddVBand="0" w:evenVBand="0" w:oddHBand="0" w:evenHBand="0" w:firstRowFirstColumn="0" w:firstRowLastColumn="0" w:lastRowFirstColumn="0" w:lastRowLastColumn="0"/>
          <w:cantSplit/>
          <w:trHeight w:val="398"/>
          <w:tblHeader/>
        </w:trPr>
        <w:tc>
          <w:tcPr>
            <w:tcW w:w="373" w:type="pct"/>
            <w:shd w:val="clear" w:color="auto" w:fill="1F497D"/>
          </w:tcPr>
          <w:p w14:paraId="3B5DF2AF" w14:textId="77777777" w:rsidR="00B434F8" w:rsidRDefault="007E0169" w:rsidP="002652AA">
            <w:pPr>
              <w:tabs>
                <w:tab w:val="left" w:pos="5529"/>
              </w:tabs>
              <w:spacing w:before="0" w:line="240" w:lineRule="auto"/>
              <w:jc w:val="center"/>
              <w:rPr>
                <w:rFonts w:asciiTheme="majorHAnsi" w:hAnsiTheme="majorHAnsi"/>
                <w:noProof/>
                <w:sz w:val="20"/>
                <w:szCs w:val="20"/>
              </w:rPr>
            </w:pPr>
            <w:r w:rsidRPr="008314DB">
              <w:rPr>
                <w:rFonts w:asciiTheme="majorHAnsi" w:hAnsiTheme="majorHAnsi"/>
                <w:noProof/>
                <w:sz w:val="20"/>
                <w:szCs w:val="20"/>
              </w:rPr>
              <w:t>Tipo/</w:t>
            </w:r>
          </w:p>
          <w:p w14:paraId="708C967C" w14:textId="1E33F998" w:rsidR="007E0169" w:rsidRPr="008314DB" w:rsidRDefault="007E0169" w:rsidP="002652AA">
            <w:pPr>
              <w:tabs>
                <w:tab w:val="left" w:pos="5529"/>
              </w:tabs>
              <w:spacing w:before="0" w:line="240" w:lineRule="auto"/>
              <w:jc w:val="center"/>
              <w:rPr>
                <w:rFonts w:asciiTheme="majorHAnsi" w:hAnsiTheme="majorHAnsi"/>
                <w:b w:val="0"/>
                <w:noProof/>
                <w:sz w:val="20"/>
                <w:szCs w:val="20"/>
              </w:rPr>
            </w:pPr>
            <w:r w:rsidRPr="008314DB">
              <w:rPr>
                <w:rFonts w:asciiTheme="majorHAnsi" w:hAnsiTheme="majorHAnsi"/>
                <w:noProof/>
                <w:sz w:val="20"/>
                <w:szCs w:val="20"/>
              </w:rPr>
              <w:t>Nome</w:t>
            </w:r>
          </w:p>
        </w:tc>
        <w:tc>
          <w:tcPr>
            <w:tcW w:w="633" w:type="pct"/>
            <w:shd w:val="clear" w:color="auto" w:fill="1F497D"/>
          </w:tcPr>
          <w:p w14:paraId="5C760EAD" w14:textId="77777777" w:rsidR="007E0169" w:rsidRPr="008314DB" w:rsidRDefault="007E0169" w:rsidP="002652AA">
            <w:pPr>
              <w:tabs>
                <w:tab w:val="left" w:pos="5529"/>
              </w:tabs>
              <w:spacing w:before="0" w:line="240" w:lineRule="auto"/>
              <w:jc w:val="center"/>
              <w:rPr>
                <w:rFonts w:asciiTheme="majorHAnsi" w:hAnsiTheme="majorHAnsi"/>
                <w:noProof/>
                <w:sz w:val="20"/>
                <w:szCs w:val="20"/>
              </w:rPr>
            </w:pPr>
            <w:r w:rsidRPr="008314DB">
              <w:rPr>
                <w:rFonts w:asciiTheme="majorHAnsi" w:hAnsiTheme="majorHAnsi"/>
                <w:noProof/>
                <w:sz w:val="20"/>
                <w:szCs w:val="20"/>
              </w:rPr>
              <w:t>Função</w:t>
            </w:r>
          </w:p>
        </w:tc>
        <w:tc>
          <w:tcPr>
            <w:tcW w:w="566" w:type="pct"/>
            <w:shd w:val="clear" w:color="auto" w:fill="1F497D"/>
          </w:tcPr>
          <w:p w14:paraId="381DF7F6" w14:textId="77777777" w:rsidR="007E0169" w:rsidRPr="008314DB" w:rsidRDefault="007E0169" w:rsidP="002652AA">
            <w:pPr>
              <w:tabs>
                <w:tab w:val="left" w:pos="5529"/>
              </w:tabs>
              <w:spacing w:before="0" w:line="240" w:lineRule="auto"/>
              <w:jc w:val="center"/>
              <w:rPr>
                <w:rFonts w:asciiTheme="majorHAnsi" w:hAnsiTheme="majorHAnsi"/>
                <w:noProof/>
                <w:sz w:val="20"/>
                <w:szCs w:val="20"/>
              </w:rPr>
            </w:pPr>
            <w:r w:rsidRPr="008314DB">
              <w:rPr>
                <w:rFonts w:asciiTheme="majorHAnsi" w:hAnsiTheme="majorHAnsi"/>
                <w:noProof/>
                <w:sz w:val="20"/>
                <w:szCs w:val="20"/>
              </w:rPr>
              <w:t>Localização</w:t>
            </w:r>
          </w:p>
        </w:tc>
        <w:tc>
          <w:tcPr>
            <w:tcW w:w="865" w:type="pct"/>
            <w:shd w:val="clear" w:color="auto" w:fill="1F497D"/>
          </w:tcPr>
          <w:p w14:paraId="70BE6E88" w14:textId="77777777" w:rsidR="007E0169" w:rsidRPr="008314DB" w:rsidRDefault="007E0169" w:rsidP="002652AA">
            <w:pPr>
              <w:tabs>
                <w:tab w:val="left" w:pos="5529"/>
              </w:tabs>
              <w:spacing w:before="0" w:line="240" w:lineRule="auto"/>
              <w:jc w:val="center"/>
              <w:rPr>
                <w:rFonts w:asciiTheme="majorHAnsi" w:hAnsiTheme="majorHAnsi"/>
                <w:b w:val="0"/>
                <w:noProof/>
                <w:sz w:val="20"/>
                <w:szCs w:val="20"/>
              </w:rPr>
            </w:pPr>
            <w:r w:rsidRPr="008314DB">
              <w:rPr>
                <w:rFonts w:asciiTheme="majorHAnsi" w:hAnsiTheme="majorHAnsi"/>
                <w:noProof/>
                <w:sz w:val="20"/>
                <w:szCs w:val="20"/>
              </w:rPr>
              <w:t>Tempo para disponibilidade</w:t>
            </w:r>
          </w:p>
        </w:tc>
        <w:tc>
          <w:tcPr>
            <w:tcW w:w="2563" w:type="pct"/>
            <w:shd w:val="clear" w:color="auto" w:fill="1F497D"/>
          </w:tcPr>
          <w:p w14:paraId="54A35343" w14:textId="77777777" w:rsidR="007E0169" w:rsidRPr="008314DB" w:rsidRDefault="007E0169" w:rsidP="002652AA">
            <w:pPr>
              <w:tabs>
                <w:tab w:val="left" w:pos="5529"/>
              </w:tabs>
              <w:spacing w:before="0" w:line="240" w:lineRule="auto"/>
              <w:jc w:val="center"/>
              <w:rPr>
                <w:rFonts w:asciiTheme="majorHAnsi" w:hAnsiTheme="majorHAnsi"/>
                <w:b w:val="0"/>
                <w:noProof/>
                <w:sz w:val="20"/>
                <w:szCs w:val="20"/>
              </w:rPr>
            </w:pPr>
            <w:r w:rsidRPr="008314DB">
              <w:rPr>
                <w:rFonts w:asciiTheme="majorHAnsi" w:hAnsiTheme="majorHAnsi"/>
                <w:noProof/>
                <w:sz w:val="20"/>
                <w:szCs w:val="20"/>
              </w:rPr>
              <w:t>Recursos de Contenção e Recolhimento</w:t>
            </w:r>
          </w:p>
        </w:tc>
      </w:tr>
      <w:tr w:rsidR="003C7B91" w:rsidRPr="008314DB" w14:paraId="406AD2EF" w14:textId="77777777" w:rsidTr="009A36D4">
        <w:trPr>
          <w:cnfStyle w:val="000000100000" w:firstRow="0" w:lastRow="0" w:firstColumn="0" w:lastColumn="0" w:oddVBand="0" w:evenVBand="0" w:oddHBand="1" w:evenHBand="0" w:firstRowFirstColumn="0" w:firstRowLastColumn="0" w:lastRowFirstColumn="0" w:lastRowLastColumn="0"/>
          <w:cantSplit/>
          <w:trHeight w:val="2154"/>
        </w:trPr>
        <w:tc>
          <w:tcPr>
            <w:tcW w:w="373" w:type="pct"/>
          </w:tcPr>
          <w:p w14:paraId="4F356492" w14:textId="25E7D4CC" w:rsidR="00B17610" w:rsidRPr="008314DB" w:rsidRDefault="00B17610" w:rsidP="008314DB">
            <w:pPr>
              <w:tabs>
                <w:tab w:val="left" w:pos="5529"/>
              </w:tabs>
              <w:spacing w:before="0" w:line="240" w:lineRule="auto"/>
              <w:rPr>
                <w:rFonts w:asciiTheme="majorHAnsi" w:hAnsiTheme="majorHAnsi"/>
                <w:b/>
                <w:noProof/>
                <w:sz w:val="20"/>
                <w:szCs w:val="20"/>
              </w:rPr>
            </w:pPr>
            <w:r w:rsidRPr="008314DB">
              <w:rPr>
                <w:rFonts w:asciiTheme="majorHAnsi" w:hAnsiTheme="majorHAnsi"/>
                <w:b/>
                <w:noProof/>
                <w:sz w:val="20"/>
                <w:szCs w:val="20"/>
              </w:rPr>
              <w:t>OSRV</w:t>
            </w:r>
          </w:p>
        </w:tc>
        <w:tc>
          <w:tcPr>
            <w:tcW w:w="633" w:type="pct"/>
          </w:tcPr>
          <w:p w14:paraId="4E600FC7" w14:textId="7FEA2B66" w:rsidR="00B17610" w:rsidRPr="008314DB" w:rsidRDefault="00B17610" w:rsidP="00FA4BE7">
            <w:pPr>
              <w:tabs>
                <w:tab w:val="left" w:pos="5529"/>
              </w:tabs>
              <w:spacing w:before="0" w:line="240" w:lineRule="auto"/>
              <w:jc w:val="center"/>
              <w:rPr>
                <w:rFonts w:asciiTheme="majorHAnsi" w:hAnsiTheme="majorHAnsi"/>
                <w:b/>
                <w:i/>
                <w:noProof/>
                <w:sz w:val="20"/>
                <w:szCs w:val="20"/>
              </w:rPr>
            </w:pPr>
            <w:r w:rsidRPr="008314DB">
              <w:rPr>
                <w:rFonts w:asciiTheme="majorHAnsi" w:hAnsiTheme="majorHAnsi"/>
                <w:i/>
                <w:noProof/>
                <w:sz w:val="20"/>
                <w:szCs w:val="20"/>
              </w:rPr>
              <w:t>Embarcação de resposta dedicada</w:t>
            </w:r>
          </w:p>
        </w:tc>
        <w:tc>
          <w:tcPr>
            <w:tcW w:w="566" w:type="pct"/>
          </w:tcPr>
          <w:p w14:paraId="564A1DDB" w14:textId="575A580A" w:rsidR="00B17610" w:rsidRPr="008314DB" w:rsidRDefault="00B17610" w:rsidP="00FA4BE7">
            <w:pPr>
              <w:tabs>
                <w:tab w:val="left" w:pos="5529"/>
              </w:tabs>
              <w:spacing w:before="0" w:line="240" w:lineRule="auto"/>
              <w:jc w:val="left"/>
              <w:rPr>
                <w:rFonts w:asciiTheme="majorHAnsi" w:hAnsiTheme="majorHAnsi"/>
                <w:noProof/>
                <w:sz w:val="20"/>
                <w:szCs w:val="20"/>
              </w:rPr>
            </w:pPr>
            <w:r w:rsidRPr="008314DB">
              <w:rPr>
                <w:rFonts w:asciiTheme="majorHAnsi" w:hAnsiTheme="majorHAnsi"/>
                <w:noProof/>
                <w:sz w:val="20"/>
                <w:szCs w:val="20"/>
              </w:rPr>
              <w:t>Até 2</w:t>
            </w:r>
            <w:r w:rsidR="002B5B58">
              <w:rPr>
                <w:rFonts w:asciiTheme="majorHAnsi" w:hAnsiTheme="majorHAnsi"/>
                <w:noProof/>
                <w:sz w:val="20"/>
                <w:szCs w:val="20"/>
              </w:rPr>
              <w:t xml:space="preserve"> </w:t>
            </w:r>
            <w:r w:rsidRPr="008314DB">
              <w:rPr>
                <w:rFonts w:asciiTheme="majorHAnsi" w:hAnsiTheme="majorHAnsi"/>
                <w:noProof/>
                <w:sz w:val="20"/>
                <w:szCs w:val="20"/>
              </w:rPr>
              <w:t>h</w:t>
            </w:r>
            <w:r w:rsidR="002B5B58">
              <w:rPr>
                <w:rFonts w:asciiTheme="majorHAnsi" w:hAnsiTheme="majorHAnsi"/>
                <w:noProof/>
                <w:sz w:val="20"/>
                <w:szCs w:val="20"/>
              </w:rPr>
              <w:t>s</w:t>
            </w:r>
            <w:r w:rsidRPr="008314DB">
              <w:rPr>
                <w:rFonts w:asciiTheme="majorHAnsi" w:hAnsiTheme="majorHAnsi"/>
                <w:noProof/>
                <w:sz w:val="20"/>
                <w:szCs w:val="20"/>
              </w:rPr>
              <w:t xml:space="preserve"> da locação</w:t>
            </w:r>
          </w:p>
        </w:tc>
        <w:tc>
          <w:tcPr>
            <w:tcW w:w="865" w:type="pct"/>
            <w:shd w:val="clear" w:color="auto" w:fill="FF3300"/>
          </w:tcPr>
          <w:p w14:paraId="74684F38" w14:textId="3FF0658E" w:rsidR="00B17610" w:rsidRPr="00C45C9A" w:rsidRDefault="00B17610" w:rsidP="00FA4BE7">
            <w:pPr>
              <w:tabs>
                <w:tab w:val="left" w:pos="5529"/>
              </w:tabs>
              <w:spacing w:before="0" w:line="240" w:lineRule="auto"/>
              <w:jc w:val="center"/>
              <w:rPr>
                <w:rFonts w:asciiTheme="majorHAnsi" w:hAnsiTheme="majorHAnsi"/>
                <w:noProof/>
                <w:color w:val="FFFFFF" w:themeColor="background1"/>
                <w:sz w:val="20"/>
                <w:szCs w:val="20"/>
                <w:highlight w:val="lightGray"/>
              </w:rPr>
            </w:pPr>
            <w:r w:rsidRPr="00EE130C">
              <w:rPr>
                <w:rFonts w:asciiTheme="majorHAnsi" w:hAnsiTheme="majorHAnsi"/>
                <w:noProof/>
                <w:color w:val="FFFFFF" w:themeColor="background1"/>
                <w:sz w:val="20"/>
                <w:szCs w:val="20"/>
              </w:rPr>
              <w:t xml:space="preserve">02 / </w:t>
            </w:r>
            <w:r w:rsidRPr="00EE130C">
              <w:rPr>
                <w:rFonts w:asciiTheme="majorHAnsi" w:hAnsiTheme="majorHAnsi"/>
                <w:noProof/>
                <w:color w:val="FFFFFF" w:themeColor="background1"/>
              </w:rPr>
              <w:t>06 / 12 h</w:t>
            </w:r>
            <w:r w:rsidR="002B5B58">
              <w:rPr>
                <w:rFonts w:asciiTheme="majorHAnsi" w:hAnsiTheme="majorHAnsi"/>
                <w:noProof/>
                <w:color w:val="FFFFFF" w:themeColor="background1"/>
              </w:rPr>
              <w:t>s</w:t>
            </w:r>
          </w:p>
        </w:tc>
        <w:tc>
          <w:tcPr>
            <w:tcW w:w="2563" w:type="pct"/>
          </w:tcPr>
          <w:p w14:paraId="0A2495A1" w14:textId="77777777" w:rsidR="00B17610" w:rsidRPr="008314DB" w:rsidRDefault="00B17610" w:rsidP="00FA4BE7">
            <w:pPr>
              <w:tabs>
                <w:tab w:val="left" w:pos="5529"/>
              </w:tabs>
              <w:spacing w:before="0" w:line="240" w:lineRule="auto"/>
              <w:jc w:val="left"/>
              <w:rPr>
                <w:rFonts w:asciiTheme="majorHAnsi" w:hAnsiTheme="majorHAnsi"/>
                <w:b/>
                <w:noProof/>
                <w:sz w:val="20"/>
                <w:szCs w:val="20"/>
              </w:rPr>
            </w:pPr>
            <w:r w:rsidRPr="008314DB">
              <w:rPr>
                <w:rFonts w:asciiTheme="majorHAnsi" w:hAnsiTheme="majorHAnsi"/>
                <w:b/>
                <w:noProof/>
                <w:sz w:val="20"/>
                <w:szCs w:val="20"/>
              </w:rPr>
              <w:t>Sistema de contenção e recolhimento</w:t>
            </w:r>
          </w:p>
          <w:p w14:paraId="388CFBA2" w14:textId="479A48EB" w:rsidR="00B17610" w:rsidRPr="009A36D4" w:rsidRDefault="00B17610" w:rsidP="00FA4BE7">
            <w:pPr>
              <w:tabs>
                <w:tab w:val="left" w:pos="5529"/>
              </w:tabs>
              <w:spacing w:before="0" w:line="240" w:lineRule="auto"/>
              <w:jc w:val="left"/>
              <w:rPr>
                <w:rFonts w:asciiTheme="majorHAnsi" w:hAnsiTheme="majorHAnsi"/>
                <w:noProof/>
                <w:sz w:val="20"/>
                <w:szCs w:val="20"/>
              </w:rPr>
            </w:pPr>
            <w:r w:rsidRPr="008314DB">
              <w:rPr>
                <w:rFonts w:asciiTheme="majorHAnsi" w:hAnsiTheme="majorHAnsi"/>
                <w:noProof/>
                <w:sz w:val="20"/>
                <w:szCs w:val="20"/>
              </w:rPr>
              <w:t xml:space="preserve">01 </w:t>
            </w:r>
            <w:r w:rsidRPr="008314DB">
              <w:rPr>
                <w:rFonts w:asciiTheme="majorHAnsi" w:hAnsiTheme="majorHAnsi"/>
                <w:i/>
                <w:noProof/>
                <w:sz w:val="20"/>
                <w:szCs w:val="20"/>
              </w:rPr>
              <w:t xml:space="preserve">Sistema Current Buster 6 </w:t>
            </w:r>
            <w:r w:rsidR="00A61ECA" w:rsidRPr="00A61ECA">
              <w:rPr>
                <w:rFonts w:asciiTheme="majorHAnsi" w:hAnsiTheme="majorHAnsi"/>
                <w:i/>
                <w:noProof/>
                <w:sz w:val="20"/>
                <w:szCs w:val="20"/>
              </w:rPr>
              <w:t>[CB6]</w:t>
            </w:r>
            <w:r w:rsidRPr="008314DB">
              <w:rPr>
                <w:rFonts w:asciiTheme="majorHAnsi" w:hAnsiTheme="majorHAnsi"/>
                <w:i/>
                <w:noProof/>
                <w:sz w:val="20"/>
                <w:szCs w:val="20"/>
              </w:rPr>
              <w:t>,</w:t>
            </w:r>
            <w:r w:rsidRPr="008314DB">
              <w:rPr>
                <w:rFonts w:asciiTheme="majorHAnsi" w:hAnsiTheme="majorHAnsi"/>
                <w:noProof/>
                <w:sz w:val="20"/>
                <w:szCs w:val="20"/>
              </w:rPr>
              <w:t xml:space="preserve"> com bomba acoplada, CN</w:t>
            </w:r>
            <w:r>
              <w:rPr>
                <w:rFonts w:asciiTheme="majorHAnsi" w:hAnsiTheme="majorHAnsi"/>
                <w:noProof/>
                <w:sz w:val="20"/>
                <w:szCs w:val="20"/>
              </w:rPr>
              <w:t>¹</w:t>
            </w:r>
            <w:r w:rsidRPr="008314DB">
              <w:rPr>
                <w:rFonts w:asciiTheme="majorHAnsi" w:hAnsiTheme="majorHAnsi"/>
                <w:noProof/>
                <w:sz w:val="20"/>
                <w:szCs w:val="20"/>
              </w:rPr>
              <w:t xml:space="preserve"> </w:t>
            </w:r>
            <w:r w:rsidR="00AB1A73">
              <w:rPr>
                <w:rFonts w:asciiTheme="majorHAnsi" w:hAnsiTheme="majorHAnsi"/>
                <w:noProof/>
                <w:sz w:val="20"/>
                <w:szCs w:val="20"/>
              </w:rPr>
              <w:t>de</w:t>
            </w:r>
            <w:r w:rsidRPr="008314DB">
              <w:rPr>
                <w:rFonts w:asciiTheme="majorHAnsi" w:hAnsiTheme="majorHAnsi"/>
                <w:noProof/>
                <w:sz w:val="20"/>
                <w:szCs w:val="20"/>
              </w:rPr>
              <w:t xml:space="preserve"> 100</w:t>
            </w:r>
            <w:r>
              <w:rPr>
                <w:rFonts w:asciiTheme="majorHAnsi" w:hAnsiTheme="majorHAnsi"/>
                <w:noProof/>
                <w:sz w:val="20"/>
                <w:szCs w:val="20"/>
              </w:rPr>
              <w:t> </w:t>
            </w:r>
            <w:r w:rsidRPr="008314DB">
              <w:rPr>
                <w:rFonts w:asciiTheme="majorHAnsi" w:hAnsiTheme="majorHAnsi"/>
                <w:noProof/>
                <w:sz w:val="20"/>
                <w:szCs w:val="20"/>
              </w:rPr>
              <w:t xml:space="preserve">m³/h &amp; </w:t>
            </w:r>
            <w:r w:rsidRPr="008314DB">
              <w:rPr>
                <w:rFonts w:asciiTheme="majorHAnsi" w:hAnsiTheme="majorHAnsi"/>
                <w:i/>
                <w:noProof/>
                <w:sz w:val="20"/>
                <w:szCs w:val="20"/>
              </w:rPr>
              <w:t>BoomVane</w:t>
            </w:r>
            <w:r w:rsidR="009A36D4">
              <w:rPr>
                <w:rFonts w:asciiTheme="majorHAnsi" w:hAnsiTheme="majorHAnsi"/>
                <w:noProof/>
                <w:sz w:val="20"/>
                <w:szCs w:val="20"/>
              </w:rPr>
              <w:t xml:space="preserve"> </w:t>
            </w:r>
            <w:r w:rsidR="009A36D4" w:rsidRPr="00487E50">
              <w:rPr>
                <w:rFonts w:asciiTheme="majorHAnsi" w:hAnsiTheme="majorHAnsi"/>
                <w:noProof/>
                <w:sz w:val="20"/>
                <w:szCs w:val="20"/>
                <w:highlight w:val="darkGray"/>
              </w:rPr>
              <w:t>1.0 m</w:t>
            </w:r>
          </w:p>
          <w:p w14:paraId="50160A2C" w14:textId="709659BA" w:rsidR="00A61ECA" w:rsidRDefault="00A61ECA" w:rsidP="00A61ECA">
            <w:pPr>
              <w:tabs>
                <w:tab w:val="left" w:pos="5529"/>
              </w:tabs>
              <w:spacing w:before="0" w:line="240" w:lineRule="auto"/>
              <w:jc w:val="left"/>
              <w:rPr>
                <w:rFonts w:asciiTheme="majorHAnsi" w:hAnsiTheme="majorHAnsi"/>
                <w:noProof/>
                <w:sz w:val="20"/>
                <w:szCs w:val="20"/>
              </w:rPr>
            </w:pPr>
            <w:r>
              <w:rPr>
                <w:rFonts w:asciiTheme="majorHAnsi" w:hAnsiTheme="majorHAnsi"/>
                <w:noProof/>
                <w:sz w:val="20"/>
                <w:szCs w:val="20"/>
              </w:rPr>
              <w:t xml:space="preserve">01 barreira do </w:t>
            </w:r>
            <w:r w:rsidRPr="00A61ECA">
              <w:rPr>
                <w:rFonts w:asciiTheme="majorHAnsi" w:hAnsiTheme="majorHAnsi"/>
                <w:i/>
                <w:noProof/>
                <w:sz w:val="20"/>
                <w:szCs w:val="20"/>
              </w:rPr>
              <w:t>Sistema Current Buster 6</w:t>
            </w:r>
            <w:r>
              <w:rPr>
                <w:rFonts w:asciiTheme="majorHAnsi" w:hAnsiTheme="majorHAnsi"/>
                <w:noProof/>
                <w:sz w:val="20"/>
                <w:szCs w:val="20"/>
              </w:rPr>
              <w:t xml:space="preserve"> </w:t>
            </w:r>
            <w:r w:rsidRPr="00A61ECA">
              <w:rPr>
                <w:rFonts w:asciiTheme="majorHAnsi" w:hAnsiTheme="majorHAnsi"/>
                <w:i/>
                <w:noProof/>
                <w:sz w:val="20"/>
                <w:szCs w:val="20"/>
              </w:rPr>
              <w:t>[CB6]</w:t>
            </w:r>
            <w:r w:rsidRPr="00A61ECA">
              <w:rPr>
                <w:rFonts w:asciiTheme="majorHAnsi" w:hAnsiTheme="majorHAnsi"/>
                <w:noProof/>
                <w:sz w:val="20"/>
                <w:szCs w:val="20"/>
              </w:rPr>
              <w:t xml:space="preserve"> </w:t>
            </w:r>
            <w:r w:rsidRPr="006B5044">
              <w:rPr>
                <w:rFonts w:asciiTheme="majorHAnsi" w:hAnsiTheme="majorHAnsi"/>
                <w:noProof/>
                <w:sz w:val="20"/>
                <w:szCs w:val="20"/>
              </w:rPr>
              <w:t>(</w:t>
            </w:r>
            <w:r>
              <w:rPr>
                <w:rFonts w:asciiTheme="majorHAnsi" w:hAnsiTheme="majorHAnsi"/>
                <w:noProof/>
                <w:sz w:val="20"/>
                <w:szCs w:val="20"/>
              </w:rPr>
              <w:t>considerada redundância da primeira)</w:t>
            </w:r>
          </w:p>
          <w:p w14:paraId="70A6D7D7" w14:textId="7330B5CF" w:rsidR="00A61ECA" w:rsidRDefault="00A61ECA" w:rsidP="00A61ECA">
            <w:pPr>
              <w:tabs>
                <w:tab w:val="left" w:pos="5529"/>
              </w:tabs>
              <w:spacing w:before="0" w:line="240" w:lineRule="auto"/>
              <w:jc w:val="left"/>
              <w:rPr>
                <w:rFonts w:asciiTheme="majorHAnsi" w:hAnsiTheme="majorHAnsi"/>
                <w:noProof/>
                <w:sz w:val="20"/>
                <w:szCs w:val="20"/>
              </w:rPr>
            </w:pPr>
            <w:r>
              <w:rPr>
                <w:rFonts w:asciiTheme="majorHAnsi" w:hAnsiTheme="majorHAnsi"/>
                <w:noProof/>
                <w:sz w:val="20"/>
                <w:szCs w:val="20"/>
              </w:rPr>
              <w:t xml:space="preserve">01 bomba reserva do </w:t>
            </w:r>
            <w:r w:rsidRPr="00A61ECA">
              <w:rPr>
                <w:rFonts w:asciiTheme="majorHAnsi" w:hAnsiTheme="majorHAnsi"/>
                <w:i/>
                <w:noProof/>
                <w:sz w:val="20"/>
                <w:szCs w:val="20"/>
              </w:rPr>
              <w:t>Sistema Current Buster 6</w:t>
            </w:r>
            <w:r>
              <w:rPr>
                <w:rFonts w:asciiTheme="majorHAnsi" w:hAnsiTheme="majorHAnsi"/>
                <w:noProof/>
                <w:sz w:val="20"/>
                <w:szCs w:val="20"/>
              </w:rPr>
              <w:t xml:space="preserve"> </w:t>
            </w:r>
            <w:r w:rsidRPr="00A61ECA">
              <w:rPr>
                <w:rFonts w:asciiTheme="majorHAnsi" w:hAnsiTheme="majorHAnsi"/>
                <w:i/>
                <w:noProof/>
                <w:sz w:val="20"/>
                <w:szCs w:val="20"/>
              </w:rPr>
              <w:t>[CB6]</w:t>
            </w:r>
            <w:r>
              <w:rPr>
                <w:rFonts w:asciiTheme="majorHAnsi" w:hAnsiTheme="majorHAnsi"/>
                <w:noProof/>
                <w:sz w:val="20"/>
                <w:szCs w:val="20"/>
              </w:rPr>
              <w:t>, com CN</w:t>
            </w:r>
            <w:r w:rsidRPr="00A61ECA">
              <w:rPr>
                <w:rFonts w:asciiTheme="majorHAnsi" w:hAnsiTheme="majorHAnsi"/>
                <w:noProof/>
                <w:sz w:val="20"/>
                <w:szCs w:val="20"/>
                <w:vertAlign w:val="superscript"/>
              </w:rPr>
              <w:t>1</w:t>
            </w:r>
            <w:r>
              <w:rPr>
                <w:rFonts w:asciiTheme="majorHAnsi" w:hAnsiTheme="majorHAnsi"/>
                <w:noProof/>
                <w:sz w:val="20"/>
                <w:szCs w:val="20"/>
              </w:rPr>
              <w:t xml:space="preserve"> de 100 m</w:t>
            </w:r>
            <w:r w:rsidRPr="00A61ECA">
              <w:rPr>
                <w:rFonts w:asciiTheme="majorHAnsi" w:hAnsiTheme="majorHAnsi"/>
                <w:noProof/>
                <w:sz w:val="20"/>
                <w:szCs w:val="20"/>
                <w:vertAlign w:val="superscript"/>
              </w:rPr>
              <w:t>3</w:t>
            </w:r>
            <w:r>
              <w:rPr>
                <w:rFonts w:asciiTheme="majorHAnsi" w:hAnsiTheme="majorHAnsi"/>
                <w:noProof/>
                <w:sz w:val="20"/>
                <w:szCs w:val="20"/>
              </w:rPr>
              <w:t xml:space="preserve">/h </w:t>
            </w:r>
          </w:p>
          <w:p w14:paraId="162C66A7" w14:textId="4BB33CFB" w:rsidR="00B17610" w:rsidRPr="008314DB" w:rsidRDefault="00B17610" w:rsidP="00A61ECA">
            <w:pPr>
              <w:tabs>
                <w:tab w:val="left" w:pos="5529"/>
              </w:tabs>
              <w:spacing w:before="0" w:line="240" w:lineRule="auto"/>
              <w:jc w:val="left"/>
              <w:rPr>
                <w:rFonts w:asciiTheme="majorHAnsi" w:hAnsiTheme="majorHAnsi"/>
                <w:noProof/>
                <w:sz w:val="20"/>
                <w:szCs w:val="20"/>
              </w:rPr>
            </w:pPr>
            <w:r w:rsidRPr="008314DB">
              <w:rPr>
                <w:rFonts w:asciiTheme="majorHAnsi" w:hAnsiTheme="majorHAnsi"/>
                <w:b/>
                <w:noProof/>
                <w:sz w:val="20"/>
                <w:szCs w:val="20"/>
              </w:rPr>
              <w:t>Tancagem</w:t>
            </w:r>
            <w:r>
              <w:rPr>
                <w:rFonts w:asciiTheme="majorHAnsi" w:hAnsiTheme="majorHAnsi"/>
                <w:noProof/>
                <w:sz w:val="20"/>
                <w:szCs w:val="20"/>
              </w:rPr>
              <w:t>: 1.050 m³ (livre/</w:t>
            </w:r>
            <w:r w:rsidR="00AB1A73">
              <w:rPr>
                <w:rFonts w:asciiTheme="majorHAnsi" w:hAnsiTheme="majorHAnsi"/>
                <w:noProof/>
                <w:sz w:val="20"/>
                <w:szCs w:val="20"/>
              </w:rPr>
              <w:t>dedicada à resposta)</w:t>
            </w:r>
          </w:p>
        </w:tc>
      </w:tr>
      <w:tr w:rsidR="009A36D4" w:rsidRPr="008314DB" w14:paraId="39EBE676" w14:textId="77777777" w:rsidTr="009A36D4">
        <w:trPr>
          <w:cnfStyle w:val="000000010000" w:firstRow="0" w:lastRow="0" w:firstColumn="0" w:lastColumn="0" w:oddVBand="0" w:evenVBand="0" w:oddHBand="0" w:evenHBand="1" w:firstRowFirstColumn="0" w:firstRowLastColumn="0" w:lastRowFirstColumn="0" w:lastRowLastColumn="0"/>
          <w:cantSplit/>
          <w:trHeight w:val="586"/>
        </w:trPr>
        <w:tc>
          <w:tcPr>
            <w:tcW w:w="373" w:type="pct"/>
            <w:vMerge w:val="restart"/>
          </w:tcPr>
          <w:p w14:paraId="0DE83DEF" w14:textId="1F2D3B09" w:rsidR="009A36D4" w:rsidRPr="00487E50" w:rsidRDefault="009A36D4" w:rsidP="009A36D4">
            <w:pPr>
              <w:tabs>
                <w:tab w:val="left" w:pos="5529"/>
              </w:tabs>
              <w:spacing w:before="0" w:line="240" w:lineRule="auto"/>
              <w:rPr>
                <w:rFonts w:asciiTheme="majorHAnsi" w:hAnsiTheme="majorHAnsi"/>
                <w:b/>
                <w:noProof/>
                <w:sz w:val="20"/>
                <w:szCs w:val="20"/>
                <w:highlight w:val="darkGray"/>
              </w:rPr>
            </w:pPr>
            <w:r w:rsidRPr="00487E50">
              <w:rPr>
                <w:rFonts w:asciiTheme="majorHAnsi" w:hAnsiTheme="majorHAnsi"/>
                <w:b/>
                <w:noProof/>
                <w:sz w:val="20"/>
                <w:szCs w:val="20"/>
                <w:highlight w:val="darkGray"/>
              </w:rPr>
              <w:t>PSV 01</w:t>
            </w:r>
          </w:p>
        </w:tc>
        <w:tc>
          <w:tcPr>
            <w:tcW w:w="633" w:type="pct"/>
            <w:vMerge w:val="restart"/>
          </w:tcPr>
          <w:p w14:paraId="219CB4CC" w14:textId="0861F5C2" w:rsidR="009A36D4" w:rsidRPr="00487E50" w:rsidRDefault="009A36D4" w:rsidP="009A36D4">
            <w:pPr>
              <w:tabs>
                <w:tab w:val="left" w:pos="5529"/>
              </w:tabs>
              <w:spacing w:before="0" w:line="240" w:lineRule="auto"/>
              <w:jc w:val="center"/>
              <w:rPr>
                <w:rFonts w:asciiTheme="majorHAnsi" w:hAnsiTheme="majorHAnsi"/>
                <w:i/>
                <w:noProof/>
                <w:sz w:val="20"/>
                <w:szCs w:val="20"/>
                <w:highlight w:val="darkGray"/>
              </w:rPr>
            </w:pPr>
            <w:r w:rsidRPr="00487E50">
              <w:rPr>
                <w:rFonts w:asciiTheme="majorHAnsi" w:hAnsiTheme="majorHAnsi"/>
                <w:i/>
                <w:noProof/>
                <w:sz w:val="20"/>
                <w:szCs w:val="20"/>
                <w:highlight w:val="darkGray"/>
              </w:rPr>
              <w:t>Embarcação de apoio (recolhimento) em função de redundância</w:t>
            </w:r>
          </w:p>
        </w:tc>
        <w:tc>
          <w:tcPr>
            <w:tcW w:w="566" w:type="pct"/>
          </w:tcPr>
          <w:p w14:paraId="579D6D48" w14:textId="0DA8B494" w:rsidR="009A36D4" w:rsidRPr="00487E50" w:rsidRDefault="009A36D4" w:rsidP="009A36D4">
            <w:pPr>
              <w:tabs>
                <w:tab w:val="left" w:pos="5529"/>
              </w:tabs>
              <w:spacing w:before="0" w:line="240" w:lineRule="auto"/>
              <w:jc w:val="left"/>
              <w:rPr>
                <w:rFonts w:asciiTheme="majorHAnsi" w:hAnsiTheme="majorHAnsi"/>
                <w:noProof/>
                <w:sz w:val="20"/>
                <w:szCs w:val="20"/>
                <w:highlight w:val="darkGray"/>
              </w:rPr>
            </w:pPr>
            <w:r w:rsidRPr="00487E50">
              <w:rPr>
                <w:rFonts w:asciiTheme="majorHAnsi" w:hAnsiTheme="majorHAnsi"/>
                <w:noProof/>
                <w:sz w:val="20"/>
                <w:szCs w:val="20"/>
                <w:highlight w:val="darkGray"/>
              </w:rPr>
              <w:t>Até 2</w:t>
            </w:r>
            <w:r w:rsidR="002B5B58" w:rsidRPr="00487E50">
              <w:rPr>
                <w:rFonts w:asciiTheme="majorHAnsi" w:hAnsiTheme="majorHAnsi"/>
                <w:noProof/>
                <w:sz w:val="20"/>
                <w:szCs w:val="20"/>
                <w:highlight w:val="darkGray"/>
              </w:rPr>
              <w:t xml:space="preserve"> </w:t>
            </w:r>
            <w:r w:rsidRPr="00487E50">
              <w:rPr>
                <w:rFonts w:asciiTheme="majorHAnsi" w:hAnsiTheme="majorHAnsi"/>
                <w:noProof/>
                <w:sz w:val="20"/>
                <w:szCs w:val="20"/>
                <w:highlight w:val="darkGray"/>
              </w:rPr>
              <w:t>h</w:t>
            </w:r>
            <w:r w:rsidR="002B5B58" w:rsidRPr="00487E50">
              <w:rPr>
                <w:rFonts w:asciiTheme="majorHAnsi" w:hAnsiTheme="majorHAnsi"/>
                <w:noProof/>
                <w:sz w:val="20"/>
                <w:szCs w:val="20"/>
                <w:highlight w:val="darkGray"/>
              </w:rPr>
              <w:t>s</w:t>
            </w:r>
            <w:r w:rsidRPr="00487E50">
              <w:rPr>
                <w:rFonts w:asciiTheme="majorHAnsi" w:hAnsiTheme="majorHAnsi"/>
                <w:noProof/>
                <w:sz w:val="20"/>
                <w:szCs w:val="20"/>
                <w:highlight w:val="darkGray"/>
              </w:rPr>
              <w:t xml:space="preserve"> da locação</w:t>
            </w:r>
            <w:r w:rsidRPr="00487E50">
              <w:rPr>
                <w:rFonts w:asciiTheme="majorHAnsi" w:hAnsiTheme="majorHAnsi"/>
                <w:noProof/>
                <w:sz w:val="20"/>
                <w:szCs w:val="20"/>
                <w:highlight w:val="darkGray"/>
                <w:vertAlign w:val="superscript"/>
              </w:rPr>
              <w:t>2</w:t>
            </w:r>
            <w:r w:rsidRPr="00487E50">
              <w:rPr>
                <w:rFonts w:asciiTheme="majorHAnsi" w:hAnsiTheme="majorHAnsi"/>
                <w:noProof/>
                <w:sz w:val="20"/>
                <w:szCs w:val="20"/>
                <w:highlight w:val="darkGray"/>
              </w:rPr>
              <w:t xml:space="preserve"> </w:t>
            </w:r>
          </w:p>
          <w:p w14:paraId="13D0A7B7" w14:textId="54C4D6DE" w:rsidR="009A36D4" w:rsidRPr="00487E50" w:rsidRDefault="009A36D4" w:rsidP="009A36D4">
            <w:pPr>
              <w:tabs>
                <w:tab w:val="left" w:pos="5529"/>
              </w:tabs>
              <w:spacing w:before="0" w:line="240" w:lineRule="auto"/>
              <w:jc w:val="left"/>
              <w:rPr>
                <w:rFonts w:asciiTheme="majorHAnsi" w:hAnsiTheme="majorHAnsi"/>
                <w:noProof/>
                <w:sz w:val="20"/>
                <w:szCs w:val="20"/>
                <w:highlight w:val="darkGray"/>
              </w:rPr>
            </w:pPr>
          </w:p>
        </w:tc>
        <w:tc>
          <w:tcPr>
            <w:tcW w:w="865" w:type="pct"/>
            <w:shd w:val="clear" w:color="auto" w:fill="FF3300"/>
          </w:tcPr>
          <w:p w14:paraId="46BED466" w14:textId="384FF860" w:rsidR="009A36D4" w:rsidRPr="00AA0B19" w:rsidRDefault="009A36D4" w:rsidP="009A36D4">
            <w:pPr>
              <w:tabs>
                <w:tab w:val="left" w:pos="5529"/>
              </w:tabs>
              <w:spacing w:before="0" w:line="240" w:lineRule="auto"/>
              <w:jc w:val="center"/>
              <w:rPr>
                <w:rFonts w:asciiTheme="majorHAnsi" w:hAnsiTheme="majorHAnsi"/>
                <w:noProof/>
                <w:sz w:val="20"/>
                <w:szCs w:val="20"/>
              </w:rPr>
            </w:pPr>
            <w:r w:rsidRPr="00487E50">
              <w:rPr>
                <w:rFonts w:asciiTheme="majorHAnsi" w:hAnsiTheme="majorHAnsi"/>
                <w:noProof/>
                <w:color w:val="FFFFFF" w:themeColor="background1"/>
                <w:sz w:val="20"/>
                <w:szCs w:val="20"/>
                <w:highlight w:val="darkGray"/>
              </w:rPr>
              <w:t xml:space="preserve">02 / </w:t>
            </w:r>
            <w:r w:rsidRPr="00487E50">
              <w:rPr>
                <w:rFonts w:asciiTheme="majorHAnsi" w:hAnsiTheme="majorHAnsi"/>
                <w:noProof/>
                <w:color w:val="FFFFFF" w:themeColor="background1"/>
                <w:highlight w:val="darkGray"/>
              </w:rPr>
              <w:t>06 / 12 h</w:t>
            </w:r>
            <w:r w:rsidR="002B5B58" w:rsidRPr="00487E50">
              <w:rPr>
                <w:rFonts w:asciiTheme="majorHAnsi" w:hAnsiTheme="majorHAnsi"/>
                <w:noProof/>
                <w:color w:val="FFFFFF" w:themeColor="background1"/>
                <w:highlight w:val="darkGray"/>
              </w:rPr>
              <w:t>s</w:t>
            </w:r>
          </w:p>
        </w:tc>
        <w:tc>
          <w:tcPr>
            <w:tcW w:w="2563" w:type="pct"/>
            <w:vMerge w:val="restart"/>
          </w:tcPr>
          <w:p w14:paraId="4957D88D" w14:textId="77777777" w:rsidR="009A36D4" w:rsidRPr="00487E50" w:rsidRDefault="009A36D4" w:rsidP="009A36D4">
            <w:pPr>
              <w:tabs>
                <w:tab w:val="left" w:pos="5529"/>
              </w:tabs>
              <w:spacing w:before="0" w:line="240" w:lineRule="auto"/>
              <w:jc w:val="left"/>
              <w:rPr>
                <w:rFonts w:asciiTheme="majorHAnsi" w:hAnsiTheme="majorHAnsi"/>
                <w:b/>
                <w:noProof/>
                <w:sz w:val="20"/>
                <w:szCs w:val="20"/>
                <w:highlight w:val="darkGray"/>
              </w:rPr>
            </w:pPr>
            <w:r w:rsidRPr="00487E50">
              <w:rPr>
                <w:rFonts w:asciiTheme="majorHAnsi" w:hAnsiTheme="majorHAnsi"/>
                <w:b/>
                <w:noProof/>
                <w:sz w:val="20"/>
                <w:szCs w:val="20"/>
                <w:highlight w:val="darkGray"/>
              </w:rPr>
              <w:t>Sistema de contenção e recolhimento</w:t>
            </w:r>
          </w:p>
          <w:p w14:paraId="4A1B7635" w14:textId="77777777" w:rsidR="009A36D4" w:rsidRPr="00487E50" w:rsidRDefault="009A36D4" w:rsidP="009A36D4">
            <w:pPr>
              <w:tabs>
                <w:tab w:val="left" w:pos="5529"/>
              </w:tabs>
              <w:spacing w:before="0" w:line="240" w:lineRule="auto"/>
              <w:jc w:val="left"/>
              <w:rPr>
                <w:rFonts w:asciiTheme="majorHAnsi" w:hAnsiTheme="majorHAnsi"/>
                <w:noProof/>
                <w:sz w:val="20"/>
                <w:szCs w:val="20"/>
                <w:highlight w:val="darkGray"/>
              </w:rPr>
            </w:pPr>
            <w:r w:rsidRPr="00487E50">
              <w:rPr>
                <w:rFonts w:asciiTheme="majorHAnsi" w:hAnsiTheme="majorHAnsi"/>
                <w:noProof/>
                <w:sz w:val="20"/>
                <w:szCs w:val="20"/>
                <w:highlight w:val="darkGray"/>
              </w:rPr>
              <w:t xml:space="preserve">01 </w:t>
            </w:r>
            <w:r w:rsidRPr="00487E50">
              <w:rPr>
                <w:rFonts w:asciiTheme="majorHAnsi" w:hAnsiTheme="majorHAnsi"/>
                <w:i/>
                <w:noProof/>
                <w:sz w:val="20"/>
                <w:szCs w:val="20"/>
                <w:highlight w:val="darkGray"/>
              </w:rPr>
              <w:t>Sistema Current Buster 6 [CB6],</w:t>
            </w:r>
            <w:r w:rsidRPr="00487E50">
              <w:rPr>
                <w:rFonts w:asciiTheme="majorHAnsi" w:hAnsiTheme="majorHAnsi"/>
                <w:noProof/>
                <w:sz w:val="20"/>
                <w:szCs w:val="20"/>
                <w:highlight w:val="darkGray"/>
              </w:rPr>
              <w:t xml:space="preserve"> com bomba acoplada, CN¹ de 100 m³/h &amp; </w:t>
            </w:r>
            <w:r w:rsidRPr="00487E50">
              <w:rPr>
                <w:rFonts w:asciiTheme="majorHAnsi" w:hAnsiTheme="majorHAnsi"/>
                <w:i/>
                <w:noProof/>
                <w:sz w:val="20"/>
                <w:szCs w:val="20"/>
                <w:highlight w:val="darkGray"/>
              </w:rPr>
              <w:t>BoomVane</w:t>
            </w:r>
            <w:r w:rsidRPr="00487E50">
              <w:rPr>
                <w:rFonts w:asciiTheme="majorHAnsi" w:hAnsiTheme="majorHAnsi"/>
                <w:noProof/>
                <w:sz w:val="20"/>
                <w:szCs w:val="20"/>
                <w:highlight w:val="darkGray"/>
              </w:rPr>
              <w:t xml:space="preserve"> 1.0 m</w:t>
            </w:r>
          </w:p>
          <w:p w14:paraId="21E71A62" w14:textId="2B06CDBD" w:rsidR="009A36D4" w:rsidRPr="008314DB" w:rsidRDefault="009A36D4" w:rsidP="009A36D4">
            <w:pPr>
              <w:tabs>
                <w:tab w:val="left" w:pos="5529"/>
              </w:tabs>
              <w:spacing w:before="0" w:line="240" w:lineRule="auto"/>
              <w:jc w:val="left"/>
              <w:rPr>
                <w:rFonts w:asciiTheme="majorHAnsi" w:hAnsiTheme="majorHAnsi"/>
                <w:b/>
                <w:noProof/>
                <w:sz w:val="20"/>
                <w:szCs w:val="20"/>
              </w:rPr>
            </w:pPr>
            <w:r w:rsidRPr="00487E50">
              <w:rPr>
                <w:rFonts w:asciiTheme="majorHAnsi" w:hAnsiTheme="majorHAnsi"/>
                <w:b/>
                <w:noProof/>
                <w:sz w:val="20"/>
                <w:szCs w:val="20"/>
                <w:highlight w:val="darkGray"/>
              </w:rPr>
              <w:t>Tancagem</w:t>
            </w:r>
            <w:r w:rsidRPr="00487E50">
              <w:rPr>
                <w:rFonts w:asciiTheme="majorHAnsi" w:hAnsiTheme="majorHAnsi"/>
                <w:noProof/>
                <w:sz w:val="20"/>
                <w:szCs w:val="20"/>
                <w:highlight w:val="darkGray"/>
              </w:rPr>
              <w:t xml:space="preserve">: </w:t>
            </w:r>
            <w:r w:rsidR="004F0016" w:rsidRPr="00487E50">
              <w:rPr>
                <w:rFonts w:asciiTheme="majorHAnsi" w:hAnsiTheme="majorHAnsi"/>
                <w:noProof/>
                <w:sz w:val="20"/>
                <w:szCs w:val="20"/>
                <w:highlight w:val="darkGray"/>
              </w:rPr>
              <w:t>1.0</w:t>
            </w:r>
            <w:r w:rsidRPr="00487E50">
              <w:rPr>
                <w:rFonts w:asciiTheme="majorHAnsi" w:hAnsiTheme="majorHAnsi"/>
                <w:noProof/>
                <w:sz w:val="20"/>
                <w:szCs w:val="20"/>
                <w:highlight w:val="darkGray"/>
              </w:rPr>
              <w:t>50 m³</w:t>
            </w:r>
            <w:r>
              <w:rPr>
                <w:rFonts w:asciiTheme="majorHAnsi" w:hAnsiTheme="majorHAnsi"/>
                <w:noProof/>
                <w:sz w:val="20"/>
                <w:szCs w:val="20"/>
              </w:rPr>
              <w:t xml:space="preserve"> </w:t>
            </w:r>
          </w:p>
        </w:tc>
      </w:tr>
      <w:tr w:rsidR="009A36D4" w:rsidRPr="008314DB" w14:paraId="0B098402" w14:textId="77777777" w:rsidTr="009A36D4">
        <w:trPr>
          <w:cnfStyle w:val="000000100000" w:firstRow="0" w:lastRow="0" w:firstColumn="0" w:lastColumn="0" w:oddVBand="0" w:evenVBand="0" w:oddHBand="1" w:evenHBand="0" w:firstRowFirstColumn="0" w:firstRowLastColumn="0" w:lastRowFirstColumn="0" w:lastRowLastColumn="0"/>
          <w:cantSplit/>
          <w:trHeight w:val="585"/>
        </w:trPr>
        <w:tc>
          <w:tcPr>
            <w:tcW w:w="373" w:type="pct"/>
            <w:vMerge/>
          </w:tcPr>
          <w:p w14:paraId="08554002" w14:textId="77777777" w:rsidR="009A36D4" w:rsidRPr="00487E50" w:rsidRDefault="009A36D4" w:rsidP="009A36D4">
            <w:pPr>
              <w:tabs>
                <w:tab w:val="left" w:pos="5529"/>
              </w:tabs>
              <w:spacing w:before="0" w:line="240" w:lineRule="auto"/>
              <w:rPr>
                <w:rFonts w:asciiTheme="majorHAnsi" w:hAnsiTheme="majorHAnsi"/>
                <w:b/>
                <w:noProof/>
                <w:sz w:val="20"/>
                <w:szCs w:val="20"/>
                <w:highlight w:val="darkGray"/>
              </w:rPr>
            </w:pPr>
          </w:p>
        </w:tc>
        <w:tc>
          <w:tcPr>
            <w:tcW w:w="633" w:type="pct"/>
            <w:vMerge/>
          </w:tcPr>
          <w:p w14:paraId="498533FD" w14:textId="77777777" w:rsidR="009A36D4" w:rsidRPr="00487E50" w:rsidRDefault="009A36D4" w:rsidP="009A36D4">
            <w:pPr>
              <w:tabs>
                <w:tab w:val="left" w:pos="5529"/>
              </w:tabs>
              <w:spacing w:before="0" w:line="240" w:lineRule="auto"/>
              <w:jc w:val="center"/>
              <w:rPr>
                <w:rFonts w:asciiTheme="majorHAnsi" w:hAnsiTheme="majorHAnsi"/>
                <w:i/>
                <w:noProof/>
                <w:sz w:val="20"/>
                <w:szCs w:val="20"/>
                <w:highlight w:val="darkGray"/>
              </w:rPr>
            </w:pPr>
          </w:p>
        </w:tc>
        <w:tc>
          <w:tcPr>
            <w:tcW w:w="566" w:type="pct"/>
          </w:tcPr>
          <w:p w14:paraId="162851A5" w14:textId="1C24514F" w:rsidR="009A36D4" w:rsidRPr="00487E50" w:rsidRDefault="009A36D4" w:rsidP="009A36D4">
            <w:pPr>
              <w:tabs>
                <w:tab w:val="left" w:pos="5529"/>
              </w:tabs>
              <w:spacing w:before="0" w:line="240" w:lineRule="auto"/>
              <w:jc w:val="left"/>
              <w:rPr>
                <w:rFonts w:asciiTheme="majorHAnsi" w:hAnsiTheme="majorHAnsi"/>
                <w:noProof/>
                <w:sz w:val="20"/>
                <w:szCs w:val="20"/>
                <w:highlight w:val="darkGray"/>
              </w:rPr>
            </w:pPr>
            <w:r w:rsidRPr="00487E50">
              <w:rPr>
                <w:rFonts w:asciiTheme="majorHAnsi" w:hAnsiTheme="majorHAnsi"/>
                <w:noProof/>
                <w:sz w:val="20"/>
                <w:szCs w:val="20"/>
                <w:highlight w:val="darkGray"/>
              </w:rPr>
              <w:t>Até 6 h</w:t>
            </w:r>
            <w:r w:rsidR="002B5B58" w:rsidRPr="00487E50">
              <w:rPr>
                <w:rFonts w:asciiTheme="majorHAnsi" w:hAnsiTheme="majorHAnsi"/>
                <w:noProof/>
                <w:sz w:val="20"/>
                <w:szCs w:val="20"/>
                <w:highlight w:val="darkGray"/>
              </w:rPr>
              <w:t>s</w:t>
            </w:r>
            <w:r w:rsidRPr="00487E50">
              <w:rPr>
                <w:rFonts w:asciiTheme="majorHAnsi" w:hAnsiTheme="majorHAnsi"/>
                <w:noProof/>
                <w:sz w:val="20"/>
                <w:szCs w:val="20"/>
                <w:highlight w:val="darkGray"/>
              </w:rPr>
              <w:t xml:space="preserve"> da locação</w:t>
            </w:r>
            <w:r w:rsidRPr="00487E50">
              <w:rPr>
                <w:rFonts w:asciiTheme="majorHAnsi" w:hAnsiTheme="majorHAnsi"/>
                <w:noProof/>
                <w:sz w:val="20"/>
                <w:szCs w:val="20"/>
                <w:highlight w:val="darkGray"/>
                <w:vertAlign w:val="superscript"/>
              </w:rPr>
              <w:t>3</w:t>
            </w:r>
          </w:p>
        </w:tc>
        <w:tc>
          <w:tcPr>
            <w:tcW w:w="865" w:type="pct"/>
            <w:shd w:val="clear" w:color="auto" w:fill="FF3300"/>
          </w:tcPr>
          <w:p w14:paraId="23D0ED87" w14:textId="6EF848F3" w:rsidR="009A36D4" w:rsidRPr="009A36D4" w:rsidRDefault="009A36D4" w:rsidP="009A36D4">
            <w:pPr>
              <w:tabs>
                <w:tab w:val="left" w:pos="5529"/>
              </w:tabs>
              <w:spacing w:before="0" w:line="240" w:lineRule="auto"/>
              <w:jc w:val="center"/>
              <w:rPr>
                <w:rFonts w:asciiTheme="majorHAnsi" w:hAnsiTheme="majorHAnsi"/>
                <w:noProof/>
                <w:color w:val="FFFFFF" w:themeColor="background1"/>
                <w:sz w:val="20"/>
                <w:szCs w:val="20"/>
              </w:rPr>
            </w:pPr>
            <w:r w:rsidRPr="00487E50">
              <w:rPr>
                <w:rFonts w:asciiTheme="majorHAnsi" w:hAnsiTheme="majorHAnsi"/>
                <w:noProof/>
                <w:color w:val="FFFFFF" w:themeColor="background1"/>
                <w:sz w:val="20"/>
                <w:szCs w:val="20"/>
                <w:highlight w:val="darkGray"/>
              </w:rPr>
              <w:t>06 / 12 h</w:t>
            </w:r>
            <w:r w:rsidR="002B5B58" w:rsidRPr="00487E50">
              <w:rPr>
                <w:rFonts w:asciiTheme="majorHAnsi" w:hAnsiTheme="majorHAnsi"/>
                <w:noProof/>
                <w:color w:val="FFFFFF" w:themeColor="background1"/>
                <w:sz w:val="20"/>
                <w:szCs w:val="20"/>
                <w:highlight w:val="darkGray"/>
              </w:rPr>
              <w:t>s</w:t>
            </w:r>
          </w:p>
        </w:tc>
        <w:tc>
          <w:tcPr>
            <w:tcW w:w="2563" w:type="pct"/>
            <w:vMerge/>
          </w:tcPr>
          <w:p w14:paraId="21350B91" w14:textId="77777777" w:rsidR="009A36D4" w:rsidRPr="008314DB" w:rsidRDefault="009A36D4" w:rsidP="009A36D4">
            <w:pPr>
              <w:tabs>
                <w:tab w:val="left" w:pos="5529"/>
              </w:tabs>
              <w:spacing w:before="0" w:line="240" w:lineRule="auto"/>
              <w:jc w:val="left"/>
              <w:rPr>
                <w:rFonts w:asciiTheme="majorHAnsi" w:hAnsiTheme="majorHAnsi"/>
                <w:b/>
                <w:noProof/>
                <w:sz w:val="20"/>
                <w:szCs w:val="20"/>
              </w:rPr>
            </w:pPr>
          </w:p>
        </w:tc>
      </w:tr>
      <w:tr w:rsidR="003C7B91" w:rsidRPr="008314DB" w14:paraId="2E059E51" w14:textId="77777777" w:rsidTr="003C7B91">
        <w:trPr>
          <w:cnfStyle w:val="000000010000" w:firstRow="0" w:lastRow="0" w:firstColumn="0" w:lastColumn="0" w:oddVBand="0" w:evenVBand="0" w:oddHBand="0" w:evenHBand="1" w:firstRowFirstColumn="0" w:firstRowLastColumn="0" w:lastRowFirstColumn="0" w:lastRowLastColumn="0"/>
          <w:cantSplit/>
          <w:trHeight w:val="1701"/>
        </w:trPr>
        <w:tc>
          <w:tcPr>
            <w:tcW w:w="373" w:type="pct"/>
          </w:tcPr>
          <w:p w14:paraId="2ABCF284" w14:textId="06E854F5" w:rsidR="00B17610" w:rsidRPr="008314DB" w:rsidRDefault="00B17610" w:rsidP="008314DB">
            <w:pPr>
              <w:tabs>
                <w:tab w:val="left" w:pos="5529"/>
              </w:tabs>
              <w:spacing w:before="0" w:line="240" w:lineRule="auto"/>
              <w:rPr>
                <w:rFonts w:asciiTheme="majorHAnsi" w:hAnsiTheme="majorHAnsi"/>
                <w:b/>
                <w:noProof/>
                <w:sz w:val="20"/>
                <w:szCs w:val="20"/>
              </w:rPr>
            </w:pPr>
            <w:r w:rsidRPr="00487E50">
              <w:rPr>
                <w:rFonts w:asciiTheme="majorHAnsi" w:hAnsiTheme="majorHAnsi"/>
                <w:b/>
                <w:noProof/>
                <w:sz w:val="20"/>
                <w:szCs w:val="20"/>
                <w:highlight w:val="darkGray"/>
              </w:rPr>
              <w:t>PSV 0</w:t>
            </w:r>
            <w:r w:rsidR="009A36D4" w:rsidRPr="00487E50">
              <w:rPr>
                <w:rFonts w:asciiTheme="majorHAnsi" w:hAnsiTheme="majorHAnsi"/>
                <w:b/>
                <w:noProof/>
                <w:sz w:val="20"/>
                <w:szCs w:val="20"/>
                <w:highlight w:val="darkGray"/>
              </w:rPr>
              <w:t>2</w:t>
            </w:r>
            <w:r w:rsidRPr="008314DB">
              <w:rPr>
                <w:rFonts w:asciiTheme="majorHAnsi" w:hAnsiTheme="majorHAnsi"/>
                <w:b/>
                <w:noProof/>
                <w:sz w:val="20"/>
                <w:szCs w:val="20"/>
              </w:rPr>
              <w:t xml:space="preserve"> </w:t>
            </w:r>
          </w:p>
        </w:tc>
        <w:tc>
          <w:tcPr>
            <w:tcW w:w="633" w:type="pct"/>
          </w:tcPr>
          <w:p w14:paraId="4B03139A" w14:textId="181E787F" w:rsidR="00B17610" w:rsidRPr="00B434F8" w:rsidRDefault="00B434F8" w:rsidP="00B434F8">
            <w:pPr>
              <w:tabs>
                <w:tab w:val="left" w:pos="5529"/>
              </w:tabs>
              <w:spacing w:before="0" w:line="240" w:lineRule="auto"/>
              <w:jc w:val="center"/>
              <w:rPr>
                <w:rFonts w:asciiTheme="majorHAnsi" w:hAnsiTheme="majorHAnsi"/>
                <w:i/>
                <w:noProof/>
                <w:sz w:val="20"/>
                <w:szCs w:val="20"/>
              </w:rPr>
            </w:pPr>
            <w:r>
              <w:rPr>
                <w:rFonts w:asciiTheme="majorHAnsi" w:hAnsiTheme="majorHAnsi"/>
                <w:i/>
                <w:noProof/>
                <w:sz w:val="20"/>
                <w:szCs w:val="20"/>
              </w:rPr>
              <w:t>Embarcação de recolhimento</w:t>
            </w:r>
          </w:p>
        </w:tc>
        <w:tc>
          <w:tcPr>
            <w:tcW w:w="566" w:type="pct"/>
          </w:tcPr>
          <w:p w14:paraId="5013E6C4" w14:textId="73B43ACC" w:rsidR="00B17610" w:rsidRPr="008314DB" w:rsidRDefault="00B17610" w:rsidP="00FA4BE7">
            <w:pPr>
              <w:tabs>
                <w:tab w:val="left" w:pos="5529"/>
              </w:tabs>
              <w:spacing w:before="0" w:line="240" w:lineRule="auto"/>
              <w:jc w:val="left"/>
              <w:rPr>
                <w:rFonts w:asciiTheme="majorHAnsi" w:hAnsiTheme="majorHAnsi"/>
                <w:noProof/>
                <w:sz w:val="20"/>
                <w:szCs w:val="20"/>
              </w:rPr>
            </w:pPr>
            <w:r w:rsidRPr="008314DB">
              <w:rPr>
                <w:rFonts w:asciiTheme="majorHAnsi" w:hAnsiTheme="majorHAnsi"/>
                <w:noProof/>
                <w:sz w:val="20"/>
                <w:szCs w:val="20"/>
              </w:rPr>
              <w:t xml:space="preserve">Até </w:t>
            </w:r>
            <w:r>
              <w:rPr>
                <w:rFonts w:asciiTheme="majorHAnsi" w:hAnsiTheme="majorHAnsi"/>
                <w:noProof/>
                <w:sz w:val="20"/>
                <w:szCs w:val="20"/>
              </w:rPr>
              <w:t>36</w:t>
            </w:r>
            <w:r w:rsidR="002B5B58">
              <w:rPr>
                <w:rFonts w:asciiTheme="majorHAnsi" w:hAnsiTheme="majorHAnsi"/>
                <w:noProof/>
                <w:sz w:val="20"/>
                <w:szCs w:val="20"/>
              </w:rPr>
              <w:t xml:space="preserve"> </w:t>
            </w:r>
            <w:r w:rsidRPr="008314DB">
              <w:rPr>
                <w:rFonts w:asciiTheme="majorHAnsi" w:hAnsiTheme="majorHAnsi"/>
                <w:noProof/>
                <w:sz w:val="20"/>
                <w:szCs w:val="20"/>
              </w:rPr>
              <w:t>h</w:t>
            </w:r>
            <w:r w:rsidR="002B5B58">
              <w:rPr>
                <w:rFonts w:asciiTheme="majorHAnsi" w:hAnsiTheme="majorHAnsi"/>
                <w:noProof/>
                <w:sz w:val="20"/>
                <w:szCs w:val="20"/>
              </w:rPr>
              <w:t>s</w:t>
            </w:r>
            <w:r w:rsidRPr="008314DB">
              <w:rPr>
                <w:rFonts w:asciiTheme="majorHAnsi" w:hAnsiTheme="majorHAnsi"/>
                <w:noProof/>
                <w:sz w:val="20"/>
                <w:szCs w:val="20"/>
              </w:rPr>
              <w:t xml:space="preserve"> da locação</w:t>
            </w:r>
          </w:p>
        </w:tc>
        <w:tc>
          <w:tcPr>
            <w:tcW w:w="865" w:type="pct"/>
            <w:shd w:val="clear" w:color="auto" w:fill="FFC000"/>
          </w:tcPr>
          <w:p w14:paraId="2688D5A8" w14:textId="64408B35" w:rsidR="00B17610" w:rsidRPr="008314DB" w:rsidRDefault="00B17610" w:rsidP="00FA4BE7">
            <w:pPr>
              <w:tabs>
                <w:tab w:val="left" w:pos="5529"/>
              </w:tabs>
              <w:spacing w:before="0" w:line="240" w:lineRule="auto"/>
              <w:jc w:val="center"/>
              <w:rPr>
                <w:rFonts w:asciiTheme="majorHAnsi" w:hAnsiTheme="majorHAnsi"/>
                <w:noProof/>
                <w:color w:val="FFFFFF" w:themeColor="background1"/>
                <w:sz w:val="20"/>
                <w:szCs w:val="20"/>
              </w:rPr>
            </w:pPr>
            <w:r w:rsidRPr="00AA0B19">
              <w:rPr>
                <w:rFonts w:asciiTheme="majorHAnsi" w:hAnsiTheme="majorHAnsi"/>
                <w:noProof/>
                <w:sz w:val="20"/>
                <w:szCs w:val="20"/>
              </w:rPr>
              <w:t>36 h</w:t>
            </w:r>
            <w:r w:rsidR="002B5B58">
              <w:rPr>
                <w:rFonts w:asciiTheme="majorHAnsi" w:hAnsiTheme="majorHAnsi"/>
                <w:noProof/>
                <w:sz w:val="20"/>
                <w:szCs w:val="20"/>
              </w:rPr>
              <w:t>s</w:t>
            </w:r>
          </w:p>
        </w:tc>
        <w:tc>
          <w:tcPr>
            <w:tcW w:w="2563" w:type="pct"/>
          </w:tcPr>
          <w:p w14:paraId="1DE7E145" w14:textId="77777777" w:rsidR="00B434F8" w:rsidRPr="008314DB" w:rsidRDefault="00B434F8" w:rsidP="00B434F8">
            <w:pPr>
              <w:tabs>
                <w:tab w:val="left" w:pos="5529"/>
              </w:tabs>
              <w:spacing w:before="0" w:line="240" w:lineRule="auto"/>
              <w:jc w:val="left"/>
              <w:rPr>
                <w:rFonts w:asciiTheme="majorHAnsi" w:hAnsiTheme="majorHAnsi"/>
                <w:b/>
                <w:noProof/>
                <w:sz w:val="20"/>
                <w:szCs w:val="20"/>
              </w:rPr>
            </w:pPr>
            <w:r w:rsidRPr="008314DB">
              <w:rPr>
                <w:rFonts w:asciiTheme="majorHAnsi" w:hAnsiTheme="majorHAnsi"/>
                <w:b/>
                <w:noProof/>
                <w:sz w:val="20"/>
                <w:szCs w:val="20"/>
              </w:rPr>
              <w:t>Sistema de contenção e recolhimento</w:t>
            </w:r>
          </w:p>
          <w:p w14:paraId="63B9E690" w14:textId="77777777" w:rsidR="00B434F8" w:rsidRPr="00B17610" w:rsidRDefault="00B434F8" w:rsidP="00B434F8">
            <w:pPr>
              <w:tabs>
                <w:tab w:val="left" w:pos="5529"/>
              </w:tabs>
              <w:spacing w:before="0" w:line="240" w:lineRule="auto"/>
              <w:jc w:val="left"/>
              <w:rPr>
                <w:rFonts w:asciiTheme="majorHAnsi" w:hAnsiTheme="majorHAnsi"/>
                <w:noProof/>
                <w:sz w:val="20"/>
                <w:szCs w:val="20"/>
              </w:rPr>
            </w:pPr>
            <w:r w:rsidRPr="008314DB">
              <w:rPr>
                <w:rFonts w:asciiTheme="majorHAnsi" w:hAnsiTheme="majorHAnsi"/>
                <w:noProof/>
                <w:sz w:val="20"/>
                <w:szCs w:val="20"/>
              </w:rPr>
              <w:t xml:space="preserve">01 </w:t>
            </w:r>
            <w:r w:rsidRPr="008314DB">
              <w:rPr>
                <w:rFonts w:asciiTheme="majorHAnsi" w:hAnsiTheme="majorHAnsi"/>
                <w:i/>
                <w:noProof/>
                <w:sz w:val="20"/>
                <w:szCs w:val="20"/>
              </w:rPr>
              <w:t xml:space="preserve">Sistema Current Buster 6 </w:t>
            </w:r>
            <w:r w:rsidRPr="00A61ECA">
              <w:rPr>
                <w:rFonts w:asciiTheme="majorHAnsi" w:hAnsiTheme="majorHAnsi"/>
                <w:i/>
                <w:noProof/>
                <w:sz w:val="20"/>
                <w:szCs w:val="20"/>
              </w:rPr>
              <w:t>[CB6]</w:t>
            </w:r>
            <w:r w:rsidRPr="008314DB">
              <w:rPr>
                <w:rFonts w:asciiTheme="majorHAnsi" w:hAnsiTheme="majorHAnsi"/>
                <w:i/>
                <w:noProof/>
                <w:sz w:val="20"/>
                <w:szCs w:val="20"/>
              </w:rPr>
              <w:t>,</w:t>
            </w:r>
            <w:r w:rsidRPr="008314DB">
              <w:rPr>
                <w:rFonts w:asciiTheme="majorHAnsi" w:hAnsiTheme="majorHAnsi"/>
                <w:noProof/>
                <w:sz w:val="20"/>
                <w:szCs w:val="20"/>
              </w:rPr>
              <w:t xml:space="preserve"> com bomba acoplada, CN</w:t>
            </w:r>
            <w:r>
              <w:rPr>
                <w:rFonts w:asciiTheme="majorHAnsi" w:hAnsiTheme="majorHAnsi"/>
                <w:noProof/>
                <w:sz w:val="20"/>
                <w:szCs w:val="20"/>
              </w:rPr>
              <w:t>¹</w:t>
            </w:r>
            <w:r w:rsidRPr="008314DB">
              <w:rPr>
                <w:rFonts w:asciiTheme="majorHAnsi" w:hAnsiTheme="majorHAnsi"/>
                <w:noProof/>
                <w:sz w:val="20"/>
                <w:szCs w:val="20"/>
              </w:rPr>
              <w:t xml:space="preserve"> </w:t>
            </w:r>
            <w:r>
              <w:rPr>
                <w:rFonts w:asciiTheme="majorHAnsi" w:hAnsiTheme="majorHAnsi"/>
                <w:noProof/>
                <w:sz w:val="20"/>
                <w:szCs w:val="20"/>
              </w:rPr>
              <w:t>de</w:t>
            </w:r>
            <w:r w:rsidRPr="008314DB">
              <w:rPr>
                <w:rFonts w:asciiTheme="majorHAnsi" w:hAnsiTheme="majorHAnsi"/>
                <w:noProof/>
                <w:sz w:val="20"/>
                <w:szCs w:val="20"/>
              </w:rPr>
              <w:t xml:space="preserve"> 100</w:t>
            </w:r>
            <w:r>
              <w:rPr>
                <w:rFonts w:asciiTheme="majorHAnsi" w:hAnsiTheme="majorHAnsi"/>
                <w:noProof/>
                <w:sz w:val="20"/>
                <w:szCs w:val="20"/>
              </w:rPr>
              <w:t> </w:t>
            </w:r>
            <w:r w:rsidRPr="008314DB">
              <w:rPr>
                <w:rFonts w:asciiTheme="majorHAnsi" w:hAnsiTheme="majorHAnsi"/>
                <w:noProof/>
                <w:sz w:val="20"/>
                <w:szCs w:val="20"/>
              </w:rPr>
              <w:t xml:space="preserve">m³/h &amp; </w:t>
            </w:r>
            <w:r w:rsidRPr="008314DB">
              <w:rPr>
                <w:rFonts w:asciiTheme="majorHAnsi" w:hAnsiTheme="majorHAnsi"/>
                <w:i/>
                <w:noProof/>
                <w:sz w:val="20"/>
                <w:szCs w:val="20"/>
              </w:rPr>
              <w:t>BoomVane</w:t>
            </w:r>
          </w:p>
          <w:p w14:paraId="7E6CC66F" w14:textId="1BE77F1A" w:rsidR="00B17610" w:rsidRPr="008314DB" w:rsidRDefault="00B17610" w:rsidP="00FA4BE7">
            <w:pPr>
              <w:tabs>
                <w:tab w:val="left" w:pos="5529"/>
              </w:tabs>
              <w:spacing w:before="0" w:line="240" w:lineRule="auto"/>
              <w:jc w:val="left"/>
              <w:rPr>
                <w:rFonts w:asciiTheme="majorHAnsi" w:hAnsiTheme="majorHAnsi"/>
                <w:noProof/>
                <w:sz w:val="20"/>
                <w:szCs w:val="20"/>
              </w:rPr>
            </w:pPr>
            <w:r w:rsidRPr="008314DB">
              <w:rPr>
                <w:rFonts w:asciiTheme="majorHAnsi" w:hAnsiTheme="majorHAnsi"/>
                <w:b/>
                <w:noProof/>
                <w:sz w:val="20"/>
                <w:szCs w:val="20"/>
              </w:rPr>
              <w:t>Tancagem</w:t>
            </w:r>
            <w:r w:rsidR="00B434F8">
              <w:rPr>
                <w:rFonts w:asciiTheme="majorHAnsi" w:hAnsiTheme="majorHAnsi"/>
                <w:noProof/>
                <w:sz w:val="20"/>
                <w:szCs w:val="20"/>
              </w:rPr>
              <w:t xml:space="preserve">: </w:t>
            </w:r>
            <w:r w:rsidR="004F0016" w:rsidRPr="00487E50">
              <w:rPr>
                <w:rFonts w:asciiTheme="majorHAnsi" w:hAnsiTheme="majorHAnsi"/>
                <w:noProof/>
                <w:sz w:val="20"/>
                <w:szCs w:val="20"/>
                <w:highlight w:val="darkGray"/>
              </w:rPr>
              <w:t>1.0</w:t>
            </w:r>
            <w:r w:rsidR="00B434F8" w:rsidRPr="00487E50">
              <w:rPr>
                <w:rFonts w:asciiTheme="majorHAnsi" w:hAnsiTheme="majorHAnsi"/>
                <w:noProof/>
                <w:sz w:val="20"/>
                <w:szCs w:val="20"/>
                <w:highlight w:val="darkGray"/>
              </w:rPr>
              <w:t>50</w:t>
            </w:r>
            <w:r w:rsidR="00B434F8">
              <w:rPr>
                <w:rFonts w:asciiTheme="majorHAnsi" w:hAnsiTheme="majorHAnsi"/>
                <w:noProof/>
                <w:sz w:val="20"/>
                <w:szCs w:val="20"/>
              </w:rPr>
              <w:t xml:space="preserve"> m³ </w:t>
            </w:r>
          </w:p>
        </w:tc>
      </w:tr>
      <w:tr w:rsidR="003C7B91" w:rsidRPr="008314DB" w14:paraId="4AD7ADD8" w14:textId="77777777" w:rsidTr="003C7B91">
        <w:trPr>
          <w:cnfStyle w:val="000000100000" w:firstRow="0" w:lastRow="0" w:firstColumn="0" w:lastColumn="0" w:oddVBand="0" w:evenVBand="0" w:oddHBand="1" w:evenHBand="0" w:firstRowFirstColumn="0" w:firstRowLastColumn="0" w:lastRowFirstColumn="0" w:lastRowLastColumn="0"/>
          <w:cantSplit/>
          <w:trHeight w:val="680"/>
        </w:trPr>
        <w:tc>
          <w:tcPr>
            <w:tcW w:w="373" w:type="pct"/>
          </w:tcPr>
          <w:p w14:paraId="7740690C" w14:textId="7230DFDA" w:rsidR="00B434F8" w:rsidRPr="008314DB" w:rsidRDefault="00B434F8" w:rsidP="008314DB">
            <w:pPr>
              <w:tabs>
                <w:tab w:val="left" w:pos="5529"/>
              </w:tabs>
              <w:spacing w:before="0" w:line="240" w:lineRule="auto"/>
              <w:rPr>
                <w:rFonts w:asciiTheme="majorHAnsi" w:hAnsiTheme="majorHAnsi"/>
                <w:b/>
                <w:noProof/>
                <w:sz w:val="20"/>
                <w:szCs w:val="20"/>
              </w:rPr>
            </w:pPr>
            <w:r w:rsidRPr="00487E50">
              <w:rPr>
                <w:rFonts w:asciiTheme="majorHAnsi" w:hAnsiTheme="majorHAnsi"/>
                <w:b/>
                <w:noProof/>
                <w:sz w:val="20"/>
                <w:szCs w:val="20"/>
                <w:highlight w:val="darkGray"/>
              </w:rPr>
              <w:t>PSV 0</w:t>
            </w:r>
            <w:r w:rsidR="009A36D4" w:rsidRPr="00487E50">
              <w:rPr>
                <w:rFonts w:asciiTheme="majorHAnsi" w:hAnsiTheme="majorHAnsi"/>
                <w:b/>
                <w:noProof/>
                <w:sz w:val="20"/>
                <w:szCs w:val="20"/>
                <w:highlight w:val="darkGray"/>
              </w:rPr>
              <w:t>3</w:t>
            </w:r>
          </w:p>
        </w:tc>
        <w:tc>
          <w:tcPr>
            <w:tcW w:w="633" w:type="pct"/>
          </w:tcPr>
          <w:p w14:paraId="7D0AEBDD" w14:textId="5808936C" w:rsidR="00B434F8" w:rsidRPr="008314DB" w:rsidRDefault="00B434F8" w:rsidP="00FA4BE7">
            <w:pPr>
              <w:keepNext/>
              <w:tabs>
                <w:tab w:val="left" w:pos="5529"/>
              </w:tabs>
              <w:spacing w:before="0" w:line="240" w:lineRule="auto"/>
              <w:jc w:val="center"/>
              <w:rPr>
                <w:rFonts w:asciiTheme="majorHAnsi" w:hAnsiTheme="majorHAnsi"/>
                <w:b/>
                <w:i/>
                <w:noProof/>
                <w:sz w:val="20"/>
                <w:szCs w:val="20"/>
              </w:rPr>
            </w:pPr>
            <w:r w:rsidRPr="008314DB">
              <w:rPr>
                <w:rFonts w:asciiTheme="majorHAnsi" w:hAnsiTheme="majorHAnsi"/>
                <w:i/>
                <w:noProof/>
                <w:sz w:val="20"/>
                <w:szCs w:val="20"/>
              </w:rPr>
              <w:t xml:space="preserve">Embarcação de recolhimento </w:t>
            </w:r>
          </w:p>
        </w:tc>
        <w:tc>
          <w:tcPr>
            <w:tcW w:w="566" w:type="pct"/>
          </w:tcPr>
          <w:p w14:paraId="27077CE4" w14:textId="6FE97EC5" w:rsidR="00B434F8" w:rsidRPr="008314DB" w:rsidRDefault="00B434F8" w:rsidP="00FA4BE7">
            <w:pPr>
              <w:tabs>
                <w:tab w:val="left" w:pos="5529"/>
              </w:tabs>
              <w:spacing w:before="0" w:line="240" w:lineRule="auto"/>
              <w:jc w:val="left"/>
              <w:rPr>
                <w:rFonts w:asciiTheme="majorHAnsi" w:hAnsiTheme="majorHAnsi"/>
                <w:noProof/>
                <w:sz w:val="20"/>
                <w:szCs w:val="20"/>
              </w:rPr>
            </w:pPr>
            <w:r w:rsidRPr="008314DB">
              <w:rPr>
                <w:rFonts w:asciiTheme="majorHAnsi" w:hAnsiTheme="majorHAnsi"/>
                <w:noProof/>
                <w:sz w:val="20"/>
                <w:szCs w:val="20"/>
              </w:rPr>
              <w:t xml:space="preserve">Entre a locação e a base de apoio </w:t>
            </w:r>
            <w:r w:rsidRPr="008314DB">
              <w:rPr>
                <w:rFonts w:asciiTheme="majorHAnsi" w:hAnsiTheme="majorHAnsi"/>
                <w:i/>
                <w:noProof/>
                <w:sz w:val="20"/>
                <w:szCs w:val="20"/>
              </w:rPr>
              <w:t>logístico onshore</w:t>
            </w:r>
          </w:p>
        </w:tc>
        <w:tc>
          <w:tcPr>
            <w:tcW w:w="865" w:type="pct"/>
            <w:shd w:val="clear" w:color="auto" w:fill="92D050"/>
          </w:tcPr>
          <w:p w14:paraId="654EF731" w14:textId="1B296E10" w:rsidR="00B434F8" w:rsidRPr="008314DB" w:rsidRDefault="00B434F8" w:rsidP="00FA4BE7">
            <w:pPr>
              <w:tabs>
                <w:tab w:val="left" w:pos="5529"/>
              </w:tabs>
              <w:spacing w:before="0" w:line="240" w:lineRule="auto"/>
              <w:jc w:val="center"/>
              <w:rPr>
                <w:rFonts w:asciiTheme="majorHAnsi" w:hAnsiTheme="majorHAnsi"/>
                <w:noProof/>
                <w:sz w:val="20"/>
                <w:szCs w:val="20"/>
              </w:rPr>
            </w:pPr>
            <w:r w:rsidRPr="008314DB">
              <w:rPr>
                <w:rFonts w:asciiTheme="majorHAnsi" w:hAnsiTheme="majorHAnsi"/>
                <w:noProof/>
                <w:sz w:val="20"/>
                <w:szCs w:val="20"/>
              </w:rPr>
              <w:t>60 h</w:t>
            </w:r>
            <w:r w:rsidR="002B5B58">
              <w:rPr>
                <w:rFonts w:asciiTheme="majorHAnsi" w:hAnsiTheme="majorHAnsi"/>
                <w:noProof/>
                <w:sz w:val="20"/>
                <w:szCs w:val="20"/>
              </w:rPr>
              <w:t>s</w:t>
            </w:r>
          </w:p>
        </w:tc>
        <w:tc>
          <w:tcPr>
            <w:tcW w:w="2563" w:type="pct"/>
          </w:tcPr>
          <w:p w14:paraId="4C43368B" w14:textId="77777777" w:rsidR="00B434F8" w:rsidRPr="008314DB" w:rsidRDefault="00B434F8" w:rsidP="00D7095B">
            <w:pPr>
              <w:tabs>
                <w:tab w:val="left" w:pos="5529"/>
              </w:tabs>
              <w:spacing w:before="0" w:line="240" w:lineRule="auto"/>
              <w:jc w:val="left"/>
              <w:rPr>
                <w:rFonts w:asciiTheme="majorHAnsi" w:hAnsiTheme="majorHAnsi"/>
                <w:b/>
                <w:noProof/>
                <w:sz w:val="20"/>
                <w:szCs w:val="20"/>
              </w:rPr>
            </w:pPr>
            <w:r w:rsidRPr="008314DB">
              <w:rPr>
                <w:rFonts w:asciiTheme="majorHAnsi" w:hAnsiTheme="majorHAnsi"/>
                <w:b/>
                <w:noProof/>
                <w:sz w:val="20"/>
                <w:szCs w:val="20"/>
              </w:rPr>
              <w:t>Sistema de contenção e recolhimento</w:t>
            </w:r>
          </w:p>
          <w:p w14:paraId="499046B7" w14:textId="77777777" w:rsidR="00B434F8" w:rsidRPr="00B17610" w:rsidRDefault="00B434F8" w:rsidP="00D7095B">
            <w:pPr>
              <w:tabs>
                <w:tab w:val="left" w:pos="5529"/>
              </w:tabs>
              <w:spacing w:before="0" w:line="240" w:lineRule="auto"/>
              <w:jc w:val="left"/>
              <w:rPr>
                <w:rFonts w:asciiTheme="majorHAnsi" w:hAnsiTheme="majorHAnsi"/>
                <w:noProof/>
                <w:sz w:val="20"/>
                <w:szCs w:val="20"/>
              </w:rPr>
            </w:pPr>
            <w:r w:rsidRPr="008314DB">
              <w:rPr>
                <w:rFonts w:asciiTheme="majorHAnsi" w:hAnsiTheme="majorHAnsi"/>
                <w:noProof/>
                <w:sz w:val="20"/>
                <w:szCs w:val="20"/>
              </w:rPr>
              <w:t xml:space="preserve">01 </w:t>
            </w:r>
            <w:r w:rsidRPr="008314DB">
              <w:rPr>
                <w:rFonts w:asciiTheme="majorHAnsi" w:hAnsiTheme="majorHAnsi"/>
                <w:i/>
                <w:noProof/>
                <w:sz w:val="20"/>
                <w:szCs w:val="20"/>
              </w:rPr>
              <w:t xml:space="preserve">Sistema Current Buster 6 </w:t>
            </w:r>
            <w:r w:rsidRPr="00A61ECA">
              <w:rPr>
                <w:rFonts w:asciiTheme="majorHAnsi" w:hAnsiTheme="majorHAnsi"/>
                <w:i/>
                <w:noProof/>
                <w:sz w:val="20"/>
                <w:szCs w:val="20"/>
              </w:rPr>
              <w:t>[CB6]</w:t>
            </w:r>
            <w:r w:rsidRPr="008314DB">
              <w:rPr>
                <w:rFonts w:asciiTheme="majorHAnsi" w:hAnsiTheme="majorHAnsi"/>
                <w:i/>
                <w:noProof/>
                <w:sz w:val="20"/>
                <w:szCs w:val="20"/>
              </w:rPr>
              <w:t>,</w:t>
            </w:r>
            <w:r w:rsidRPr="008314DB">
              <w:rPr>
                <w:rFonts w:asciiTheme="majorHAnsi" w:hAnsiTheme="majorHAnsi"/>
                <w:noProof/>
                <w:sz w:val="20"/>
                <w:szCs w:val="20"/>
              </w:rPr>
              <w:t xml:space="preserve"> com bomba acoplada, CN</w:t>
            </w:r>
            <w:r>
              <w:rPr>
                <w:rFonts w:asciiTheme="majorHAnsi" w:hAnsiTheme="majorHAnsi"/>
                <w:noProof/>
                <w:sz w:val="20"/>
                <w:szCs w:val="20"/>
              </w:rPr>
              <w:t>¹</w:t>
            </w:r>
            <w:r w:rsidRPr="008314DB">
              <w:rPr>
                <w:rFonts w:asciiTheme="majorHAnsi" w:hAnsiTheme="majorHAnsi"/>
                <w:noProof/>
                <w:sz w:val="20"/>
                <w:szCs w:val="20"/>
              </w:rPr>
              <w:t xml:space="preserve"> </w:t>
            </w:r>
            <w:r>
              <w:rPr>
                <w:rFonts w:asciiTheme="majorHAnsi" w:hAnsiTheme="majorHAnsi"/>
                <w:noProof/>
                <w:sz w:val="20"/>
                <w:szCs w:val="20"/>
              </w:rPr>
              <w:t>de</w:t>
            </w:r>
            <w:r w:rsidRPr="008314DB">
              <w:rPr>
                <w:rFonts w:asciiTheme="majorHAnsi" w:hAnsiTheme="majorHAnsi"/>
                <w:noProof/>
                <w:sz w:val="20"/>
                <w:szCs w:val="20"/>
              </w:rPr>
              <w:t xml:space="preserve"> 100</w:t>
            </w:r>
            <w:r>
              <w:rPr>
                <w:rFonts w:asciiTheme="majorHAnsi" w:hAnsiTheme="majorHAnsi"/>
                <w:noProof/>
                <w:sz w:val="20"/>
                <w:szCs w:val="20"/>
              </w:rPr>
              <w:t> </w:t>
            </w:r>
            <w:r w:rsidRPr="008314DB">
              <w:rPr>
                <w:rFonts w:asciiTheme="majorHAnsi" w:hAnsiTheme="majorHAnsi"/>
                <w:noProof/>
                <w:sz w:val="20"/>
                <w:szCs w:val="20"/>
              </w:rPr>
              <w:t xml:space="preserve">m³/h &amp; </w:t>
            </w:r>
            <w:r w:rsidRPr="008314DB">
              <w:rPr>
                <w:rFonts w:asciiTheme="majorHAnsi" w:hAnsiTheme="majorHAnsi"/>
                <w:i/>
                <w:noProof/>
                <w:sz w:val="20"/>
                <w:szCs w:val="20"/>
              </w:rPr>
              <w:t>BoomVane</w:t>
            </w:r>
          </w:p>
          <w:p w14:paraId="51F76C84" w14:textId="77777777" w:rsidR="00B434F8" w:rsidRDefault="00B434F8" w:rsidP="00FA4BE7">
            <w:pPr>
              <w:tabs>
                <w:tab w:val="left" w:pos="5529"/>
              </w:tabs>
              <w:spacing w:before="0" w:line="240" w:lineRule="auto"/>
              <w:jc w:val="left"/>
              <w:rPr>
                <w:rFonts w:asciiTheme="majorHAnsi" w:hAnsiTheme="majorHAnsi"/>
                <w:noProof/>
                <w:sz w:val="20"/>
                <w:szCs w:val="20"/>
              </w:rPr>
            </w:pPr>
            <w:r w:rsidRPr="008314DB">
              <w:rPr>
                <w:rFonts w:asciiTheme="majorHAnsi" w:hAnsiTheme="majorHAnsi"/>
                <w:b/>
                <w:noProof/>
                <w:sz w:val="20"/>
                <w:szCs w:val="20"/>
              </w:rPr>
              <w:t>Tancagem</w:t>
            </w:r>
            <w:r>
              <w:rPr>
                <w:rFonts w:asciiTheme="majorHAnsi" w:hAnsiTheme="majorHAnsi"/>
                <w:noProof/>
                <w:sz w:val="20"/>
                <w:szCs w:val="20"/>
              </w:rPr>
              <w:t xml:space="preserve">: </w:t>
            </w:r>
            <w:r w:rsidR="004F0016" w:rsidRPr="00487E50">
              <w:rPr>
                <w:rFonts w:asciiTheme="majorHAnsi" w:hAnsiTheme="majorHAnsi"/>
                <w:noProof/>
                <w:sz w:val="20"/>
                <w:szCs w:val="20"/>
                <w:highlight w:val="darkGray"/>
              </w:rPr>
              <w:t>1.0</w:t>
            </w:r>
            <w:r w:rsidRPr="00487E50">
              <w:rPr>
                <w:rFonts w:asciiTheme="majorHAnsi" w:hAnsiTheme="majorHAnsi"/>
                <w:noProof/>
                <w:sz w:val="20"/>
                <w:szCs w:val="20"/>
                <w:highlight w:val="darkGray"/>
              </w:rPr>
              <w:t>50</w:t>
            </w:r>
            <w:r>
              <w:rPr>
                <w:rFonts w:asciiTheme="majorHAnsi" w:hAnsiTheme="majorHAnsi"/>
                <w:noProof/>
                <w:sz w:val="20"/>
                <w:szCs w:val="20"/>
              </w:rPr>
              <w:t xml:space="preserve"> m³ </w:t>
            </w:r>
          </w:p>
          <w:p w14:paraId="7554A1FF" w14:textId="7C18796E" w:rsidR="004F0016" w:rsidRPr="008314DB" w:rsidRDefault="004F0016" w:rsidP="00FA4BE7">
            <w:pPr>
              <w:tabs>
                <w:tab w:val="left" w:pos="5529"/>
              </w:tabs>
              <w:spacing w:before="0" w:line="240" w:lineRule="auto"/>
              <w:jc w:val="left"/>
              <w:rPr>
                <w:rFonts w:asciiTheme="majorHAnsi" w:hAnsiTheme="majorHAnsi"/>
                <w:b/>
                <w:noProof/>
                <w:sz w:val="20"/>
                <w:szCs w:val="20"/>
              </w:rPr>
            </w:pPr>
          </w:p>
        </w:tc>
      </w:tr>
    </w:tbl>
    <w:p w14:paraId="59FB2C79" w14:textId="77777777" w:rsidR="004F0016" w:rsidRDefault="002652AA" w:rsidP="008F3BDF">
      <w:pPr>
        <w:spacing w:before="0" w:line="240" w:lineRule="auto"/>
        <w:jc w:val="left"/>
        <w:rPr>
          <w:rFonts w:asciiTheme="majorHAnsi" w:hAnsiTheme="majorHAnsi"/>
          <w:sz w:val="20"/>
          <w:szCs w:val="20"/>
        </w:rPr>
      </w:pPr>
      <w:r w:rsidRPr="002652AA">
        <w:rPr>
          <w:rFonts w:asciiTheme="majorHAnsi" w:hAnsiTheme="majorHAnsi"/>
          <w:b/>
          <w:sz w:val="20"/>
          <w:szCs w:val="20"/>
        </w:rPr>
        <w:t>Legenda:</w:t>
      </w:r>
      <w:r w:rsidRPr="002652AA">
        <w:rPr>
          <w:rFonts w:asciiTheme="majorHAnsi" w:hAnsiTheme="majorHAnsi"/>
          <w:sz w:val="20"/>
          <w:szCs w:val="20"/>
        </w:rPr>
        <w:t xml:space="preserve"> ¹ Capacidade Nominal.</w:t>
      </w:r>
    </w:p>
    <w:p w14:paraId="483B7273" w14:textId="0E38A759" w:rsidR="004F0016" w:rsidRPr="00487E50" w:rsidRDefault="004F0016" w:rsidP="008F3BDF">
      <w:pPr>
        <w:spacing w:before="0" w:line="240" w:lineRule="auto"/>
        <w:jc w:val="left"/>
        <w:rPr>
          <w:rFonts w:asciiTheme="majorHAnsi" w:hAnsiTheme="majorHAnsi"/>
          <w:sz w:val="20"/>
          <w:szCs w:val="20"/>
          <w:highlight w:val="lightGray"/>
        </w:rPr>
      </w:pPr>
      <w:r>
        <w:rPr>
          <w:rFonts w:asciiTheme="majorHAnsi" w:hAnsiTheme="majorHAnsi"/>
          <w:sz w:val="20"/>
          <w:szCs w:val="20"/>
        </w:rPr>
        <w:tab/>
        <w:t xml:space="preserve">    </w:t>
      </w:r>
      <w:r w:rsidRPr="00487E50">
        <w:rPr>
          <w:rFonts w:asciiTheme="majorHAnsi" w:hAnsiTheme="majorHAnsi"/>
          <w:sz w:val="20"/>
          <w:szCs w:val="20"/>
          <w:highlight w:val="lightGray"/>
          <w:vertAlign w:val="superscript"/>
        </w:rPr>
        <w:t>2</w:t>
      </w:r>
      <w:r w:rsidRPr="00487E50">
        <w:rPr>
          <w:rFonts w:asciiTheme="majorHAnsi" w:hAnsiTheme="majorHAnsi"/>
          <w:sz w:val="20"/>
          <w:szCs w:val="20"/>
          <w:highlight w:val="lightGray"/>
        </w:rPr>
        <w:t xml:space="preserve"> </w:t>
      </w:r>
      <w:bookmarkStart w:id="196" w:name="_Hlk527727775"/>
      <w:r w:rsidRPr="00487E50">
        <w:rPr>
          <w:rFonts w:asciiTheme="majorHAnsi" w:hAnsiTheme="majorHAnsi"/>
          <w:sz w:val="20"/>
          <w:szCs w:val="20"/>
          <w:highlight w:val="lightGray"/>
        </w:rPr>
        <w:t>Caso a redundância estabelecida pelo Órgão Ambiental seja de 2 h</w:t>
      </w:r>
      <w:r w:rsidR="002B5B58" w:rsidRPr="00487E50">
        <w:rPr>
          <w:rFonts w:asciiTheme="majorHAnsi" w:hAnsiTheme="majorHAnsi"/>
          <w:sz w:val="20"/>
          <w:szCs w:val="20"/>
          <w:highlight w:val="lightGray"/>
        </w:rPr>
        <w:t>s</w:t>
      </w:r>
      <w:r w:rsidRPr="00487E50">
        <w:rPr>
          <w:rFonts w:asciiTheme="majorHAnsi" w:hAnsiTheme="majorHAnsi"/>
          <w:sz w:val="20"/>
          <w:szCs w:val="20"/>
          <w:highlight w:val="lightGray"/>
        </w:rPr>
        <w:t xml:space="preserve"> para tod</w:t>
      </w:r>
      <w:r w:rsidR="002B5B58" w:rsidRPr="00487E50">
        <w:rPr>
          <w:rFonts w:asciiTheme="majorHAnsi" w:hAnsiTheme="majorHAnsi"/>
          <w:sz w:val="20"/>
          <w:szCs w:val="20"/>
          <w:highlight w:val="lightGray"/>
        </w:rPr>
        <w:t>a a atividade</w:t>
      </w:r>
      <w:r w:rsidRPr="00487E50">
        <w:rPr>
          <w:rFonts w:asciiTheme="majorHAnsi" w:hAnsiTheme="majorHAnsi"/>
          <w:sz w:val="20"/>
          <w:szCs w:val="20"/>
          <w:highlight w:val="lightGray"/>
        </w:rPr>
        <w:t xml:space="preserve"> ou só na fase de 8 ½”</w:t>
      </w:r>
      <w:r w:rsidR="003C427A" w:rsidRPr="00487E50">
        <w:rPr>
          <w:rFonts w:asciiTheme="majorHAnsi" w:hAnsiTheme="majorHAnsi"/>
          <w:sz w:val="20"/>
          <w:szCs w:val="20"/>
          <w:highlight w:val="lightGray"/>
        </w:rPr>
        <w:t>.</w:t>
      </w:r>
    </w:p>
    <w:bookmarkEnd w:id="196"/>
    <w:p w14:paraId="019CC12E" w14:textId="53F02439" w:rsidR="007E0169" w:rsidRPr="004F0016" w:rsidRDefault="004F0016" w:rsidP="004F0016">
      <w:pPr>
        <w:spacing w:before="0" w:line="240" w:lineRule="auto"/>
        <w:jc w:val="left"/>
        <w:rPr>
          <w:rFonts w:asciiTheme="majorHAnsi" w:hAnsiTheme="majorHAnsi"/>
          <w:sz w:val="20"/>
          <w:szCs w:val="20"/>
        </w:rPr>
        <w:sectPr w:rsidR="007E0169" w:rsidRPr="004F0016" w:rsidSect="00B434F8">
          <w:headerReference w:type="default" r:id="rId64"/>
          <w:footerReference w:type="default" r:id="rId65"/>
          <w:pgSz w:w="16839" w:h="11907" w:orient="landscape" w:code="9"/>
          <w:pgMar w:top="1418" w:right="1418" w:bottom="1418" w:left="1418" w:header="170" w:footer="0" w:gutter="0"/>
          <w:cols w:space="708"/>
          <w:docGrid w:linePitch="360"/>
        </w:sectPr>
      </w:pPr>
      <w:r w:rsidRPr="00487E50">
        <w:rPr>
          <w:rFonts w:asciiTheme="majorHAnsi" w:hAnsiTheme="majorHAnsi"/>
          <w:sz w:val="20"/>
          <w:szCs w:val="20"/>
          <w:highlight w:val="lightGray"/>
        </w:rPr>
        <w:t xml:space="preserve"> </w:t>
      </w:r>
      <w:r w:rsidRPr="00487E50">
        <w:rPr>
          <w:rFonts w:asciiTheme="majorHAnsi" w:hAnsiTheme="majorHAnsi"/>
          <w:sz w:val="20"/>
          <w:szCs w:val="20"/>
          <w:highlight w:val="lightGray"/>
        </w:rPr>
        <w:tab/>
        <w:t xml:space="preserve">    </w:t>
      </w:r>
      <w:r w:rsidRPr="00487E50">
        <w:rPr>
          <w:rFonts w:asciiTheme="majorHAnsi" w:hAnsiTheme="majorHAnsi"/>
          <w:sz w:val="20"/>
          <w:szCs w:val="20"/>
          <w:highlight w:val="lightGray"/>
          <w:vertAlign w:val="superscript"/>
        </w:rPr>
        <w:t>3</w:t>
      </w:r>
      <w:r w:rsidRPr="00487E50">
        <w:rPr>
          <w:rFonts w:asciiTheme="majorHAnsi" w:hAnsiTheme="majorHAnsi"/>
          <w:sz w:val="20"/>
          <w:szCs w:val="20"/>
          <w:highlight w:val="lightGray"/>
        </w:rPr>
        <w:t xml:space="preserve"> </w:t>
      </w:r>
      <w:bookmarkStart w:id="197" w:name="_Hlk527727807"/>
      <w:r w:rsidRPr="00487E50">
        <w:rPr>
          <w:rFonts w:asciiTheme="majorHAnsi" w:hAnsiTheme="majorHAnsi"/>
          <w:sz w:val="20"/>
          <w:szCs w:val="20"/>
          <w:highlight w:val="lightGray"/>
        </w:rPr>
        <w:t>Caso a redundância estabelecida pelo Órgão Ambiental seja de 6 h</w:t>
      </w:r>
      <w:r w:rsidR="002B5B58" w:rsidRPr="00487E50">
        <w:rPr>
          <w:rFonts w:asciiTheme="majorHAnsi" w:hAnsiTheme="majorHAnsi"/>
          <w:sz w:val="20"/>
          <w:szCs w:val="20"/>
          <w:highlight w:val="lightGray"/>
        </w:rPr>
        <w:t>s</w:t>
      </w:r>
      <w:r w:rsidRPr="00487E50">
        <w:rPr>
          <w:rFonts w:asciiTheme="majorHAnsi" w:hAnsiTheme="majorHAnsi"/>
          <w:sz w:val="20"/>
          <w:szCs w:val="20"/>
          <w:highlight w:val="lightGray"/>
        </w:rPr>
        <w:t xml:space="preserve"> nas fases </w:t>
      </w:r>
      <w:r w:rsidR="003C427A" w:rsidRPr="00487E50">
        <w:rPr>
          <w:rFonts w:asciiTheme="majorHAnsi" w:hAnsiTheme="majorHAnsi"/>
          <w:sz w:val="20"/>
          <w:szCs w:val="20"/>
          <w:highlight w:val="lightGray"/>
        </w:rPr>
        <w:t xml:space="preserve">da </w:t>
      </w:r>
      <w:r w:rsidR="002B5B58" w:rsidRPr="00487E50">
        <w:rPr>
          <w:rFonts w:asciiTheme="majorHAnsi" w:hAnsiTheme="majorHAnsi"/>
          <w:sz w:val="20"/>
          <w:szCs w:val="20"/>
          <w:highlight w:val="lightGray"/>
        </w:rPr>
        <w:t>atividade</w:t>
      </w:r>
      <w:r w:rsidR="003C427A" w:rsidRPr="00487E50">
        <w:rPr>
          <w:rFonts w:asciiTheme="majorHAnsi" w:hAnsiTheme="majorHAnsi"/>
          <w:sz w:val="20"/>
          <w:szCs w:val="20"/>
          <w:highlight w:val="lightGray"/>
        </w:rPr>
        <w:t xml:space="preserve">, à </w:t>
      </w:r>
      <w:r w:rsidRPr="00487E50">
        <w:rPr>
          <w:rFonts w:asciiTheme="majorHAnsi" w:hAnsiTheme="majorHAnsi"/>
          <w:sz w:val="20"/>
          <w:szCs w:val="20"/>
          <w:highlight w:val="lightGray"/>
        </w:rPr>
        <w:t>exceção da fase de 8 ½”</w:t>
      </w:r>
      <w:bookmarkEnd w:id="197"/>
      <w:r w:rsidR="003C427A" w:rsidRPr="00487E50">
        <w:rPr>
          <w:rFonts w:asciiTheme="majorHAnsi" w:hAnsiTheme="majorHAnsi"/>
          <w:sz w:val="20"/>
          <w:szCs w:val="20"/>
          <w:highlight w:val="lightGray"/>
        </w:rPr>
        <w:t>.</w:t>
      </w:r>
      <w:r>
        <w:rPr>
          <w:rFonts w:asciiTheme="majorHAnsi" w:hAnsiTheme="majorHAnsi"/>
          <w:sz w:val="20"/>
          <w:szCs w:val="20"/>
        </w:rPr>
        <w:t xml:space="preserve">    </w:t>
      </w:r>
    </w:p>
    <w:p w14:paraId="75ABB389" w14:textId="77777777" w:rsidR="00CF77CE" w:rsidRPr="00081378" w:rsidRDefault="00CF77CE" w:rsidP="006F18B8">
      <w:pPr>
        <w:pStyle w:val="Ttulo3"/>
        <w:ind w:left="1224"/>
      </w:pPr>
      <w:bookmarkStart w:id="198" w:name="_Ref414548967"/>
      <w:bookmarkStart w:id="199" w:name="_Toc527990430"/>
      <w:r w:rsidRPr="00081378">
        <w:lastRenderedPageBreak/>
        <w:t>Decantação</w:t>
      </w:r>
      <w:bookmarkEnd w:id="198"/>
      <w:bookmarkEnd w:id="199"/>
    </w:p>
    <w:p w14:paraId="3BFA7523" w14:textId="3BB34951" w:rsidR="00E929D1" w:rsidRPr="003C7B91" w:rsidRDefault="00E929D1" w:rsidP="00E929D1">
      <w:pPr>
        <w:pStyle w:val="tier1Itext"/>
      </w:pPr>
      <w:r>
        <w:t xml:space="preserve">Apesar de não regulamentada pela legislação brasileira quanto à sua utilização em procedimentos de resposta a vazamentos de óleo, a decantação já é empregada em diversos países e regiões petrolíferas, bem como Diretrizes e Boas Praticas já são amplamente divulgadas por Associações e Organizações de renome internacional na prevenção e combate </w:t>
      </w:r>
      <w:r w:rsidR="008F39BC">
        <w:t>a</w:t>
      </w:r>
      <w:r>
        <w:t xml:space="preserve"> emergências com vazamento de </w:t>
      </w:r>
      <w:r w:rsidRPr="003C7B91">
        <w:t>óleo, tais como a ISCO – International Spill Control Organization</w:t>
      </w:r>
      <w:r w:rsidR="00B765E8" w:rsidRPr="00487E50">
        <w:rPr>
          <w:rStyle w:val="Refdenotaderodap"/>
          <w:highlight w:val="lightGray"/>
        </w:rPr>
        <w:footnoteReference w:id="47"/>
      </w:r>
      <w:r w:rsidR="008F39BC">
        <w:t>,</w:t>
      </w:r>
      <w:r w:rsidRPr="003C7B91">
        <w:t xml:space="preserve"> e </w:t>
      </w:r>
      <w:r w:rsidR="008F39BC">
        <w:t xml:space="preserve">a </w:t>
      </w:r>
      <w:r w:rsidRPr="003C7B91">
        <w:t>IPIECA – International Association of Oil &amp; Gas Producers.</w:t>
      </w:r>
    </w:p>
    <w:p w14:paraId="126CA698" w14:textId="0293F4F6" w:rsidR="00E929D1" w:rsidRDefault="00E929D1" w:rsidP="00E929D1">
      <w:pPr>
        <w:pStyle w:val="tier1Itext"/>
      </w:pPr>
      <w:r>
        <w:t>Com base nas recomendações internacionais, reitera-se que a decantação somente deverá ser considerada no conjunto de técnicas de combate a um potencial incidente nas operações no Bloco FZA-M-59</w:t>
      </w:r>
      <w:r w:rsidR="008F39BC">
        <w:t>,</w:t>
      </w:r>
      <w:r>
        <w:t xml:space="preserve"> naqueles </w:t>
      </w:r>
      <w:r w:rsidR="008F39BC">
        <w:t xml:space="preserve">casos </w:t>
      </w:r>
      <w:r>
        <w:t>de grandes proporções, onde as capacidades de armazenamento temporário das embarcações disponíveis, ou o transporte de água oleosa para unidades de tratamento atinjam seus limites de capacidade antes de completado o recolhimento de todo óleo vazado.</w:t>
      </w:r>
    </w:p>
    <w:p w14:paraId="5893000B" w14:textId="01293778" w:rsidR="00373E6C" w:rsidRDefault="00373E6C" w:rsidP="00373E6C">
      <w:pPr>
        <w:pStyle w:val="tier1Itext"/>
      </w:pPr>
      <w:r w:rsidRPr="00EE0E12">
        <w:t xml:space="preserve">Quando da consideração da técnica pelos especialistas envolvidos na resposta, o Líder da Unidade de RC&amp;E ou o LIO-Gov entrará em contato com o órgão ambiental de forma comunicá-lo da intenção e buscar um acordo quanto ao seu uso. As operações serão feitas sob a orientação dos Coordenadores de Resposta embarcados de acordo com os ICS 204 preparados pela Seção de Operações ou da Divisão de Resposta </w:t>
      </w:r>
      <w:r w:rsidRPr="00EE0E12">
        <w:rPr>
          <w:i/>
        </w:rPr>
        <w:t>Offshore</w:t>
      </w:r>
      <w:r>
        <w:t>, que provavelmente deverá estar implementada.</w:t>
      </w:r>
    </w:p>
    <w:p w14:paraId="250CFAC0" w14:textId="15B675FE" w:rsidR="00373E6C" w:rsidRPr="00917D82" w:rsidRDefault="008F39BC" w:rsidP="00E929D1">
      <w:pPr>
        <w:pStyle w:val="tier1Itext"/>
        <w:rPr>
          <w:b/>
        </w:rPr>
      </w:pPr>
      <w:r w:rsidRPr="00917D82">
        <w:rPr>
          <w:b/>
        </w:rPr>
        <w:t>Contextualização</w:t>
      </w:r>
    </w:p>
    <w:p w14:paraId="48FF1302" w14:textId="06C2129A" w:rsidR="00373E6C" w:rsidRDefault="00373E6C" w:rsidP="00373E6C">
      <w:pPr>
        <w:pStyle w:val="tier1Itext"/>
      </w:pPr>
      <w:r w:rsidRPr="00373E6C">
        <w:t>Este procedimento</w:t>
      </w:r>
      <w:r w:rsidRPr="00EE0E12">
        <w:t xml:space="preserve"> contribui significativamente com o prolongamento e otimização da utilização dos tanques de armazenamento de água oleosa nas embarcações participantes da resposta, trocando um quantitativo de água com baixo teor de óleo (segregado pelo processo de separação gravitacional nos tanques) por nova água oleosa recolhida que poderá ser mais concentrada. Para que isto se consubstancie, a capacidade dos tanques já deverá estar próxima de seu limite e melhores condições de contenção e recolhimento devem estar presentes, garantindo a m</w:t>
      </w:r>
      <w:r w:rsidR="008F39BC">
        <w:t xml:space="preserve">aior </w:t>
      </w:r>
      <w:r w:rsidRPr="00EE0E12">
        <w:t xml:space="preserve">concentração do </w:t>
      </w:r>
      <w:r w:rsidR="008F39BC">
        <w:t xml:space="preserve">novo </w:t>
      </w:r>
      <w:r w:rsidRPr="00EE0E12">
        <w:t xml:space="preserve">efluente </w:t>
      </w:r>
      <w:r w:rsidR="008F39BC">
        <w:t xml:space="preserve">a ser </w:t>
      </w:r>
      <w:r w:rsidRPr="00EE0E12">
        <w:t>recolhido.</w:t>
      </w:r>
    </w:p>
    <w:p w14:paraId="0789992A" w14:textId="3B2703EB" w:rsidR="00373E6C" w:rsidRDefault="00373E6C" w:rsidP="00373E6C">
      <w:pPr>
        <w:pStyle w:val="tier1Itext"/>
      </w:pPr>
      <w:r>
        <w:lastRenderedPageBreak/>
        <w:t>C</w:t>
      </w:r>
      <w:r>
        <w:rPr>
          <w:rFonts w:hint="eastAsia"/>
        </w:rPr>
        <w:t>onsiderando que a base logística de Belém está há cerca de 48‐5</w:t>
      </w:r>
      <w:r>
        <w:t>2</w:t>
      </w:r>
      <w:r>
        <w:rPr>
          <w:rFonts w:hint="eastAsia"/>
        </w:rPr>
        <w:t xml:space="preserve"> horas de navegação da locação do bloco e que </w:t>
      </w:r>
      <w:r>
        <w:t>o deslocamento d</w:t>
      </w:r>
      <w:r w:rsidR="008F39BC">
        <w:t>e um</w:t>
      </w:r>
      <w:r>
        <w:t xml:space="preserve"> sistema para alívio, o desmobilizará da resposta por cerca de </w:t>
      </w:r>
      <w:r w:rsidR="008F39BC">
        <w:t>5 a 7 dias</w:t>
      </w:r>
      <w:r>
        <w:t xml:space="preserve"> (somando-se os tempos de viagem, descontaminação e reabastecimento), esta interrupção nas operações de contenção e recolhimento de óleo por todo esse tempo, certamente acarretará um maior dano ambiental quando comparado ao lançamento no mar de água decantada, o que torna </w:t>
      </w:r>
      <w:r w:rsidR="008F39BC">
        <w:t>à</w:t>
      </w:r>
      <w:r>
        <w:t xml:space="preserve"> aplicação d</w:t>
      </w:r>
      <w:r w:rsidR="008F39BC">
        <w:t>o</w:t>
      </w:r>
      <w:r>
        <w:t xml:space="preserve"> NEBA (Net Environmental Benefit Analysis) </w:t>
      </w:r>
      <w:r w:rsidR="008F39BC">
        <w:t xml:space="preserve">aspecto </w:t>
      </w:r>
      <w:r>
        <w:t>fundamental para validar a utilização dessa estratégia de resposta junto ao Órgão Ambiental Competente ou a Autoridade Nacional</w:t>
      </w:r>
      <w:r w:rsidR="008F39BC">
        <w:t>,</w:t>
      </w:r>
      <w:r>
        <w:t xml:space="preserve"> caso o PNC seja ativado.</w:t>
      </w:r>
    </w:p>
    <w:p w14:paraId="17D10D2A" w14:textId="17EC65FF" w:rsidR="007E0169" w:rsidRPr="00EE0E12" w:rsidRDefault="00373E6C" w:rsidP="00662900">
      <w:pPr>
        <w:pStyle w:val="tier1Itext"/>
      </w:pPr>
      <w:r>
        <w:t>Para a efe</w:t>
      </w:r>
      <w:r w:rsidR="008F39BC">
        <w:t>ti</w:t>
      </w:r>
      <w:r>
        <w:t xml:space="preserve">vação do </w:t>
      </w:r>
      <w:r w:rsidR="007E0169" w:rsidRPr="00EE0E12">
        <w:t xml:space="preserve">processo de decantação também </w:t>
      </w:r>
      <w:r>
        <w:t xml:space="preserve">é </w:t>
      </w:r>
      <w:r w:rsidR="007E0169" w:rsidRPr="00EE0E12">
        <w:t>considera</w:t>
      </w:r>
      <w:r>
        <w:t>do</w:t>
      </w:r>
      <w:r w:rsidR="007E0169" w:rsidRPr="00EE0E12">
        <w:t xml:space="preserve"> haver a bordo das embarcações, equipamentos próprios para a retirada da água de fundo dos tanques (mangueiras de pequeno diâmetro e bombas de sucção de baixa vazão). A água descartada tem, por operação de decantação, seu volume total registrado e coletadas duas amostras (no início e no final da operação) para posterior análise da concentração</w:t>
      </w:r>
      <w:r w:rsidR="00F9135C" w:rsidRPr="00EE0E12">
        <w:t xml:space="preserve"> </w:t>
      </w:r>
      <w:r w:rsidR="007E0169" w:rsidRPr="00EE0E12">
        <w:t>de óleo residual em laboratório. O efluente será descartado dentro da formação de contenção, de forma a proporcionar uma chance à concentração do óleo residual nela contida ser novamente coletada.</w:t>
      </w:r>
    </w:p>
    <w:p w14:paraId="0DE89DFB" w14:textId="77777777" w:rsidR="003C7B91" w:rsidRPr="00917D82" w:rsidRDefault="003C7B91" w:rsidP="003C7B91">
      <w:pPr>
        <w:pStyle w:val="tier1Itext"/>
        <w:rPr>
          <w:b/>
        </w:rPr>
      </w:pPr>
      <w:r w:rsidRPr="00917D82">
        <w:rPr>
          <w:b/>
        </w:rPr>
        <w:t>Tempo ótimo de decantação</w:t>
      </w:r>
    </w:p>
    <w:p w14:paraId="7619D67D" w14:textId="194EA88D" w:rsidR="003C7B91" w:rsidRDefault="003C7B91" w:rsidP="003C7B91">
      <w:pPr>
        <w:pStyle w:val="tier1Itext"/>
      </w:pPr>
      <w:r>
        <w:t xml:space="preserve">A separação óleo/água é um processo físico onde os dois principais fatores dominantes são a espessura da camada oleosa e a viscosidade do óleo. As experiências em laboratório conduzida com vários tipos de óleo demonstraram que o tempo médio ótimo para se obter uma boa separação </w:t>
      </w:r>
      <w:r w:rsidR="008F39BC">
        <w:t>é de</w:t>
      </w:r>
      <w:r>
        <w:t xml:space="preserve"> 30 minutos. Considerando a espessura da camada e a viscosidade do óleo, para camadas mais finas </w:t>
      </w:r>
      <w:r>
        <w:rPr>
          <w:rFonts w:hint="eastAsia"/>
        </w:rPr>
        <w:t xml:space="preserve">de hidrocarbonetos menos viscosos, o tempo de decantação ótimo </w:t>
      </w:r>
      <w:r w:rsidR="008F39BC">
        <w:t>situa-se</w:t>
      </w:r>
      <w:r>
        <w:rPr>
          <w:rFonts w:hint="eastAsia"/>
        </w:rPr>
        <w:t xml:space="preserve"> na faixa de 15‐30 minutos</w:t>
      </w:r>
      <w:r w:rsidR="008F39BC">
        <w:t>;</w:t>
      </w:r>
      <w:r>
        <w:rPr>
          <w:rFonts w:hint="eastAsia"/>
        </w:rPr>
        <w:t xml:space="preserve"> enquanto que para filmes mais espessos de óleos mais viscosos</w:t>
      </w:r>
      <w:r w:rsidR="008F39BC">
        <w:t>,</w:t>
      </w:r>
      <w:r>
        <w:rPr>
          <w:rFonts w:hint="eastAsia"/>
        </w:rPr>
        <w:t xml:space="preserve"> o tempo de decantação ótimo </w:t>
      </w:r>
      <w:r w:rsidR="008F39BC">
        <w:t>fica</w:t>
      </w:r>
      <w:r>
        <w:t xml:space="preserve"> em torno de 60 minutos.</w:t>
      </w:r>
    </w:p>
    <w:p w14:paraId="17301B4B" w14:textId="77777777" w:rsidR="00487E50" w:rsidRDefault="00487E50">
      <w:pPr>
        <w:spacing w:before="0" w:after="200" w:line="276" w:lineRule="auto"/>
        <w:jc w:val="left"/>
        <w:rPr>
          <w:rFonts w:asciiTheme="majorHAnsi" w:eastAsia="Times New Roman" w:hAnsiTheme="majorHAnsi" w:cs="Calibri"/>
          <w:b/>
          <w:szCs w:val="24"/>
          <w:lang w:eastAsia="en-US"/>
        </w:rPr>
      </w:pPr>
      <w:r>
        <w:rPr>
          <w:b/>
        </w:rPr>
        <w:br w:type="page"/>
      </w:r>
    </w:p>
    <w:p w14:paraId="1F645F66" w14:textId="30786E66" w:rsidR="003C7B91" w:rsidRPr="00917D82" w:rsidRDefault="003C7B91" w:rsidP="003C7B91">
      <w:pPr>
        <w:pStyle w:val="tier1Itext"/>
        <w:rPr>
          <w:b/>
        </w:rPr>
      </w:pPr>
      <w:r w:rsidRPr="00917D82">
        <w:rPr>
          <w:b/>
        </w:rPr>
        <w:lastRenderedPageBreak/>
        <w:t>Aspecto Regulatório Internacional</w:t>
      </w:r>
    </w:p>
    <w:p w14:paraId="6C8A4CC6" w14:textId="20DF2BB1" w:rsidR="003C7B91" w:rsidRDefault="003C7B91" w:rsidP="003C7B91">
      <w:pPr>
        <w:pStyle w:val="tier1Itext"/>
      </w:pPr>
      <w:r>
        <w:t xml:space="preserve">A regulação internacional para descarga de óleo de embarcações é definida no Anexo I da Convenção da MARPOL, a qual proíbe a descarga de água oleosa no mar com teor de óleo acima de 15 ppm (partes por milhão). Entretanto, a </w:t>
      </w:r>
      <w:r w:rsidR="00B71CD4">
        <w:t xml:space="preserve">própria convenção permite que, em caso específico de </w:t>
      </w:r>
      <w:r>
        <w:t>combate de incidentes de poluição ambiental, com o objetivo de minimizar os danos da poluição</w:t>
      </w:r>
      <w:r w:rsidR="00B71CD4">
        <w:t>, este descarte seja autorizado</w:t>
      </w:r>
      <w:r w:rsidR="00917D82">
        <w:t xml:space="preserve">, </w:t>
      </w:r>
      <w:r w:rsidR="00917D82" w:rsidRPr="00487E50">
        <w:rPr>
          <w:highlight w:val="lightGray"/>
        </w:rPr>
        <w:t>mais especificamente em seu Anexo I, Regra 4, onde define casos em que os padrões normais de efluentes oleosos (Regras 15 e 34 da Convenção) podem ser excedidos. Especificamente no item 3, determina que quando a descarga ao mar de óleo ou misturas oleosas estiver sendo utilizada com o propósito de combater incidentes de poluição específicos, para minimizar os danos causados pela poluição, e este é o contexto, esta exceção é autorizada. Ressalta-se que tal procedimento ainda é subjulgado à aprovação da Administração (órgão ambiental competente), que deterá o lícito direito de não autorizá-la; mas não a proibe legalmente, uma vez que a Convenção é promulgada no país pelo Decreto 2.508 de 1998, tendo força de lei.</w:t>
      </w:r>
      <w:r w:rsidR="00917D82">
        <w:t xml:space="preserve"> </w:t>
      </w:r>
    </w:p>
    <w:p w14:paraId="562AEDC1" w14:textId="3B7D1C4A" w:rsidR="003C7B91" w:rsidRDefault="00917D82" w:rsidP="003C7B91">
      <w:pPr>
        <w:pStyle w:val="tier1Itext"/>
      </w:pPr>
      <w:r w:rsidRPr="00487E50">
        <w:rPr>
          <w:highlight w:val="lightGray"/>
        </w:rPr>
        <w:t>Desta forma,</w:t>
      </w:r>
      <w:r>
        <w:t xml:space="preserve"> a</w:t>
      </w:r>
      <w:r w:rsidR="003C7B91">
        <w:t xml:space="preserve"> decisão dos órgãos governamentais autorizando a pr</w:t>
      </w:r>
      <w:r w:rsidR="00B71CD4">
        <w:t>á</w:t>
      </w:r>
      <w:r w:rsidR="003C7B91">
        <w:t xml:space="preserve">tica da decantação deverá estar fundamentada na necessidade </w:t>
      </w:r>
      <w:r w:rsidR="00B71CD4">
        <w:t>de</w:t>
      </w:r>
      <w:r w:rsidR="003C7B91">
        <w:t xml:space="preserve"> minimizar os danos ambientais, </w:t>
      </w:r>
      <w:r w:rsidR="00B71CD4">
        <w:t>quando contribuir significativamente</w:t>
      </w:r>
      <w:r w:rsidR="003C7B91">
        <w:t xml:space="preserve"> para a continuidade da operação de recolhimento de óleo. Nessas situações</w:t>
      </w:r>
      <w:r w:rsidR="00B71CD4">
        <w:t>,</w:t>
      </w:r>
      <w:r w:rsidR="003C7B91">
        <w:t xml:space="preserve"> o teor de óleo na </w:t>
      </w:r>
      <w:r w:rsidR="00B71CD4">
        <w:t xml:space="preserve">porção </w:t>
      </w:r>
      <w:r w:rsidR="003C7B91">
        <w:t xml:space="preserve">decantada </w:t>
      </w:r>
      <w:r w:rsidR="00B71CD4">
        <w:t>fatalmente</w:t>
      </w:r>
      <w:r w:rsidR="003C7B91">
        <w:t xml:space="preserve"> estará acima dos padrões normais.</w:t>
      </w:r>
    </w:p>
    <w:p w14:paraId="75DAC877" w14:textId="17F646E4" w:rsidR="00917D82" w:rsidRDefault="000D7B0D" w:rsidP="003C7B91">
      <w:pPr>
        <w:pStyle w:val="tier1Itext"/>
      </w:pPr>
      <w:r w:rsidRPr="00487E50">
        <w:rPr>
          <w:highlight w:val="lightGray"/>
        </w:rPr>
        <w:t>O Plano Regional de Resposta e Cooperação a Vazamentos de Óleo no Caribe considera, de forma geral, a decantação como uma prática de resposta aceitável, variando em relação aos países a necessidade ou não de comunicação e/ou autorização para a sua efetivação. No caso da França, é necessária a comunicação ao M</w:t>
      </w:r>
      <w:r w:rsidR="00917D82" w:rsidRPr="00487E50">
        <w:rPr>
          <w:highlight w:val="lightGray"/>
        </w:rPr>
        <w:t>aritime Rescue Coordination Center (MRCC) em Fort de France (Antilhas Francesas).</w:t>
      </w:r>
      <w:r w:rsidR="00917D82">
        <w:t xml:space="preserve"> </w:t>
      </w:r>
      <w:r>
        <w:t xml:space="preserve"> </w:t>
      </w:r>
    </w:p>
    <w:p w14:paraId="5AD58AF4" w14:textId="77777777" w:rsidR="003C7B91" w:rsidRPr="00917D82" w:rsidRDefault="003C7B91" w:rsidP="003C7B91">
      <w:pPr>
        <w:pStyle w:val="tier1Itext"/>
        <w:rPr>
          <w:b/>
        </w:rPr>
      </w:pPr>
      <w:r w:rsidRPr="00917D82">
        <w:rPr>
          <w:b/>
        </w:rPr>
        <w:t>Boas Práticas Operacionais</w:t>
      </w:r>
    </w:p>
    <w:p w14:paraId="76FC78A9" w14:textId="298F8BCF" w:rsidR="003C7B91" w:rsidRDefault="003C7B91" w:rsidP="003C7B91">
      <w:pPr>
        <w:pStyle w:val="tier1Itext"/>
      </w:pPr>
      <w:r>
        <w:t>A decantação deverá ser autorizada com a intenção de maximizar a capacidade de recolhimento de óleo e agilizar a limpeza. Se existirem disponibilidade para armazenamento (temporário, intermediário ou final), capacidade de tratamento local ou de transporte para a unidade de tratamento, e essas provisões não irão comprometer a continuidade das operações de recolhimento, a agua oleosa recuperada não deverá ser decantada.</w:t>
      </w:r>
    </w:p>
    <w:p w14:paraId="77BC5C84" w14:textId="6FC9DE1C" w:rsidR="00E929D1" w:rsidRDefault="003C7B91" w:rsidP="003C7B91">
      <w:pPr>
        <w:pStyle w:val="tier1Itext"/>
      </w:pPr>
      <w:r>
        <w:rPr>
          <w:rFonts w:hint="eastAsia"/>
        </w:rPr>
        <w:lastRenderedPageBreak/>
        <w:t>Deve‐se ressaltar que essa pr</w:t>
      </w:r>
      <w:r w:rsidR="00B71CD4">
        <w:t>á</w:t>
      </w:r>
      <w:r>
        <w:rPr>
          <w:rFonts w:hint="eastAsia"/>
        </w:rPr>
        <w:t>atica está em total concordância quando aplicamos as diretrizes estabelecidas pelo NEBA, uma vez que o lançamento de água oleosa decantada no mar (dentro do</w:t>
      </w:r>
      <w:r>
        <w:t xml:space="preserve"> cerco de contenção) terá um menor Impacto ambiental se comparado a paralização da operação de recolhimento de óleo cru, devido à falta de capacidade d</w:t>
      </w:r>
      <w:r w:rsidR="00E929D1">
        <w:t xml:space="preserve">e armazenamento temporário. </w:t>
      </w:r>
      <w:r>
        <w:t xml:space="preserve"> </w:t>
      </w:r>
    </w:p>
    <w:p w14:paraId="277E09E1" w14:textId="103624B9" w:rsidR="003C7B91" w:rsidRDefault="003C7B91" w:rsidP="003C7B91">
      <w:pPr>
        <w:pStyle w:val="tier1Itext"/>
      </w:pPr>
      <w:r>
        <w:t>A operação de decantação deve reunir as seguintes condições:</w:t>
      </w:r>
    </w:p>
    <w:p w14:paraId="24B01CAE" w14:textId="60761DDE" w:rsidR="003C7B91" w:rsidRDefault="003C7B91" w:rsidP="008F39BC">
      <w:pPr>
        <w:pStyle w:val="tier1Itext"/>
        <w:numPr>
          <w:ilvl w:val="1"/>
          <w:numId w:val="34"/>
        </w:numPr>
      </w:pPr>
      <w:r>
        <w:t>A água decantada deve ter uma menor concentração de óleo/contaminantes, determinado visualmente, em relação à mistura de água oleosa que está sendo recolhida na emergência;</w:t>
      </w:r>
    </w:p>
    <w:p w14:paraId="1349068C" w14:textId="6173835E" w:rsidR="003C7B91" w:rsidRDefault="003C7B91" w:rsidP="008F39BC">
      <w:pPr>
        <w:pStyle w:val="tier1Itext"/>
        <w:numPr>
          <w:ilvl w:val="1"/>
          <w:numId w:val="34"/>
        </w:numPr>
      </w:pPr>
      <w:r>
        <w:t>Deverá ser respeitado o tempo para decantação mínimo estabelecido, de acordo com a característica do óleo e espessura da camada de óleo;</w:t>
      </w:r>
    </w:p>
    <w:p w14:paraId="738CD956" w14:textId="2783959A" w:rsidR="003C7B91" w:rsidRDefault="003C7B91" w:rsidP="008F39BC">
      <w:pPr>
        <w:pStyle w:val="tier1Itext"/>
        <w:numPr>
          <w:ilvl w:val="1"/>
          <w:numId w:val="34"/>
        </w:numPr>
      </w:pPr>
      <w:r>
        <w:t>A água decantada deverá ser lançada na área de contenção do navio aliviador ou dentro do cerco de contenção e recolhimento das embarcações, a menos que seja aprovado de outra forma;</w:t>
      </w:r>
    </w:p>
    <w:p w14:paraId="65427EC5" w14:textId="7E0EF05C" w:rsidR="003C7B91" w:rsidRDefault="003C7B91" w:rsidP="008F39BC">
      <w:pPr>
        <w:pStyle w:val="tier1Itext"/>
        <w:numPr>
          <w:ilvl w:val="1"/>
          <w:numId w:val="34"/>
        </w:numPr>
      </w:pPr>
      <w:r>
        <w:t>Embarcações não equipadas com separador água/óleo deverão deverão aguardar um tempo de decantação mínimo de 60 minutos antes de iniciar a descarga da água decantada. A água</w:t>
      </w:r>
      <w:r w:rsidR="00E929D1">
        <w:t xml:space="preserve"> </w:t>
      </w:r>
      <w:r>
        <w:t>decantada deverá ser retirada a no mínimo 30 cm abaixo da interface óleo/água, independente do tamanho ou tipo de tanque de armazenamento temporário;</w:t>
      </w:r>
    </w:p>
    <w:p w14:paraId="5F9C0405" w14:textId="1E27FB33" w:rsidR="003C7B91" w:rsidRDefault="003C7B91" w:rsidP="008F39BC">
      <w:pPr>
        <w:pStyle w:val="tier1Itext"/>
        <w:numPr>
          <w:ilvl w:val="1"/>
          <w:numId w:val="34"/>
        </w:numPr>
      </w:pPr>
      <w:r>
        <w:t>Monitoramento e controle permanentes do aspecto da água decantada descarregada deverá ser efetuado pelo pessoal de operação (através de visores de fluxo instalados na tubulação de</w:t>
      </w:r>
      <w:r w:rsidR="00E929D1">
        <w:t xml:space="preserve"> </w:t>
      </w:r>
      <w:r>
        <w:t>descarga) para prevenir descarga de óleo concentrado;</w:t>
      </w:r>
    </w:p>
    <w:p w14:paraId="3056B6AB" w14:textId="7EDC9E14" w:rsidR="003C7B91" w:rsidRDefault="003C7B91" w:rsidP="008F39BC">
      <w:pPr>
        <w:pStyle w:val="tier1Itext"/>
        <w:numPr>
          <w:ilvl w:val="1"/>
          <w:numId w:val="34"/>
        </w:numPr>
      </w:pPr>
      <w:r>
        <w:t>Todas as informações sobre a operações deverão ser registradas, incluindo localização do lançamento, tempo de decantação, horário de início e final do lançamento, taxas de</w:t>
      </w:r>
      <w:r w:rsidR="00E929D1">
        <w:t xml:space="preserve"> </w:t>
      </w:r>
      <w:r>
        <w:t>bombeamento e volume aproximado;</w:t>
      </w:r>
    </w:p>
    <w:p w14:paraId="43343375" w14:textId="70A95B33" w:rsidR="003C7B91" w:rsidRDefault="003C7B91" w:rsidP="008F39BC">
      <w:pPr>
        <w:pStyle w:val="tier1Itext"/>
        <w:numPr>
          <w:ilvl w:val="1"/>
          <w:numId w:val="34"/>
        </w:numPr>
      </w:pPr>
      <w:r>
        <w:t>O coordenador de reposta a emergência deverá ter acesso às operações para avaliar a efetividade da mesma e para coletar amostras da água decantada ao longo do lançamento para análises</w:t>
      </w:r>
      <w:r w:rsidR="00E929D1">
        <w:t xml:space="preserve"> </w:t>
      </w:r>
      <w:r>
        <w:t>posteriores.</w:t>
      </w:r>
    </w:p>
    <w:p w14:paraId="1B5E0592" w14:textId="33A97FB0" w:rsidR="00917D82" w:rsidRPr="00487E50" w:rsidRDefault="00917D82" w:rsidP="00322A72">
      <w:pPr>
        <w:pStyle w:val="tier1Itext"/>
        <w:rPr>
          <w:highlight w:val="lightGray"/>
        </w:rPr>
      </w:pPr>
      <w:r w:rsidRPr="00487E50">
        <w:rPr>
          <w:highlight w:val="lightGray"/>
        </w:rPr>
        <w:lastRenderedPageBreak/>
        <w:t xml:space="preserve">A BP entende que a simples exclusão do procedimento do PEI poderá trazer problemas jurídicos futuros em casos onde fosse avaliada a situação ambiental e </w:t>
      </w:r>
      <w:r w:rsidR="00322A72" w:rsidRPr="00487E50">
        <w:rPr>
          <w:highlight w:val="lightGray"/>
        </w:rPr>
        <w:t xml:space="preserve">ficassem evidentes os benefícios de sua implementação para a redução dos impactos ao ambiente. </w:t>
      </w:r>
      <w:r w:rsidRPr="00487E50">
        <w:rPr>
          <w:highlight w:val="lightGray"/>
        </w:rPr>
        <w:t xml:space="preserve">A não inclusão seria interpretada como um indicativo de que a empresa deliberadamente desconsiderou esta técnica </w:t>
      </w:r>
      <w:r w:rsidR="00322A72" w:rsidRPr="00487E50">
        <w:rPr>
          <w:highlight w:val="lightGray"/>
        </w:rPr>
        <w:t>de</w:t>
      </w:r>
      <w:r w:rsidRPr="00487E50">
        <w:rPr>
          <w:highlight w:val="lightGray"/>
        </w:rPr>
        <w:t xml:space="preserve"> seu rol de possíveis ações durante um situação de combate a vazamento.</w:t>
      </w:r>
    </w:p>
    <w:p w14:paraId="3AC0C3E7" w14:textId="70CA5B5B" w:rsidR="00917D82" w:rsidRPr="00322A72" w:rsidRDefault="00322A72" w:rsidP="00322A72">
      <w:pPr>
        <w:pStyle w:val="tier1Itext"/>
      </w:pPr>
      <w:r w:rsidRPr="00487E50">
        <w:rPr>
          <w:highlight w:val="lightGray"/>
        </w:rPr>
        <w:t xml:space="preserve">No entanto, </w:t>
      </w:r>
      <w:r w:rsidR="00917D82" w:rsidRPr="00487E50">
        <w:rPr>
          <w:highlight w:val="lightGray"/>
        </w:rPr>
        <w:t xml:space="preserve">a BP reforça </w:t>
      </w:r>
      <w:r w:rsidR="001437FD" w:rsidRPr="00487E50">
        <w:rPr>
          <w:highlight w:val="lightGray"/>
        </w:rPr>
        <w:t xml:space="preserve">o entendimento que sua </w:t>
      </w:r>
      <w:r w:rsidR="00917D82" w:rsidRPr="00487E50">
        <w:rPr>
          <w:highlight w:val="lightGray"/>
        </w:rPr>
        <w:t xml:space="preserve">execução </w:t>
      </w:r>
      <w:r w:rsidR="001437FD" w:rsidRPr="00487E50">
        <w:rPr>
          <w:highlight w:val="lightGray"/>
        </w:rPr>
        <w:t xml:space="preserve">estará iminentemente vinculada </w:t>
      </w:r>
      <w:r w:rsidR="00917D82" w:rsidRPr="00487E50">
        <w:rPr>
          <w:highlight w:val="lightGray"/>
        </w:rPr>
        <w:t>à expressa autorização formal do órgão ambiental competente (conforme preceitos da legislação), reiterando que, em caso de consideração de submissão de pedido de autorização, também encaminhará evidências de garantias complementares, como:</w:t>
      </w:r>
    </w:p>
    <w:p w14:paraId="102837D5" w14:textId="77777777" w:rsidR="00917D82" w:rsidRPr="00487E50" w:rsidRDefault="00917D82" w:rsidP="001437FD">
      <w:pPr>
        <w:pStyle w:val="tier1Itext"/>
        <w:numPr>
          <w:ilvl w:val="0"/>
          <w:numId w:val="46"/>
        </w:numPr>
        <w:rPr>
          <w:highlight w:val="lightGray"/>
        </w:rPr>
      </w:pPr>
      <w:r w:rsidRPr="00487E50">
        <w:rPr>
          <w:highlight w:val="lightGray"/>
        </w:rPr>
        <w:t>Apresentação de um plano operacional para a execução do procedimento, que deverá ser amplamente discutido e também aprovado pelo órgão ambiental competente, antes da formalização do uso da técnica. Este plano deverá considerar as boas práticas descritas no documento da IPIECA (2013), bem como detalhar formas de monitoramento de performance da operação a ser realizada; e</w:t>
      </w:r>
    </w:p>
    <w:p w14:paraId="53B156DD" w14:textId="71F2AD2F" w:rsidR="003C7B91" w:rsidRPr="00487E50" w:rsidRDefault="00917D82" w:rsidP="001437FD">
      <w:pPr>
        <w:pStyle w:val="tier1Itext"/>
        <w:numPr>
          <w:ilvl w:val="0"/>
          <w:numId w:val="46"/>
        </w:numPr>
        <w:rPr>
          <w:highlight w:val="lightGray"/>
        </w:rPr>
      </w:pPr>
      <w:r w:rsidRPr="00487E50">
        <w:rPr>
          <w:highlight w:val="lightGray"/>
        </w:rPr>
        <w:t>A continuação dos esforços de contratação e mobilização de quantas embarcações ou navios tanques aliviadores forem indicados como necessários pela avaliação potencial do cenário do incidente (conforme citado no item 9.2), relembrando que uma das filosofias de resposta da BP é a reação além do indicado no cenário corrente (</w:t>
      </w:r>
      <w:r w:rsidRPr="00487E50">
        <w:rPr>
          <w:i/>
          <w:highlight w:val="lightGray"/>
        </w:rPr>
        <w:t>over</w:t>
      </w:r>
      <w:r w:rsidRPr="00487E50">
        <w:rPr>
          <w:highlight w:val="lightGray"/>
        </w:rPr>
        <w:t xml:space="preserve"> </w:t>
      </w:r>
      <w:r w:rsidRPr="00487E50">
        <w:rPr>
          <w:i/>
          <w:highlight w:val="lightGray"/>
        </w:rPr>
        <w:t>react</w:t>
      </w:r>
      <w:r w:rsidRPr="00487E50">
        <w:rPr>
          <w:highlight w:val="lightGray"/>
        </w:rPr>
        <w:t>).</w:t>
      </w:r>
    </w:p>
    <w:p w14:paraId="3A48F14E" w14:textId="77777777" w:rsidR="00917D82" w:rsidRPr="00EE0E12" w:rsidRDefault="00917D82" w:rsidP="00662900">
      <w:pPr>
        <w:pStyle w:val="tier1Itext"/>
      </w:pPr>
    </w:p>
    <w:p w14:paraId="002071BB" w14:textId="77777777" w:rsidR="00290F16" w:rsidRPr="009D01BE" w:rsidRDefault="00290F16" w:rsidP="009D01BE">
      <w:pPr>
        <w:pStyle w:val="Ttulo2"/>
      </w:pPr>
      <w:bookmarkStart w:id="200" w:name="_Ref414612635"/>
      <w:bookmarkStart w:id="201" w:name="_Ref414612919"/>
      <w:bookmarkStart w:id="202" w:name="_Toc527990431"/>
      <w:r w:rsidRPr="009D01BE">
        <w:t>Procedimentos para Dispersão Mecânica</w:t>
      </w:r>
      <w:bookmarkEnd w:id="200"/>
      <w:bookmarkEnd w:id="201"/>
      <w:bookmarkEnd w:id="202"/>
    </w:p>
    <w:p w14:paraId="77B7C55B" w14:textId="77777777" w:rsidR="007E0169" w:rsidRPr="00EE0E12" w:rsidRDefault="007E0169" w:rsidP="00662900">
      <w:pPr>
        <w:pStyle w:val="tier1Itext"/>
      </w:pPr>
      <w:r w:rsidRPr="00EE0E12">
        <w:t>A dispersão mecânica poderá ser utilizada de forma a complementar ou em substituição à estratégia de contenção e recolhimento, quando houver restrições para a implementação desta, em função das características do óleo e/ou de situação específica do cenário acidental.</w:t>
      </w:r>
    </w:p>
    <w:p w14:paraId="601B3DA0" w14:textId="77777777" w:rsidR="007E0169" w:rsidRPr="00EE0E12" w:rsidRDefault="007E0169" w:rsidP="00662900">
      <w:pPr>
        <w:pStyle w:val="tier1Itext"/>
      </w:pPr>
      <w:r w:rsidRPr="00EE0E12">
        <w:t>Esta técnica tem como objetivo acelerar o processo natural de degradação do óleo, a partir da ruptura física do filme formado na superfície da água, permitindo sua melhor dispersão no ambiente marinho (superfície e coluna d’água). Tal ruptura pode ser provocada pela navegação repetidas vezes</w:t>
      </w:r>
      <w:r w:rsidRPr="00EE0E12" w:rsidDel="003A12A6">
        <w:t xml:space="preserve"> </w:t>
      </w:r>
      <w:r w:rsidRPr="00EE0E12">
        <w:t xml:space="preserve">sobre a mancha, e/ou pelo direcionamento de jatos d’agua de alta pressão, a partir de canhões do sistema de combate a incêndio instalado nas embarcações que atuarão na resposta (sistema </w:t>
      </w:r>
      <w:r w:rsidRPr="00EE0E12">
        <w:rPr>
          <w:i/>
        </w:rPr>
        <w:t xml:space="preserve">fire-fighting </w:t>
      </w:r>
      <w:r w:rsidRPr="00EE0E12">
        <w:t>[Fi-Fi]).</w:t>
      </w:r>
    </w:p>
    <w:p w14:paraId="10181E3C" w14:textId="23DB5B59" w:rsidR="007E0169" w:rsidRPr="00EE0E12" w:rsidRDefault="007E0169" w:rsidP="00662900">
      <w:pPr>
        <w:pStyle w:val="tier1Itext"/>
      </w:pPr>
      <w:r w:rsidRPr="00EE0E12">
        <w:lastRenderedPageBreak/>
        <w:t>A dispersão mecânica apresenta maior eficiência quando aplicada sobre óleos mais leves, cuja baixa viscosidade aumenta a taxa de formação de gotículas. Por esta razão, para um eventual vazamento de óleo cru</w:t>
      </w:r>
      <w:r w:rsidR="00AF610C">
        <w:t>,</w:t>
      </w:r>
      <w:r w:rsidRPr="00EE0E12">
        <w:t xml:space="preserve"> a dispersão mecânica deverá ser realizada preferencialmente nas áreas periféricas da mancha, onde houver maior predominância de óleo com aparência “brilhosa”, “arco-íris” ou “metálica” (</w:t>
      </w:r>
      <w:r w:rsidRPr="00EE0E12">
        <w:rPr>
          <w:b/>
        </w:rPr>
        <w:fldChar w:fldCharType="begin"/>
      </w:r>
      <w:r w:rsidRPr="00EE0E12">
        <w:rPr>
          <w:b/>
        </w:rPr>
        <w:instrText xml:space="preserve"> REF _Ref411453105 \h  \* MERGEFORMAT </w:instrText>
      </w:r>
      <w:r w:rsidRPr="00EE0E12">
        <w:rPr>
          <w:b/>
        </w:rPr>
      </w:r>
      <w:r w:rsidRPr="00EE0E12">
        <w:rPr>
          <w:b/>
        </w:rPr>
        <w:fldChar w:fldCharType="separate"/>
      </w:r>
      <w:r w:rsidR="00A50E67" w:rsidRPr="00A50E67">
        <w:rPr>
          <w:b/>
        </w:rPr>
        <w:t xml:space="preserve">Figura </w:t>
      </w:r>
      <w:r w:rsidR="00A50E67" w:rsidRPr="00A50E67">
        <w:rPr>
          <w:b/>
          <w:noProof/>
        </w:rPr>
        <w:t>16</w:t>
      </w:r>
      <w:r w:rsidRPr="00EE0E12">
        <w:rPr>
          <w:b/>
        </w:rPr>
        <w:fldChar w:fldCharType="end"/>
      </w:r>
      <w:r w:rsidRPr="00EE0E12">
        <w:t xml:space="preserve">), indicativas de menor viscosidade e espessura da camada de óleo, conforme descrito no </w:t>
      </w:r>
      <w:r w:rsidRPr="00E26CE0">
        <w:t xml:space="preserve">item </w:t>
      </w:r>
      <w:r w:rsidR="009E26EE" w:rsidRPr="00E26CE0">
        <w:fldChar w:fldCharType="begin"/>
      </w:r>
      <w:r w:rsidR="009E26EE" w:rsidRPr="00E26CE0">
        <w:instrText xml:space="preserve"> REF _Ref414544194 \r \h  \* MERGEFORMAT </w:instrText>
      </w:r>
      <w:r w:rsidR="009E26EE" w:rsidRPr="00E26CE0">
        <w:fldChar w:fldCharType="separate"/>
      </w:r>
      <w:r w:rsidR="00A50E67">
        <w:t>8.3</w:t>
      </w:r>
      <w:r w:rsidR="009E26EE" w:rsidRPr="00E26CE0">
        <w:fldChar w:fldCharType="end"/>
      </w:r>
      <w:r w:rsidRPr="00EE0E12">
        <w:t>.</w:t>
      </w:r>
    </w:p>
    <w:p w14:paraId="084CA7FC" w14:textId="77777777" w:rsidR="007E0169" w:rsidRPr="00662900" w:rsidRDefault="007E0169" w:rsidP="00662900">
      <w:pPr>
        <w:keepNext/>
        <w:tabs>
          <w:tab w:val="left" w:pos="0"/>
        </w:tabs>
        <w:spacing w:before="0" w:line="240" w:lineRule="auto"/>
        <w:jc w:val="center"/>
        <w:rPr>
          <w:rStyle w:val="tier1ItextChar"/>
          <w:rFonts w:eastAsiaTheme="minorEastAsia"/>
        </w:rPr>
      </w:pPr>
      <w:r w:rsidRPr="00EE0E12">
        <w:rPr>
          <w:rFonts w:asciiTheme="majorHAnsi" w:hAnsiTheme="majorHAnsi"/>
          <w:noProof/>
          <w:lang w:val="en-US" w:eastAsia="en-US"/>
        </w:rPr>
        <w:drawing>
          <wp:inline distT="0" distB="0" distL="0" distR="0" wp14:anchorId="5CB2E79F" wp14:editId="566CB4C6">
            <wp:extent cx="4899804" cy="3092961"/>
            <wp:effectExtent l="0" t="0" r="0" b="0"/>
            <wp:docPr id="289" name="Imagem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902783" cy="3094841"/>
                    </a:xfrm>
                    <a:prstGeom prst="rect">
                      <a:avLst/>
                    </a:prstGeom>
                    <a:noFill/>
                    <a:ln>
                      <a:noFill/>
                    </a:ln>
                  </pic:spPr>
                </pic:pic>
              </a:graphicData>
            </a:graphic>
          </wp:inline>
        </w:drawing>
      </w:r>
    </w:p>
    <w:p w14:paraId="7FD52D42" w14:textId="48032269" w:rsidR="007E0169" w:rsidRPr="00EE0E12" w:rsidRDefault="007E0169" w:rsidP="00662900">
      <w:pPr>
        <w:pStyle w:val="Legenda"/>
        <w:spacing w:before="0" w:after="0" w:line="240" w:lineRule="auto"/>
      </w:pPr>
      <w:bookmarkStart w:id="203" w:name="_Ref411453105"/>
      <w:bookmarkStart w:id="204" w:name="_Toc412812297"/>
      <w:bookmarkStart w:id="205" w:name="_Toc527990463"/>
      <w:r w:rsidRPr="00EE0E12">
        <w:t xml:space="preserve">Figura </w:t>
      </w:r>
      <w:fldSimple w:instr=" SEQ Figura \* ARABIC ">
        <w:r w:rsidR="00A50E67">
          <w:rPr>
            <w:noProof/>
          </w:rPr>
          <w:t>16</w:t>
        </w:r>
      </w:fldSimple>
      <w:bookmarkEnd w:id="203"/>
      <w:r w:rsidRPr="00EE0E12">
        <w:t xml:space="preserve">: Regiões da mancha onde a dispersão mecânica pode apresentar maior eficiência – áreas com aparência </w:t>
      </w:r>
      <w:r w:rsidRPr="00EE0E12">
        <w:rPr>
          <w:i/>
        </w:rPr>
        <w:t>rainbow</w:t>
      </w:r>
      <w:r w:rsidRPr="00EE0E12">
        <w:t xml:space="preserve"> (arco-íris) e </w:t>
      </w:r>
      <w:r w:rsidRPr="00EE0E12">
        <w:rPr>
          <w:i/>
        </w:rPr>
        <w:t xml:space="preserve">sheen </w:t>
      </w:r>
      <w:r w:rsidRPr="00EE0E12">
        <w:t>(brilhosa) (Fonte: Adaptado de BAOAC PHOTO ATLAS, 2011).</w:t>
      </w:r>
      <w:bookmarkEnd w:id="204"/>
      <w:bookmarkEnd w:id="205"/>
    </w:p>
    <w:p w14:paraId="30363E74" w14:textId="77777777" w:rsidR="007E0169" w:rsidRPr="00EE0E12" w:rsidRDefault="007E0169" w:rsidP="009E26EE">
      <w:pPr>
        <w:pStyle w:val="tier1Itext"/>
        <w:spacing w:before="360"/>
      </w:pPr>
      <w:r w:rsidRPr="00EE0E12">
        <w:t xml:space="preserve">Adicionalmente, a dispersão mecânica deve ser evitada em manchas em avançado estado de emulsificação, uma vez que as emulsões óleo-água (aparência de </w:t>
      </w:r>
      <w:r w:rsidRPr="00EE0E12">
        <w:rPr>
          <w:i/>
          <w:szCs w:val="20"/>
        </w:rPr>
        <w:t>mousse de chocolate</w:t>
      </w:r>
      <w:r w:rsidRPr="00EE0E12">
        <w:t>)</w:t>
      </w:r>
      <w:r w:rsidR="009E26EE">
        <w:t xml:space="preserve"> tendem a resistir à dispersão.</w:t>
      </w:r>
    </w:p>
    <w:p w14:paraId="2C06BD30" w14:textId="77777777" w:rsidR="00290F16" w:rsidRPr="009D01BE" w:rsidRDefault="00290F16" w:rsidP="009D01BE">
      <w:pPr>
        <w:pStyle w:val="Ttulo2"/>
      </w:pPr>
      <w:bookmarkStart w:id="206" w:name="_Ref414612643"/>
      <w:bookmarkStart w:id="207" w:name="_Ref414612927"/>
      <w:bookmarkStart w:id="208" w:name="_Toc527990432"/>
      <w:r w:rsidRPr="009D01BE">
        <w:t>Procedimentos para Dispersão Química</w:t>
      </w:r>
      <w:bookmarkEnd w:id="206"/>
      <w:bookmarkEnd w:id="207"/>
      <w:bookmarkEnd w:id="208"/>
    </w:p>
    <w:p w14:paraId="19949423" w14:textId="77777777" w:rsidR="007E0169" w:rsidRPr="00EE0E12" w:rsidRDefault="007E0169" w:rsidP="009E26EE">
      <w:pPr>
        <w:pStyle w:val="tier1Itext"/>
      </w:pPr>
      <w:r w:rsidRPr="00EE0E12">
        <w:t>A dispersão de óleo por aplicação de produto químico representa uma maneira eficiente para remover grandes manchas de óleo da superfície da água rapidamente, favorecendo o processo de biodegradação deste óleo e evitando que ele possa atingir e causar danos ambientais significativos a outras áreas mais sensíveis. Conforme visto nesta descrição e de acordo com a filosofia do NEBA, a técnica é uma alternativa analisada no momento da resposta considerando as especificidades da situação (como, mas não restritas às</w:t>
      </w:r>
      <w:r w:rsidR="00AF610C">
        <w:t>,</w:t>
      </w:r>
      <w:r w:rsidRPr="00EE0E12">
        <w:t xml:space="preserve"> condições meteooceanográficas e condições de intemperismo do óleo) e frente à iminência de impactos mais significativos que a sua </w:t>
      </w:r>
      <w:r w:rsidR="00AF610C">
        <w:t>‘</w:t>
      </w:r>
      <w:r w:rsidRPr="00EE0E12">
        <w:t>não utilização</w:t>
      </w:r>
      <w:r w:rsidR="00AF610C">
        <w:t>’</w:t>
      </w:r>
      <w:r w:rsidRPr="00EE0E12">
        <w:t xml:space="preserve">. Um aspecto positivo de sua aplicação é não gerar a necessidade de armazenar, transferir ou dispor o óleo recuperado </w:t>
      </w:r>
      <w:r w:rsidR="00AF610C">
        <w:t>em</w:t>
      </w:r>
      <w:r w:rsidR="00AF610C" w:rsidRPr="00EE0E12">
        <w:t xml:space="preserve"> </w:t>
      </w:r>
      <w:r w:rsidRPr="00EE0E12">
        <w:t>terra.</w:t>
      </w:r>
    </w:p>
    <w:p w14:paraId="7403B0F1" w14:textId="2BCFBF44" w:rsidR="007E0169" w:rsidRPr="00EE0E12" w:rsidRDefault="007E0169" w:rsidP="009E26EE">
      <w:pPr>
        <w:pStyle w:val="tier1Itext"/>
      </w:pPr>
      <w:r w:rsidRPr="00EE0E12">
        <w:lastRenderedPageBreak/>
        <w:t xml:space="preserve">A utilização de dispersantes químicos no Brasil está condicionada ao atendimento das diretrizes estabelecidas pela Resolução CONAMA n° </w:t>
      </w:r>
      <w:r w:rsidR="00B71CD4">
        <w:t>472/15</w:t>
      </w:r>
      <w:r w:rsidRPr="00EE0E12">
        <w:t>. Segundo essa normativa, critérios e restrições para o uso de dispersantes deverão ser considerados a fim de assegurar a eficiência e segurança das operações, além de evitar danos ambientais adicionais. Desse modo, o planejamento para a implementação dessa técnica de resposta, no caso de um incidente de poluição por óleo no mar durante as atividades da BP Energy na Bacia da Foz do Amazonas, deverá considerar uma constante interação entre as equipes de gerenciamento e de resposta tática, e consid</w:t>
      </w:r>
      <w:r w:rsidR="009E26EE">
        <w:t>erar vários fatores, tais como:</w:t>
      </w:r>
    </w:p>
    <w:p w14:paraId="4CA81086"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EE0E12">
        <w:rPr>
          <w:rFonts w:asciiTheme="majorHAnsi" w:hAnsiTheme="majorHAnsi"/>
        </w:rPr>
        <w:t>Tipo e volume de óleo a ser disperso;</w:t>
      </w:r>
    </w:p>
    <w:p w14:paraId="668ED1FF"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Grau da intemperização do derrame de óleo no momento da aplicação;</w:t>
      </w:r>
    </w:p>
    <w:p w14:paraId="101B245E"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Aspectos oceanográficos e meteorológicos (estado do mar Beaufort 3 fornece melhores condições para a eficácia do dispersante; em situações de mar calmo, a agitação mecânica deve ser realizada após a aplicação de dispersante para a dispersão adequada do óleo na água);</w:t>
      </w:r>
    </w:p>
    <w:p w14:paraId="7C4EDFDE" w14:textId="77777777" w:rsidR="007E0169" w:rsidRPr="00EE0E12" w:rsidRDefault="007E0169" w:rsidP="00E9093F">
      <w:pPr>
        <w:pStyle w:val="OCEBullet"/>
        <w:keepNex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Tipo de dispersante a ser usado (</w:t>
      </w:r>
      <w:r w:rsidRPr="00EE0E12">
        <w:rPr>
          <w:rStyle w:val="hps"/>
          <w:rFonts w:asciiTheme="majorHAnsi" w:eastAsiaTheme="minorHAnsi" w:hAnsiTheme="majorHAnsi" w:cstheme="majorHAnsi"/>
        </w:rPr>
        <w:t>COREXIT 9500</w:t>
      </w:r>
      <w:r w:rsidRPr="00EE0E12">
        <w:rPr>
          <w:rStyle w:val="Refdenotaderodap"/>
          <w:rFonts w:asciiTheme="majorHAnsi" w:hAnsiTheme="majorHAnsi" w:cstheme="majorHAnsi"/>
        </w:rPr>
        <w:footnoteReference w:id="48"/>
      </w:r>
      <w:r w:rsidRPr="00EE0E12">
        <w:rPr>
          <w:rStyle w:val="hps"/>
          <w:rFonts w:asciiTheme="majorHAnsi" w:eastAsiaTheme="minorHAnsi" w:hAnsiTheme="majorHAnsi" w:cstheme="majorHAnsi"/>
        </w:rPr>
        <w:t xml:space="preserve"> é um dispersante de óleo de alto desempenho que é eficaz em uma ampla gama de óleos, incluindo alguns óleos intemperizados e emulsificados. Tal como acontece com todos os agentes de dispersão, a aplicação em tempo hábil garante o maior grau de sucesso. O produto químico pode ser aplicado puro ou diluído com água do mar, de acordo</w:t>
      </w:r>
      <w:r w:rsidR="00ED188C">
        <w:rPr>
          <w:rStyle w:val="hps"/>
          <w:rFonts w:asciiTheme="majorHAnsi" w:eastAsiaTheme="minorHAnsi" w:hAnsiTheme="majorHAnsi" w:cstheme="majorHAnsi"/>
        </w:rPr>
        <w:t xml:space="preserve"> com o sistema de aplicação); e</w:t>
      </w:r>
    </w:p>
    <w:p w14:paraId="78EF50EA"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EE0E12">
        <w:rPr>
          <w:rFonts w:asciiTheme="majorHAnsi" w:hAnsiTheme="majorHAnsi"/>
        </w:rPr>
        <w:t>Equipamento disponível para a aplicação.</w:t>
      </w:r>
    </w:p>
    <w:p w14:paraId="545737CD" w14:textId="084A1B84" w:rsidR="007E0169" w:rsidRPr="00EE0E12" w:rsidRDefault="00B71CD4" w:rsidP="00266EC7">
      <w:pPr>
        <w:pStyle w:val="tier1Itext"/>
        <w:spacing w:before="360"/>
      </w:pPr>
      <w:r w:rsidRPr="00F20A0B">
        <w:rPr>
          <w:rStyle w:val="hps"/>
          <w:rFonts w:eastAsiaTheme="minorHAnsi" w:cstheme="majorHAnsi"/>
          <w:color w:val="000000"/>
          <w:szCs w:val="22"/>
          <w:u w:color="000000"/>
          <w:bdr w:val="nil"/>
          <w:lang w:val="pt-PT" w:eastAsia="zh-CN"/>
        </w:rPr>
        <w:t xml:space="preserve">Para consideração desta técnica deverá ser analisada sua viabilidade, a partir da </w:t>
      </w:r>
      <w:r w:rsidR="007E0169" w:rsidRPr="00F20A0B">
        <w:rPr>
          <w:rStyle w:val="hps"/>
          <w:rFonts w:eastAsiaTheme="minorHAnsi" w:cstheme="majorHAnsi"/>
          <w:color w:val="000000"/>
          <w:szCs w:val="22"/>
          <w:u w:color="000000"/>
          <w:bdr w:val="nil"/>
          <w:lang w:val="pt-PT" w:eastAsia="zh-CN"/>
        </w:rPr>
        <w:t xml:space="preserve">árvore de tomada de decisão </w:t>
      </w:r>
      <w:r w:rsidRPr="00F20A0B">
        <w:rPr>
          <w:rStyle w:val="hps"/>
          <w:rFonts w:eastAsiaTheme="minorHAnsi" w:cstheme="majorHAnsi"/>
          <w:color w:val="000000"/>
          <w:szCs w:val="22"/>
          <w:u w:color="000000"/>
          <w:bdr w:val="nil"/>
          <w:lang w:val="pt-PT" w:eastAsia="zh-CN"/>
        </w:rPr>
        <w:t xml:space="preserve">constante na norma citada. Também deverão ser observadas as restrições ao uso nas áreas </w:t>
      </w:r>
      <w:r w:rsidR="00F20A0B">
        <w:rPr>
          <w:rStyle w:val="hps"/>
          <w:rFonts w:eastAsiaTheme="minorHAnsi" w:cstheme="majorHAnsi"/>
          <w:color w:val="000000"/>
          <w:szCs w:val="22"/>
          <w:u w:color="000000"/>
          <w:bdr w:val="nil"/>
          <w:lang w:val="pt-PT" w:eastAsia="zh-CN"/>
        </w:rPr>
        <w:t xml:space="preserve">onde sua aplicação é proibida. </w:t>
      </w:r>
      <w:r w:rsidR="007E0169" w:rsidRPr="00EE0E12">
        <w:t>Ressalta-se que o uso de dispersantes químicos é proibido nas operações de descontaminação de instalações portuárias, de qualquer tipo de embarcação e de equipamentos utilizados na operação de resposta, bem como em situações nas quais se deseja apenas manter a estética do corpo hídrico, mas sem que tal fato seja preponderante nas situações em que o uso de dispersantes apresente maior eficiência e vantagem para a minimização do impacto global de um derrame.</w:t>
      </w:r>
    </w:p>
    <w:p w14:paraId="31049029" w14:textId="353B5532" w:rsidR="007E0169" w:rsidRPr="00EE0E12" w:rsidRDefault="007E0169" w:rsidP="00621779">
      <w:pPr>
        <w:pStyle w:val="tier1Itext"/>
      </w:pPr>
      <w:r w:rsidRPr="00EE0E12">
        <w:lastRenderedPageBreak/>
        <w:t xml:space="preserve">A </w:t>
      </w:r>
      <w:r w:rsidRPr="00EE0E12">
        <w:rPr>
          <w:b/>
        </w:rPr>
        <w:fldChar w:fldCharType="begin"/>
      </w:r>
      <w:r w:rsidRPr="00EE0E12">
        <w:rPr>
          <w:b/>
        </w:rPr>
        <w:instrText xml:space="preserve"> REF _Ref411453107 \h  \* MERGEFORMAT </w:instrText>
      </w:r>
      <w:r w:rsidRPr="00EE0E12">
        <w:rPr>
          <w:b/>
        </w:rPr>
      </w:r>
      <w:r w:rsidRPr="00EE0E12">
        <w:rPr>
          <w:b/>
        </w:rPr>
        <w:fldChar w:fldCharType="separate"/>
      </w:r>
      <w:r w:rsidR="00A50E67" w:rsidRPr="00A50E67">
        <w:rPr>
          <w:b/>
        </w:rPr>
        <w:t xml:space="preserve">Figura </w:t>
      </w:r>
      <w:r w:rsidR="00A50E67" w:rsidRPr="00A50E67">
        <w:rPr>
          <w:b/>
          <w:noProof/>
        </w:rPr>
        <w:t>17</w:t>
      </w:r>
      <w:r w:rsidRPr="00EE0E12">
        <w:rPr>
          <w:b/>
        </w:rPr>
        <w:fldChar w:fldCharType="end"/>
      </w:r>
      <w:r w:rsidRPr="00EE0E12">
        <w:t xml:space="preserve"> apresenta </w:t>
      </w:r>
      <w:r w:rsidRPr="004B2C3C">
        <w:rPr>
          <w:highlight w:val="lightGray"/>
        </w:rPr>
        <w:t>a</w:t>
      </w:r>
      <w:r w:rsidR="00E651E8" w:rsidRPr="004B2C3C">
        <w:rPr>
          <w:highlight w:val="lightGray"/>
        </w:rPr>
        <w:t>s</w:t>
      </w:r>
      <w:r w:rsidRPr="004B2C3C">
        <w:rPr>
          <w:highlight w:val="lightGray"/>
        </w:rPr>
        <w:t xml:space="preserve"> área</w:t>
      </w:r>
      <w:r w:rsidR="00E651E8" w:rsidRPr="004B2C3C">
        <w:rPr>
          <w:highlight w:val="lightGray"/>
        </w:rPr>
        <w:t>s</w:t>
      </w:r>
      <w:r w:rsidRPr="00EE0E12">
        <w:t xml:space="preserve"> </w:t>
      </w:r>
      <w:r w:rsidR="007E36E1">
        <w:t xml:space="preserve">da região norte </w:t>
      </w:r>
      <w:r w:rsidRPr="00EE0E12">
        <w:t>de águas jurisdicionais brasileiras</w:t>
      </w:r>
      <w:r w:rsidRPr="00EE0E12">
        <w:rPr>
          <w:b/>
        </w:rPr>
        <w:t xml:space="preserve"> </w:t>
      </w:r>
      <w:r w:rsidRPr="00EE0E12">
        <w:t>com restrição ao uso de dispersantes químicos</w:t>
      </w:r>
      <w:r w:rsidR="00326933">
        <w:t xml:space="preserve"> </w:t>
      </w:r>
      <w:r w:rsidR="00326933" w:rsidRPr="004B2C3C">
        <w:rPr>
          <w:highlight w:val="lightGray"/>
        </w:rPr>
        <w:t>conforme definições do Artigo 8º da Resolução CONAMA 472/15</w:t>
      </w:r>
      <w:r w:rsidR="00326933" w:rsidRPr="00E651E8">
        <w:t xml:space="preserve"> </w:t>
      </w:r>
      <w:r w:rsidR="00326933" w:rsidRPr="004B2C3C">
        <w:rPr>
          <w:highlight w:val="lightGray"/>
        </w:rPr>
        <w:t>(</w:t>
      </w:r>
      <w:r w:rsidRPr="00E651E8">
        <w:t>devido aos critérios de batimetria</w:t>
      </w:r>
      <w:r w:rsidRPr="00E651E8">
        <w:rPr>
          <w:rStyle w:val="Refdenotaderodap"/>
        </w:rPr>
        <w:footnoteReference w:id="49"/>
      </w:r>
      <w:r w:rsidRPr="00E651E8">
        <w:t>, unidades de conservação e distância da costa</w:t>
      </w:r>
      <w:r w:rsidR="00326933" w:rsidRPr="004B2C3C">
        <w:rPr>
          <w:highlight w:val="lightGray"/>
        </w:rPr>
        <w:t xml:space="preserve">), </w:t>
      </w:r>
      <w:r w:rsidR="00E651E8" w:rsidRPr="004B2C3C">
        <w:rPr>
          <w:highlight w:val="lightGray"/>
        </w:rPr>
        <w:t xml:space="preserve">e com proibição ao uso de dispersantes químicos, </w:t>
      </w:r>
      <w:r w:rsidR="00326933" w:rsidRPr="004B2C3C">
        <w:rPr>
          <w:highlight w:val="lightGray"/>
        </w:rPr>
        <w:t>em atendimento específico ao item III deste mesmo artigo, determinadas pelo órgão ambiental em PAR 02022.000055/2017-43 UAL/IBAMA</w:t>
      </w:r>
      <w:r w:rsidRPr="00E651E8">
        <w:t xml:space="preserve">. Os demais aspectos socioambientais deverão ser </w:t>
      </w:r>
      <w:r w:rsidRPr="00EE0E12">
        <w:t xml:space="preserve">avaliados no momento das ações de resposta e em consonância com o </w:t>
      </w:r>
      <w:r w:rsidRPr="004B2C3C">
        <w:rPr>
          <w:highlight w:val="lightGray"/>
        </w:rPr>
        <w:t>diagn</w:t>
      </w:r>
      <w:r w:rsidR="00326933" w:rsidRPr="004B2C3C">
        <w:rPr>
          <w:highlight w:val="lightGray"/>
        </w:rPr>
        <w:t>ó</w:t>
      </w:r>
      <w:r w:rsidRPr="004B2C3C">
        <w:rPr>
          <w:highlight w:val="lightGray"/>
        </w:rPr>
        <w:t>stico</w:t>
      </w:r>
      <w:r w:rsidRPr="00EE0E12">
        <w:t xml:space="preserve"> ambiental do Estudo de Impacto Ambiental (EIA) elaborado para as atividades da BP Energy na Bacia da Foz do Amazonas e a análise de vulnerabilidade apresentada no item </w:t>
      </w:r>
      <w:r w:rsidR="00621779">
        <w:fldChar w:fldCharType="begin"/>
      </w:r>
      <w:r w:rsidR="00621779">
        <w:instrText xml:space="preserve"> REF _Ref414544801 \r \h </w:instrText>
      </w:r>
      <w:r w:rsidR="00621779">
        <w:fldChar w:fldCharType="separate"/>
      </w:r>
      <w:r w:rsidR="00A50E67">
        <w:t>4</w:t>
      </w:r>
      <w:r w:rsidR="00621779">
        <w:fldChar w:fldCharType="end"/>
      </w:r>
      <w:r w:rsidRPr="00EE0E12">
        <w:t xml:space="preserve"> deste </w:t>
      </w:r>
      <w:r w:rsidR="00621779">
        <w:t>P</w:t>
      </w:r>
      <w:r w:rsidRPr="00EE0E12">
        <w:t>lano.</w:t>
      </w:r>
    </w:p>
    <w:p w14:paraId="171B42D3" w14:textId="3FA97DFB" w:rsidR="007E0169" w:rsidRDefault="00D437E0" w:rsidP="00621779">
      <w:pPr>
        <w:pStyle w:val="tier1Itext"/>
        <w:tabs>
          <w:tab w:val="clear" w:pos="5529"/>
          <w:tab w:val="left" w:pos="0"/>
        </w:tabs>
        <w:spacing w:before="0" w:after="0" w:line="240" w:lineRule="auto"/>
        <w:jc w:val="center"/>
      </w:pPr>
      <w:r>
        <w:rPr>
          <w:noProof/>
        </w:rPr>
        <w:drawing>
          <wp:inline distT="0" distB="0" distL="0" distR="0" wp14:anchorId="6452CDF7" wp14:editId="5AF642CD">
            <wp:extent cx="3448050" cy="4962525"/>
            <wp:effectExtent l="0" t="0" r="0" b="9525"/>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Areas Restritas RC 472-15 Alt BP.jpg"/>
                    <pic:cNvPicPr preferRelativeResize="0"/>
                  </pic:nvPicPr>
                  <pic:blipFill>
                    <a:blip r:embed="rId67"/>
                    <a:stretch>
                      <a:fillRect/>
                    </a:stretch>
                  </pic:blipFill>
                  <pic:spPr>
                    <a:xfrm>
                      <a:off x="0" y="0"/>
                      <a:ext cx="3469444" cy="4993316"/>
                    </a:xfrm>
                    <a:prstGeom prst="rect">
                      <a:avLst/>
                    </a:prstGeom>
                  </pic:spPr>
                </pic:pic>
              </a:graphicData>
            </a:graphic>
          </wp:inline>
        </w:drawing>
      </w:r>
    </w:p>
    <w:p w14:paraId="0BDF4889" w14:textId="2DCBABA0" w:rsidR="007E0169" w:rsidRPr="00EE0E12" w:rsidRDefault="007E0169" w:rsidP="00621779">
      <w:pPr>
        <w:pStyle w:val="Legenda"/>
        <w:keepNext w:val="0"/>
        <w:spacing w:before="0" w:after="0" w:line="240" w:lineRule="auto"/>
      </w:pPr>
      <w:bookmarkStart w:id="209" w:name="_Ref411453107"/>
      <w:bookmarkStart w:id="210" w:name="_Toc412812299"/>
      <w:bookmarkStart w:id="211" w:name="_Toc527990464"/>
      <w:r w:rsidRPr="00EE0E12">
        <w:t xml:space="preserve">Figura </w:t>
      </w:r>
      <w:fldSimple w:instr=" SEQ Figura \* ARABIC ">
        <w:r w:rsidR="00A50E67">
          <w:rPr>
            <w:noProof/>
          </w:rPr>
          <w:t>17</w:t>
        </w:r>
      </w:fldSimple>
      <w:bookmarkEnd w:id="209"/>
      <w:r w:rsidRPr="00EE0E12">
        <w:t xml:space="preserve">: </w:t>
      </w:r>
      <w:r w:rsidR="000B5B2B" w:rsidRPr="00565670">
        <w:t>Área</w:t>
      </w:r>
      <w:r w:rsidR="000B5B2B">
        <w:t xml:space="preserve"> com restrição ao uso de dispersantes químicos</w:t>
      </w:r>
      <w:r w:rsidR="000B5B2B" w:rsidRPr="00565670">
        <w:t xml:space="preserve">, considerando os </w:t>
      </w:r>
      <w:r w:rsidR="000B5B2B" w:rsidRPr="00E651E8">
        <w:t xml:space="preserve">critérios </w:t>
      </w:r>
      <w:r w:rsidR="00D437E0" w:rsidRPr="004B2C3C">
        <w:rPr>
          <w:highlight w:val="lightGray"/>
        </w:rPr>
        <w:t>da Resolução Conama 472/15 – Art 8º</w:t>
      </w:r>
      <w:r w:rsidR="000B5B2B" w:rsidRPr="00E651E8">
        <w:t xml:space="preserve">. (Fonte: </w:t>
      </w:r>
      <w:r w:rsidR="00D437E0" w:rsidRPr="004B2C3C">
        <w:rPr>
          <w:highlight w:val="lightGray"/>
        </w:rPr>
        <w:t>Alterado a partir de</w:t>
      </w:r>
      <w:r w:rsidR="00D437E0" w:rsidRPr="00E651E8">
        <w:t xml:space="preserve"> </w:t>
      </w:r>
      <w:r w:rsidR="000B5B2B" w:rsidRPr="00E651E8">
        <w:t>Witt|O’Bri</w:t>
      </w:r>
      <w:r w:rsidR="000B5B2B">
        <w:t>en’s</w:t>
      </w:r>
      <w:r w:rsidR="000B5B2B" w:rsidRPr="00565670">
        <w:t>)</w:t>
      </w:r>
      <w:r w:rsidRPr="00EE0E12">
        <w:t>.</w:t>
      </w:r>
      <w:bookmarkEnd w:id="210"/>
      <w:bookmarkEnd w:id="211"/>
    </w:p>
    <w:p w14:paraId="0FEE65DF" w14:textId="77777777" w:rsidR="007E0169" w:rsidRPr="00EE0E12" w:rsidRDefault="007E0169" w:rsidP="003A12B7">
      <w:pPr>
        <w:pStyle w:val="tier1Itext"/>
      </w:pPr>
      <w:r w:rsidRPr="00EE0E12">
        <w:lastRenderedPageBreak/>
        <w:t>A taxa de aplicação dispersantes químicos varia de acordo com a espessura do óleo bem como com as condições oceanográficas no momento da aplicação. O controle desta taxa pode ser conseguido através de 02 (duas) variáveis: o fluxo do sistema de bomba e a velocidade da plataforma (embarcação/aeronave) envolvida na aplicação.</w:t>
      </w:r>
    </w:p>
    <w:p w14:paraId="47C6D508" w14:textId="77777777" w:rsidR="007E0169" w:rsidRPr="00EE0E12" w:rsidRDefault="007E0169" w:rsidP="00EE0E12">
      <w:pPr>
        <w:spacing w:after="240"/>
        <w:rPr>
          <w:rFonts w:asciiTheme="majorHAnsi" w:hAnsiTheme="majorHAnsi" w:cstheme="majorHAnsi"/>
          <w:b/>
        </w:rPr>
      </w:pPr>
      <w:r w:rsidRPr="00EE0E12">
        <w:rPr>
          <w:rFonts w:asciiTheme="majorHAnsi" w:hAnsiTheme="majorHAnsi" w:cstheme="majorHAnsi"/>
          <w:b/>
        </w:rPr>
        <w:t>Eficácia da aplicação</w:t>
      </w:r>
    </w:p>
    <w:p w14:paraId="31E77683" w14:textId="19FECA92" w:rsidR="007E0169" w:rsidRPr="00EE0E12" w:rsidRDefault="007E0169" w:rsidP="003A12B7">
      <w:pPr>
        <w:pStyle w:val="tier1Itext"/>
      </w:pPr>
      <w:r w:rsidRPr="00EE0E12">
        <w:t xml:space="preserve">Conforme estabelecido pela Resolução CONAMA nº </w:t>
      </w:r>
      <w:r w:rsidR="00F20A0B">
        <w:t>472</w:t>
      </w:r>
      <w:r w:rsidRPr="00EE0E12">
        <w:t>/</w:t>
      </w:r>
      <w:r w:rsidR="00F20A0B">
        <w:t>15</w:t>
      </w:r>
      <w:r w:rsidRPr="00EE0E12">
        <w:t>, quando os dispersantes são usados durante uma resposta ao vazamento, sua eficácia deve ser avaliada.</w:t>
      </w:r>
    </w:p>
    <w:p w14:paraId="17BA5AEE" w14:textId="77777777" w:rsidR="007E0169" w:rsidRPr="00EE0E12" w:rsidRDefault="007E0169" w:rsidP="003A12B7">
      <w:pPr>
        <w:pStyle w:val="tier1Itext"/>
      </w:pPr>
      <w:r w:rsidRPr="00EE0E12">
        <w:t>A eficácia do processo de aplicação do dispersante é principalmente controlada por observação visual. No campo é muito difícil atestar a eficácia do processo pois inexistem métodos de medição da concentração do óleo na coluna de água em grandes áreas e durante períodos frequentes. Também é difícil determinar a quantidade de óleo que permanece na superfície da água, já que não há métodos disponíveis para medir com precisão a espessura de uma mancha de óleo e a quantidade de óleo em subsuperfície, que muitas vezes se comporta de forma diferente do que o óleo na superfície. Deste modo, as avaliações qualitativas, com indicadores visuais</w:t>
      </w:r>
      <w:r w:rsidR="007E36E1">
        <w:t>,</w:t>
      </w:r>
      <w:r w:rsidRPr="00EE0E12">
        <w:t xml:space="preserve"> representam o tipo de monitoramento mais comum realizado.</w:t>
      </w:r>
    </w:p>
    <w:p w14:paraId="633F200B" w14:textId="77777777" w:rsidR="007E0169" w:rsidRPr="00EE0E12" w:rsidRDefault="007E0169" w:rsidP="00EE0E12">
      <w:pPr>
        <w:spacing w:after="240"/>
        <w:rPr>
          <w:rFonts w:asciiTheme="majorHAnsi" w:hAnsiTheme="majorHAnsi" w:cstheme="majorHAnsi"/>
          <w:b/>
        </w:rPr>
      </w:pPr>
      <w:r w:rsidRPr="00EE0E12">
        <w:rPr>
          <w:rFonts w:asciiTheme="majorHAnsi" w:hAnsiTheme="majorHAnsi" w:cstheme="majorHAnsi"/>
          <w:b/>
        </w:rPr>
        <w:t>Observação Visual</w:t>
      </w:r>
    </w:p>
    <w:p w14:paraId="07BD400F" w14:textId="6477333B" w:rsidR="007E0169" w:rsidRPr="00EE0E12" w:rsidRDefault="007E0169" w:rsidP="003A12B7">
      <w:pPr>
        <w:pStyle w:val="tier1Itext"/>
      </w:pPr>
      <w:r w:rsidRPr="00EE0E12">
        <w:t>Um observador (em aeronave ou embarcação) deve estar presente durante uma campanha de aplicação de dispersantes químicos para avaliar visualmente a eficácia da aplicação. Para esta função, o observador deve ser capacitado através de treinamento específico. Os procedimentos aéreos ou de monitoramento por embarcações estão descritos na Seç</w:t>
      </w:r>
      <w:r w:rsidR="00F20A0B">
        <w:t xml:space="preserve">ão  8.3.2  </w:t>
      </w:r>
      <w:r w:rsidRPr="00EE0E12">
        <w:t>deste Plano.</w:t>
      </w:r>
    </w:p>
    <w:p w14:paraId="024F2ECF" w14:textId="77777777" w:rsidR="007E0169" w:rsidRPr="00EE0E12" w:rsidRDefault="007E0169" w:rsidP="003A12B7">
      <w:pPr>
        <w:pStyle w:val="tier1Itext"/>
      </w:pPr>
      <w:r w:rsidRPr="00EE0E12">
        <w:t xml:space="preserve">Os observadores podem identificar as alterações de cor em emulsões devido ao teor de água reduzido e à viscosidade, assim como as alterações na forma da mancha devido à ação desemulsificadora do dispersante. Às vezes, outras ocorrências tais como sólidos em suspensão ou proliferação de algas, podem ser semelhantes ao óleo disperso. Observadores diferentes no mesmo local podem chegar a conclusões diferentes sobre a quantidade de mancha que foi dispersa. Isso destaca a importância dos critérios de relatórios padronizados e o treinamento com um conjunto comum de diretrizes. </w:t>
      </w:r>
    </w:p>
    <w:p w14:paraId="32C366E2" w14:textId="137C1FDE" w:rsidR="007E0169" w:rsidRPr="00EE0E12" w:rsidRDefault="007E0169" w:rsidP="004F4B14">
      <w:pPr>
        <w:pStyle w:val="tier1Itext"/>
        <w:rPr>
          <w:rFonts w:cstheme="majorHAnsi"/>
        </w:rPr>
      </w:pPr>
      <w:r w:rsidRPr="00EE0E12">
        <w:t xml:space="preserve">A </w:t>
      </w:r>
      <w:r w:rsidRPr="00EE0E12">
        <w:rPr>
          <w:b/>
        </w:rPr>
        <w:fldChar w:fldCharType="begin"/>
      </w:r>
      <w:r w:rsidRPr="00EE0E12">
        <w:instrText xml:space="preserve"> REF _Ref412760893 \h </w:instrText>
      </w:r>
      <w:r w:rsidR="00F9135C">
        <w:rPr>
          <w:b/>
        </w:rPr>
        <w:instrText xml:space="preserve"> \* MERGEFORMAT </w:instrText>
      </w:r>
      <w:r w:rsidRPr="00EE0E12">
        <w:rPr>
          <w:b/>
        </w:rPr>
      </w:r>
      <w:r w:rsidRPr="00EE0E12">
        <w:rPr>
          <w:b/>
        </w:rPr>
        <w:fldChar w:fldCharType="separate"/>
      </w:r>
      <w:r w:rsidR="00A50E67" w:rsidRPr="00A50E67">
        <w:rPr>
          <w:b/>
        </w:rPr>
        <w:t xml:space="preserve">Figura </w:t>
      </w:r>
      <w:r w:rsidR="00A50E67" w:rsidRPr="00A50E67">
        <w:rPr>
          <w:b/>
          <w:noProof/>
        </w:rPr>
        <w:t>18</w:t>
      </w:r>
      <w:r w:rsidRPr="00EE0E12">
        <w:rPr>
          <w:b/>
        </w:rPr>
        <w:fldChar w:fldCharType="end"/>
      </w:r>
      <w:r w:rsidR="004F4B14">
        <w:t xml:space="preserve">, a </w:t>
      </w:r>
      <w:r w:rsidR="004F4B14" w:rsidRPr="004F4B14">
        <w:rPr>
          <w:szCs w:val="22"/>
        </w:rPr>
        <w:fldChar w:fldCharType="begin"/>
      </w:r>
      <w:r w:rsidR="004F4B14" w:rsidRPr="004F4B14">
        <w:rPr>
          <w:szCs w:val="22"/>
        </w:rPr>
        <w:instrText xml:space="preserve"> REF _Ref412760894 \h </w:instrText>
      </w:r>
      <w:r w:rsidR="004F4B14">
        <w:rPr>
          <w:szCs w:val="22"/>
        </w:rPr>
        <w:instrText xml:space="preserve"> \* MERGEFORMAT </w:instrText>
      </w:r>
      <w:r w:rsidR="004F4B14" w:rsidRPr="004F4B14">
        <w:rPr>
          <w:szCs w:val="22"/>
        </w:rPr>
      </w:r>
      <w:r w:rsidR="004F4B14" w:rsidRPr="004F4B14">
        <w:rPr>
          <w:szCs w:val="22"/>
        </w:rPr>
        <w:fldChar w:fldCharType="separate"/>
      </w:r>
      <w:r w:rsidR="00A50E67" w:rsidRPr="00A50E67">
        <w:rPr>
          <w:b/>
          <w:szCs w:val="22"/>
        </w:rPr>
        <w:t xml:space="preserve">Figura </w:t>
      </w:r>
      <w:r w:rsidR="00A50E67" w:rsidRPr="00A50E67">
        <w:rPr>
          <w:b/>
          <w:noProof/>
          <w:szCs w:val="22"/>
        </w:rPr>
        <w:t>19</w:t>
      </w:r>
      <w:r w:rsidR="004F4B14" w:rsidRPr="004F4B14">
        <w:rPr>
          <w:szCs w:val="22"/>
        </w:rPr>
        <w:fldChar w:fldCharType="end"/>
      </w:r>
      <w:r w:rsidRPr="00EE0E12">
        <w:t xml:space="preserve"> </w:t>
      </w:r>
      <w:r w:rsidR="004F4B14">
        <w:t xml:space="preserve">e </w:t>
      </w:r>
      <w:r w:rsidRPr="00EE0E12">
        <w:t xml:space="preserve">a </w:t>
      </w:r>
      <w:r w:rsidRPr="00EE0E12">
        <w:rPr>
          <w:b/>
        </w:rPr>
        <w:fldChar w:fldCharType="begin"/>
      </w:r>
      <w:r w:rsidRPr="00EE0E12">
        <w:rPr>
          <w:b/>
        </w:rPr>
        <w:instrText xml:space="preserve"> REF _Ref412808805 \h  \* MERGEFORMAT </w:instrText>
      </w:r>
      <w:r w:rsidRPr="00EE0E12">
        <w:rPr>
          <w:b/>
        </w:rPr>
      </w:r>
      <w:r w:rsidRPr="00EE0E12">
        <w:rPr>
          <w:b/>
        </w:rPr>
        <w:fldChar w:fldCharType="separate"/>
      </w:r>
      <w:r w:rsidR="00A50E67" w:rsidRPr="00A50E67">
        <w:rPr>
          <w:b/>
        </w:rPr>
        <w:t xml:space="preserve">Figura </w:t>
      </w:r>
      <w:r w:rsidR="00A50E67" w:rsidRPr="00A50E67">
        <w:rPr>
          <w:b/>
          <w:noProof/>
        </w:rPr>
        <w:t>20</w:t>
      </w:r>
      <w:r w:rsidRPr="00EE0E12">
        <w:rPr>
          <w:b/>
        </w:rPr>
        <w:fldChar w:fldCharType="end"/>
      </w:r>
      <w:r w:rsidRPr="00EE0E12">
        <w:t xml:space="preserve"> mostram três situações características que podem ocorrer durante a aplicação de dispersantes químicos: (i) dosagem inferior à requerida; (ii) dosagem ideal; e (iii) dosagem superior à requerida.</w:t>
      </w:r>
    </w:p>
    <w:tbl>
      <w:tblPr>
        <w:tblpPr w:leftFromText="180" w:rightFromText="180" w:vertAnchor="text" w:tblpY="1"/>
        <w:tblOverlap w:val="never"/>
        <w:tblW w:w="0" w:type="auto"/>
        <w:tblLayout w:type="fixed"/>
        <w:tblLook w:val="00A0" w:firstRow="1" w:lastRow="0" w:firstColumn="1" w:lastColumn="0" w:noHBand="0" w:noVBand="0"/>
      </w:tblPr>
      <w:tblGrid>
        <w:gridCol w:w="5359"/>
        <w:gridCol w:w="3680"/>
      </w:tblGrid>
      <w:tr w:rsidR="007E0169" w:rsidRPr="00EE0E12" w14:paraId="131F7726" w14:textId="77777777" w:rsidTr="004F4B14">
        <w:tc>
          <w:tcPr>
            <w:tcW w:w="5359" w:type="dxa"/>
          </w:tcPr>
          <w:p w14:paraId="0D4EC1FA" w14:textId="77777777" w:rsidR="007E0169" w:rsidRPr="00EE0E12" w:rsidRDefault="007E0169" w:rsidP="007E0169">
            <w:pPr>
              <w:pStyle w:val="Default"/>
              <w:spacing w:line="280" w:lineRule="auto"/>
              <w:rPr>
                <w:rFonts w:asciiTheme="majorHAnsi" w:hAnsiTheme="majorHAnsi" w:cstheme="majorHAnsi"/>
                <w:sz w:val="22"/>
                <w:szCs w:val="22"/>
              </w:rPr>
            </w:pPr>
            <w:r w:rsidRPr="00EE0E12">
              <w:rPr>
                <w:rFonts w:asciiTheme="majorHAnsi" w:hAnsiTheme="majorHAnsi" w:cstheme="majorHAnsi"/>
                <w:noProof/>
                <w:sz w:val="22"/>
                <w:szCs w:val="22"/>
                <w:lang w:val="en-US" w:eastAsia="en-US"/>
              </w:rPr>
              <w:lastRenderedPageBreak/>
              <w:drawing>
                <wp:inline distT="0" distB="0" distL="0" distR="0" wp14:anchorId="48D49865" wp14:editId="1EE74983">
                  <wp:extent cx="3281516" cy="2498400"/>
                  <wp:effectExtent l="19050" t="19050" r="14605" b="16510"/>
                  <wp:docPr id="302" name="Picture 3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281516" cy="2498400"/>
                          </a:xfrm>
                          <a:prstGeom prst="rect">
                            <a:avLst/>
                          </a:prstGeom>
                          <a:noFill/>
                          <a:ln w="12700" cmpd="sng">
                            <a:solidFill>
                              <a:srgbClr val="007833"/>
                            </a:solidFill>
                            <a:miter lim="800000"/>
                            <a:headEnd/>
                            <a:tailEnd/>
                          </a:ln>
                          <a:effectLst/>
                        </pic:spPr>
                      </pic:pic>
                    </a:graphicData>
                  </a:graphic>
                </wp:inline>
              </w:drawing>
            </w:r>
          </w:p>
        </w:tc>
        <w:tc>
          <w:tcPr>
            <w:tcW w:w="3680" w:type="dxa"/>
          </w:tcPr>
          <w:p w14:paraId="21743E15" w14:textId="455CB8F4" w:rsidR="007E0169" w:rsidRPr="004F4B14" w:rsidRDefault="007E0169" w:rsidP="004F4B14">
            <w:pPr>
              <w:pStyle w:val="Default"/>
              <w:rPr>
                <w:rStyle w:val="A17"/>
                <w:rFonts w:asciiTheme="majorHAnsi" w:hAnsiTheme="majorHAnsi" w:cstheme="majorHAnsi"/>
                <w:b/>
                <w:sz w:val="20"/>
                <w:szCs w:val="20"/>
              </w:rPr>
            </w:pPr>
            <w:bookmarkStart w:id="212" w:name="_Ref412760893"/>
            <w:bookmarkStart w:id="213" w:name="_Toc412812300"/>
            <w:bookmarkStart w:id="214" w:name="_Toc527990465"/>
            <w:r w:rsidRPr="004F4B14">
              <w:rPr>
                <w:rFonts w:asciiTheme="majorHAnsi" w:hAnsiTheme="majorHAnsi"/>
                <w:b/>
                <w:sz w:val="20"/>
                <w:szCs w:val="20"/>
              </w:rPr>
              <w:t xml:space="preserve">Figura </w:t>
            </w:r>
            <w:r w:rsidRPr="004F4B14">
              <w:rPr>
                <w:rFonts w:asciiTheme="majorHAnsi" w:hAnsiTheme="majorHAnsi"/>
                <w:b/>
                <w:sz w:val="20"/>
                <w:szCs w:val="20"/>
              </w:rPr>
              <w:fldChar w:fldCharType="begin"/>
            </w:r>
            <w:r w:rsidRPr="004F4B14">
              <w:rPr>
                <w:rFonts w:asciiTheme="majorHAnsi" w:hAnsiTheme="majorHAnsi"/>
                <w:b/>
                <w:sz w:val="20"/>
                <w:szCs w:val="20"/>
              </w:rPr>
              <w:instrText xml:space="preserve"> SEQ Figura \* ARABIC </w:instrText>
            </w:r>
            <w:r w:rsidRPr="004F4B14">
              <w:rPr>
                <w:rFonts w:asciiTheme="majorHAnsi" w:hAnsiTheme="majorHAnsi"/>
                <w:b/>
                <w:sz w:val="20"/>
                <w:szCs w:val="20"/>
              </w:rPr>
              <w:fldChar w:fldCharType="separate"/>
            </w:r>
            <w:r w:rsidR="00A50E67">
              <w:rPr>
                <w:rFonts w:asciiTheme="majorHAnsi" w:hAnsiTheme="majorHAnsi"/>
                <w:b/>
                <w:noProof/>
                <w:sz w:val="20"/>
                <w:szCs w:val="20"/>
              </w:rPr>
              <w:t>18</w:t>
            </w:r>
            <w:r w:rsidRPr="004F4B14">
              <w:rPr>
                <w:rFonts w:asciiTheme="majorHAnsi" w:hAnsiTheme="majorHAnsi"/>
                <w:b/>
                <w:sz w:val="20"/>
                <w:szCs w:val="20"/>
              </w:rPr>
              <w:fldChar w:fldCharType="end"/>
            </w:r>
            <w:bookmarkEnd w:id="212"/>
            <w:r w:rsidRPr="004F4B14">
              <w:rPr>
                <w:rFonts w:asciiTheme="majorHAnsi" w:hAnsiTheme="majorHAnsi"/>
                <w:b/>
                <w:sz w:val="20"/>
                <w:szCs w:val="20"/>
              </w:rPr>
              <w:t xml:space="preserve">: </w:t>
            </w:r>
            <w:r w:rsidRPr="004F4B14">
              <w:rPr>
                <w:rFonts w:asciiTheme="majorHAnsi" w:hAnsiTheme="majorHAnsi" w:cstheme="majorHAnsi"/>
                <w:b/>
                <w:i/>
                <w:sz w:val="20"/>
                <w:szCs w:val="20"/>
              </w:rPr>
              <w:t>Sub-dosagem</w:t>
            </w:r>
            <w:r w:rsidRPr="004F4B14">
              <w:rPr>
                <w:rFonts w:asciiTheme="majorHAnsi" w:hAnsiTheme="majorHAnsi" w:cstheme="majorHAnsi"/>
                <w:b/>
                <w:sz w:val="20"/>
                <w:szCs w:val="20"/>
              </w:rPr>
              <w:t xml:space="preserve"> – aplicação de menos dispersante que o requerido</w:t>
            </w:r>
            <w:r w:rsidR="004F4B14" w:rsidRPr="004F4B14">
              <w:rPr>
                <w:rFonts w:asciiTheme="majorHAnsi" w:hAnsiTheme="majorHAnsi" w:cstheme="majorHAnsi"/>
                <w:b/>
                <w:sz w:val="20"/>
                <w:szCs w:val="20"/>
              </w:rPr>
              <w:t>,</w:t>
            </w:r>
            <w:r w:rsidRPr="004F4B14">
              <w:rPr>
                <w:rFonts w:asciiTheme="majorHAnsi" w:hAnsiTheme="majorHAnsi" w:cstheme="majorHAnsi"/>
                <w:b/>
                <w:sz w:val="20"/>
                <w:szCs w:val="20"/>
              </w:rPr>
              <w:t xml:space="preserve"> significa que a pulverização foi ineficaz.</w:t>
            </w:r>
            <w:r w:rsidRPr="004F4B14">
              <w:rPr>
                <w:rStyle w:val="A17"/>
                <w:rFonts w:asciiTheme="majorHAnsi" w:hAnsiTheme="majorHAnsi" w:cstheme="majorHAnsi"/>
                <w:b/>
                <w:sz w:val="20"/>
                <w:szCs w:val="20"/>
              </w:rPr>
              <w:t xml:space="preserve"> O óleo permanecerá na superfície no seu estado normal</w:t>
            </w:r>
            <w:r w:rsidR="004F4B14" w:rsidRPr="004F4B14">
              <w:rPr>
                <w:rStyle w:val="A17"/>
                <w:rFonts w:asciiTheme="majorHAnsi" w:hAnsiTheme="majorHAnsi" w:cstheme="majorHAnsi"/>
                <w:b/>
                <w:sz w:val="20"/>
                <w:szCs w:val="20"/>
              </w:rPr>
              <w:t xml:space="preserve"> </w:t>
            </w:r>
            <w:r w:rsidR="004F4B14" w:rsidRPr="004F4B14">
              <w:rPr>
                <w:rFonts w:asciiTheme="majorHAnsi" w:hAnsiTheme="majorHAnsi" w:cstheme="majorHAnsi"/>
                <w:b/>
                <w:sz w:val="20"/>
              </w:rPr>
              <w:t>(Fonte: OSRL</w:t>
            </w:r>
            <w:r w:rsidR="004F4B14" w:rsidRPr="004F4B14">
              <w:rPr>
                <w:rFonts w:asciiTheme="majorHAnsi" w:hAnsiTheme="majorHAnsi" w:cstheme="majorHAnsi"/>
                <w:b/>
                <w:sz w:val="20"/>
                <w:szCs w:val="20"/>
              </w:rPr>
              <w:t>, 2011)</w:t>
            </w:r>
            <w:r w:rsidRPr="004F4B14">
              <w:rPr>
                <w:rStyle w:val="A17"/>
                <w:rFonts w:asciiTheme="majorHAnsi" w:hAnsiTheme="majorHAnsi" w:cstheme="majorHAnsi"/>
                <w:b/>
                <w:sz w:val="20"/>
                <w:szCs w:val="20"/>
              </w:rPr>
              <w:t>.</w:t>
            </w:r>
            <w:bookmarkEnd w:id="213"/>
            <w:bookmarkEnd w:id="214"/>
          </w:p>
          <w:p w14:paraId="037E7031" w14:textId="77777777" w:rsidR="007E0169" w:rsidRPr="004F4B14" w:rsidRDefault="007E0169" w:rsidP="004F4B14">
            <w:pPr>
              <w:pStyle w:val="Default"/>
              <w:rPr>
                <w:rStyle w:val="A17"/>
                <w:rFonts w:asciiTheme="majorHAnsi" w:hAnsiTheme="majorHAnsi" w:cstheme="majorHAnsi"/>
                <w:sz w:val="20"/>
                <w:szCs w:val="20"/>
              </w:rPr>
            </w:pPr>
          </w:p>
          <w:p w14:paraId="24A2C2FF" w14:textId="77777777" w:rsidR="007E0169" w:rsidRPr="004F4B14" w:rsidRDefault="007E0169" w:rsidP="004F4B14">
            <w:pPr>
              <w:pStyle w:val="Default"/>
              <w:rPr>
                <w:rFonts w:asciiTheme="majorHAnsi" w:hAnsiTheme="majorHAnsi" w:cstheme="majorHAnsi"/>
                <w:sz w:val="20"/>
                <w:szCs w:val="20"/>
              </w:rPr>
            </w:pPr>
            <w:r w:rsidRPr="004F4B14">
              <w:rPr>
                <w:rStyle w:val="A17"/>
                <w:rFonts w:asciiTheme="majorHAnsi" w:hAnsiTheme="majorHAnsi" w:cstheme="majorHAnsi"/>
                <w:i/>
                <w:sz w:val="20"/>
                <w:szCs w:val="20"/>
              </w:rPr>
              <w:t>Ações associadas</w:t>
            </w:r>
            <w:r w:rsidRPr="004F4B14">
              <w:rPr>
                <w:rStyle w:val="A17"/>
                <w:rFonts w:asciiTheme="majorHAnsi" w:hAnsiTheme="majorHAnsi" w:cstheme="majorHAnsi"/>
                <w:sz w:val="20"/>
                <w:szCs w:val="20"/>
              </w:rPr>
              <w:t>. Reduzir a velocidade da plataforma de aplicação e revisar a vazão do bombeamento.</w:t>
            </w:r>
          </w:p>
        </w:tc>
      </w:tr>
      <w:tr w:rsidR="007E0169" w:rsidRPr="00EE0E12" w14:paraId="5D1D5216" w14:textId="77777777" w:rsidTr="004F4B14">
        <w:tc>
          <w:tcPr>
            <w:tcW w:w="5359" w:type="dxa"/>
          </w:tcPr>
          <w:p w14:paraId="392A9D5C" w14:textId="77777777" w:rsidR="007E0169" w:rsidRPr="00EE0E12" w:rsidRDefault="007E0169" w:rsidP="007E0169">
            <w:pPr>
              <w:pStyle w:val="Default"/>
              <w:spacing w:line="280" w:lineRule="auto"/>
              <w:rPr>
                <w:rFonts w:asciiTheme="majorHAnsi" w:hAnsiTheme="majorHAnsi" w:cstheme="majorHAnsi"/>
                <w:sz w:val="22"/>
                <w:szCs w:val="22"/>
              </w:rPr>
            </w:pPr>
            <w:r w:rsidRPr="00EE0E12">
              <w:rPr>
                <w:rFonts w:asciiTheme="majorHAnsi" w:hAnsiTheme="majorHAnsi" w:cstheme="majorHAnsi"/>
                <w:noProof/>
                <w:sz w:val="22"/>
                <w:szCs w:val="22"/>
                <w:lang w:val="en-US" w:eastAsia="en-US"/>
              </w:rPr>
              <w:drawing>
                <wp:inline distT="0" distB="0" distL="0" distR="0" wp14:anchorId="29FBF2DE" wp14:editId="41A1050A">
                  <wp:extent cx="3279600" cy="2498400"/>
                  <wp:effectExtent l="19050" t="19050" r="16510" b="16510"/>
                  <wp:docPr id="301" name="Picture 3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279600" cy="2498400"/>
                          </a:xfrm>
                          <a:prstGeom prst="rect">
                            <a:avLst/>
                          </a:prstGeom>
                          <a:noFill/>
                          <a:ln w="12700" cmpd="sng">
                            <a:solidFill>
                              <a:srgbClr val="007833"/>
                            </a:solidFill>
                            <a:miter lim="800000"/>
                            <a:headEnd/>
                            <a:tailEnd/>
                          </a:ln>
                          <a:effectLst/>
                        </pic:spPr>
                      </pic:pic>
                    </a:graphicData>
                  </a:graphic>
                </wp:inline>
              </w:drawing>
            </w:r>
          </w:p>
        </w:tc>
        <w:tc>
          <w:tcPr>
            <w:tcW w:w="3680" w:type="dxa"/>
          </w:tcPr>
          <w:p w14:paraId="32E3A0DF" w14:textId="4952FBF2" w:rsidR="007E0169" w:rsidRPr="004F4B14" w:rsidRDefault="007E0169" w:rsidP="004F4B14">
            <w:pPr>
              <w:pStyle w:val="Default"/>
              <w:rPr>
                <w:rStyle w:val="A17"/>
                <w:rFonts w:asciiTheme="majorHAnsi" w:hAnsiTheme="majorHAnsi" w:cstheme="majorHAnsi"/>
                <w:b/>
                <w:sz w:val="20"/>
                <w:szCs w:val="20"/>
              </w:rPr>
            </w:pPr>
            <w:bookmarkStart w:id="215" w:name="_Ref412760894"/>
            <w:bookmarkStart w:id="216" w:name="_Toc412812301"/>
            <w:bookmarkStart w:id="217" w:name="_Toc527990466"/>
            <w:r w:rsidRPr="004F4B14">
              <w:rPr>
                <w:rFonts w:asciiTheme="majorHAnsi" w:hAnsiTheme="majorHAnsi"/>
                <w:b/>
                <w:sz w:val="20"/>
                <w:szCs w:val="20"/>
              </w:rPr>
              <w:t xml:space="preserve">Figura </w:t>
            </w:r>
            <w:r w:rsidRPr="004F4B14">
              <w:rPr>
                <w:rFonts w:asciiTheme="majorHAnsi" w:hAnsiTheme="majorHAnsi"/>
                <w:b/>
                <w:sz w:val="20"/>
                <w:szCs w:val="20"/>
              </w:rPr>
              <w:fldChar w:fldCharType="begin"/>
            </w:r>
            <w:r w:rsidRPr="004F4B14">
              <w:rPr>
                <w:rFonts w:asciiTheme="majorHAnsi" w:hAnsiTheme="majorHAnsi"/>
                <w:b/>
                <w:sz w:val="20"/>
                <w:szCs w:val="20"/>
              </w:rPr>
              <w:instrText xml:space="preserve"> SEQ Figura \* ARABIC </w:instrText>
            </w:r>
            <w:r w:rsidRPr="004F4B14">
              <w:rPr>
                <w:rFonts w:asciiTheme="majorHAnsi" w:hAnsiTheme="majorHAnsi"/>
                <w:b/>
                <w:sz w:val="20"/>
                <w:szCs w:val="20"/>
              </w:rPr>
              <w:fldChar w:fldCharType="separate"/>
            </w:r>
            <w:r w:rsidR="00A50E67">
              <w:rPr>
                <w:rFonts w:asciiTheme="majorHAnsi" w:hAnsiTheme="majorHAnsi"/>
                <w:b/>
                <w:noProof/>
                <w:sz w:val="20"/>
                <w:szCs w:val="20"/>
              </w:rPr>
              <w:t>19</w:t>
            </w:r>
            <w:r w:rsidRPr="004F4B14">
              <w:rPr>
                <w:rFonts w:asciiTheme="majorHAnsi" w:hAnsiTheme="majorHAnsi"/>
                <w:b/>
                <w:sz w:val="20"/>
                <w:szCs w:val="20"/>
              </w:rPr>
              <w:fldChar w:fldCharType="end"/>
            </w:r>
            <w:bookmarkEnd w:id="215"/>
            <w:r w:rsidRPr="004F4B14">
              <w:rPr>
                <w:rFonts w:asciiTheme="majorHAnsi" w:hAnsiTheme="majorHAnsi"/>
                <w:b/>
                <w:sz w:val="20"/>
                <w:szCs w:val="20"/>
              </w:rPr>
              <w:t xml:space="preserve">: </w:t>
            </w:r>
            <w:r w:rsidRPr="004F4B14">
              <w:rPr>
                <w:rFonts w:asciiTheme="majorHAnsi" w:hAnsiTheme="majorHAnsi" w:cstheme="majorHAnsi"/>
                <w:b/>
                <w:i/>
                <w:sz w:val="20"/>
                <w:szCs w:val="20"/>
              </w:rPr>
              <w:t>Concentração efetiva</w:t>
            </w:r>
            <w:r w:rsidRPr="004F4B14">
              <w:rPr>
                <w:rFonts w:asciiTheme="majorHAnsi" w:hAnsiTheme="majorHAnsi" w:cstheme="majorHAnsi"/>
                <w:b/>
                <w:sz w:val="20"/>
                <w:szCs w:val="20"/>
              </w:rPr>
              <w:t xml:space="preserve"> – </w:t>
            </w:r>
            <w:r w:rsidR="004F4B14">
              <w:rPr>
                <w:rStyle w:val="A17"/>
                <w:rFonts w:asciiTheme="majorHAnsi" w:hAnsiTheme="majorHAnsi" w:cstheme="majorHAnsi"/>
                <w:b/>
                <w:sz w:val="20"/>
                <w:szCs w:val="20"/>
              </w:rPr>
              <w:t>q</w:t>
            </w:r>
            <w:r w:rsidRPr="004F4B14">
              <w:rPr>
                <w:rStyle w:val="A17"/>
                <w:rFonts w:asciiTheme="majorHAnsi" w:hAnsiTheme="majorHAnsi" w:cstheme="majorHAnsi"/>
                <w:b/>
                <w:sz w:val="20"/>
                <w:szCs w:val="20"/>
              </w:rPr>
              <w:t>uando o dispersante é eficientemente aplicado, uma pluma colorida na cor cinza ou café será visível na água. Também pode haver um movimento perceptível de óleo na superfície</w:t>
            </w:r>
            <w:r w:rsidR="004F4B14" w:rsidRPr="004F4B14">
              <w:rPr>
                <w:rStyle w:val="A17"/>
                <w:rFonts w:asciiTheme="majorHAnsi" w:hAnsiTheme="majorHAnsi" w:cstheme="majorHAnsi"/>
                <w:b/>
                <w:sz w:val="20"/>
                <w:szCs w:val="20"/>
              </w:rPr>
              <w:t xml:space="preserve"> </w:t>
            </w:r>
            <w:r w:rsidR="004F4B14" w:rsidRPr="004F4B14">
              <w:rPr>
                <w:rFonts w:asciiTheme="majorHAnsi" w:hAnsiTheme="majorHAnsi" w:cstheme="majorHAnsi"/>
                <w:b/>
                <w:sz w:val="20"/>
              </w:rPr>
              <w:t>(</w:t>
            </w:r>
            <w:r w:rsidR="00A8331C" w:rsidRPr="004F4B14">
              <w:rPr>
                <w:rFonts w:asciiTheme="majorHAnsi" w:hAnsiTheme="majorHAnsi" w:cstheme="majorHAnsi"/>
                <w:b/>
                <w:sz w:val="20"/>
              </w:rPr>
              <w:t>Fonte: OSRL</w:t>
            </w:r>
            <w:r w:rsidR="00A8331C" w:rsidRPr="004F4B14">
              <w:rPr>
                <w:rFonts w:asciiTheme="majorHAnsi" w:hAnsiTheme="majorHAnsi" w:cstheme="majorHAnsi"/>
                <w:b/>
                <w:sz w:val="20"/>
                <w:szCs w:val="20"/>
              </w:rPr>
              <w:t>, 2011</w:t>
            </w:r>
            <w:r w:rsidR="004F4B14" w:rsidRPr="004F4B14">
              <w:rPr>
                <w:rFonts w:asciiTheme="majorHAnsi" w:hAnsiTheme="majorHAnsi" w:cstheme="majorHAnsi"/>
                <w:b/>
                <w:sz w:val="20"/>
                <w:szCs w:val="20"/>
              </w:rPr>
              <w:t>)</w:t>
            </w:r>
            <w:r w:rsidRPr="004F4B14">
              <w:rPr>
                <w:rStyle w:val="A17"/>
                <w:rFonts w:asciiTheme="majorHAnsi" w:hAnsiTheme="majorHAnsi" w:cstheme="majorHAnsi"/>
                <w:b/>
                <w:sz w:val="20"/>
                <w:szCs w:val="20"/>
              </w:rPr>
              <w:t>.</w:t>
            </w:r>
            <w:bookmarkEnd w:id="216"/>
            <w:bookmarkEnd w:id="217"/>
          </w:p>
          <w:p w14:paraId="619F6BAB" w14:textId="77777777" w:rsidR="007E0169" w:rsidRPr="004F4B14" w:rsidRDefault="007E0169" w:rsidP="004F4B14">
            <w:pPr>
              <w:pStyle w:val="Default"/>
              <w:rPr>
                <w:rStyle w:val="A17"/>
                <w:rFonts w:asciiTheme="majorHAnsi" w:hAnsiTheme="majorHAnsi" w:cstheme="majorHAnsi"/>
                <w:sz w:val="20"/>
                <w:szCs w:val="20"/>
              </w:rPr>
            </w:pPr>
          </w:p>
          <w:p w14:paraId="3BF26519" w14:textId="77777777" w:rsidR="007E0169" w:rsidRPr="004F4B14" w:rsidRDefault="007E0169" w:rsidP="004F4B14">
            <w:pPr>
              <w:pStyle w:val="Default"/>
              <w:rPr>
                <w:rFonts w:asciiTheme="majorHAnsi" w:hAnsiTheme="majorHAnsi" w:cstheme="majorHAnsi"/>
                <w:sz w:val="20"/>
                <w:szCs w:val="20"/>
              </w:rPr>
            </w:pPr>
            <w:r w:rsidRPr="004F4B14">
              <w:rPr>
                <w:rStyle w:val="A17"/>
                <w:rFonts w:asciiTheme="majorHAnsi" w:hAnsiTheme="majorHAnsi" w:cstheme="majorHAnsi"/>
                <w:i/>
                <w:sz w:val="20"/>
                <w:szCs w:val="20"/>
              </w:rPr>
              <w:t>Ações associadas</w:t>
            </w:r>
            <w:r w:rsidRPr="004F4B14">
              <w:rPr>
                <w:rStyle w:val="A17"/>
                <w:rFonts w:asciiTheme="majorHAnsi" w:hAnsiTheme="majorHAnsi" w:cstheme="majorHAnsi"/>
                <w:sz w:val="20"/>
                <w:szCs w:val="20"/>
              </w:rPr>
              <w:t xml:space="preserve">. Pode ser necessário modificar a velocidade </w:t>
            </w:r>
            <w:r w:rsidR="007E36E1">
              <w:rPr>
                <w:rStyle w:val="A17"/>
                <w:rFonts w:asciiTheme="majorHAnsi" w:hAnsiTheme="majorHAnsi" w:cstheme="majorHAnsi"/>
                <w:sz w:val="20"/>
                <w:szCs w:val="20"/>
              </w:rPr>
              <w:t xml:space="preserve">da plataforma de aplicação </w:t>
            </w:r>
            <w:r w:rsidRPr="004F4B14">
              <w:rPr>
                <w:rStyle w:val="A17"/>
                <w:rFonts w:asciiTheme="majorHAnsi" w:hAnsiTheme="majorHAnsi" w:cstheme="majorHAnsi"/>
                <w:sz w:val="20"/>
                <w:szCs w:val="20"/>
              </w:rPr>
              <w:t>ou a taxa de bombeamento para manter esta eficácia (frente à diminuição</w:t>
            </w:r>
            <w:r w:rsidR="004F4B14">
              <w:rPr>
                <w:rStyle w:val="A17"/>
                <w:rFonts w:asciiTheme="majorHAnsi" w:hAnsiTheme="majorHAnsi" w:cstheme="majorHAnsi"/>
                <w:sz w:val="20"/>
                <w:szCs w:val="20"/>
              </w:rPr>
              <w:t xml:space="preserve"> </w:t>
            </w:r>
            <w:r w:rsidRPr="004F4B14">
              <w:rPr>
                <w:rStyle w:val="A17"/>
                <w:rFonts w:asciiTheme="majorHAnsi" w:hAnsiTheme="majorHAnsi" w:cstheme="majorHAnsi"/>
                <w:sz w:val="20"/>
                <w:szCs w:val="20"/>
              </w:rPr>
              <w:t>da quantidade de óleo).</w:t>
            </w:r>
          </w:p>
        </w:tc>
      </w:tr>
      <w:tr w:rsidR="007E0169" w:rsidRPr="00EE0E12" w14:paraId="11B5314B" w14:textId="77777777" w:rsidTr="004F4B14">
        <w:tc>
          <w:tcPr>
            <w:tcW w:w="5359" w:type="dxa"/>
          </w:tcPr>
          <w:p w14:paraId="48E3064F" w14:textId="77777777" w:rsidR="007E0169" w:rsidRPr="00EE0E12" w:rsidRDefault="007E0169" w:rsidP="007E0169">
            <w:pPr>
              <w:pStyle w:val="Default"/>
              <w:spacing w:line="280" w:lineRule="auto"/>
              <w:rPr>
                <w:rFonts w:asciiTheme="majorHAnsi" w:hAnsiTheme="majorHAnsi" w:cstheme="majorHAnsi"/>
                <w:sz w:val="22"/>
                <w:szCs w:val="22"/>
              </w:rPr>
            </w:pPr>
            <w:r w:rsidRPr="00EE0E12">
              <w:rPr>
                <w:rFonts w:asciiTheme="majorHAnsi" w:hAnsiTheme="majorHAnsi" w:cstheme="majorHAnsi"/>
                <w:noProof/>
                <w:sz w:val="22"/>
                <w:szCs w:val="22"/>
                <w:lang w:val="en-US" w:eastAsia="en-US"/>
              </w:rPr>
              <w:drawing>
                <wp:inline distT="0" distB="0" distL="0" distR="0" wp14:anchorId="594B3B08" wp14:editId="3624790C">
                  <wp:extent cx="3281516" cy="2497605"/>
                  <wp:effectExtent l="19050" t="19050" r="14605" b="17145"/>
                  <wp:docPr id="300" name="Picture 3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296708" cy="2509168"/>
                          </a:xfrm>
                          <a:prstGeom prst="rect">
                            <a:avLst/>
                          </a:prstGeom>
                          <a:noFill/>
                          <a:ln w="12700" cmpd="sng">
                            <a:solidFill>
                              <a:srgbClr val="007833"/>
                            </a:solidFill>
                            <a:miter lim="800000"/>
                            <a:headEnd/>
                            <a:tailEnd/>
                          </a:ln>
                          <a:effectLst/>
                        </pic:spPr>
                      </pic:pic>
                    </a:graphicData>
                  </a:graphic>
                </wp:inline>
              </w:drawing>
            </w:r>
          </w:p>
        </w:tc>
        <w:tc>
          <w:tcPr>
            <w:tcW w:w="3680" w:type="dxa"/>
          </w:tcPr>
          <w:p w14:paraId="4875E941" w14:textId="10F54675" w:rsidR="007E0169" w:rsidRPr="004F4B14" w:rsidRDefault="007E0169" w:rsidP="004F4B14">
            <w:pPr>
              <w:pStyle w:val="Legenda"/>
              <w:spacing w:before="0" w:after="0" w:line="240" w:lineRule="auto"/>
              <w:jc w:val="left"/>
              <w:rPr>
                <w:szCs w:val="20"/>
              </w:rPr>
            </w:pPr>
            <w:bookmarkStart w:id="218" w:name="_Ref412808805"/>
            <w:bookmarkStart w:id="219" w:name="_Toc412812302"/>
            <w:bookmarkStart w:id="220" w:name="_Toc527990467"/>
            <w:r w:rsidRPr="004F4B14">
              <w:rPr>
                <w:szCs w:val="20"/>
              </w:rPr>
              <w:t xml:space="preserve">Figura </w:t>
            </w:r>
            <w:r w:rsidR="0036087F" w:rsidRPr="004F4B14">
              <w:rPr>
                <w:szCs w:val="20"/>
              </w:rPr>
              <w:fldChar w:fldCharType="begin"/>
            </w:r>
            <w:r w:rsidR="0036087F" w:rsidRPr="004F4B14">
              <w:rPr>
                <w:szCs w:val="20"/>
              </w:rPr>
              <w:instrText xml:space="preserve"> SEQ Figura \* ARABIC </w:instrText>
            </w:r>
            <w:r w:rsidR="0036087F" w:rsidRPr="004F4B14">
              <w:rPr>
                <w:szCs w:val="20"/>
              </w:rPr>
              <w:fldChar w:fldCharType="separate"/>
            </w:r>
            <w:r w:rsidR="00A50E67">
              <w:rPr>
                <w:noProof/>
                <w:szCs w:val="20"/>
              </w:rPr>
              <w:t>20</w:t>
            </w:r>
            <w:r w:rsidR="0036087F" w:rsidRPr="004F4B14">
              <w:rPr>
                <w:noProof/>
                <w:szCs w:val="20"/>
              </w:rPr>
              <w:fldChar w:fldCharType="end"/>
            </w:r>
            <w:bookmarkEnd w:id="218"/>
            <w:r w:rsidRPr="004F4B14">
              <w:rPr>
                <w:szCs w:val="20"/>
              </w:rPr>
              <w:t xml:space="preserve">: </w:t>
            </w:r>
            <w:r w:rsidRPr="004F4B14">
              <w:rPr>
                <w:i/>
                <w:szCs w:val="20"/>
              </w:rPr>
              <w:t>Sobredosagem</w:t>
            </w:r>
            <w:r w:rsidRPr="004F4B14">
              <w:rPr>
                <w:szCs w:val="20"/>
              </w:rPr>
              <w:t xml:space="preserve"> – a aplicação em excesso de dispersante em águas claras irá resultar em uma pluma branca nebulosa aparecendo na água</w:t>
            </w:r>
            <w:r w:rsidR="004F4B14">
              <w:rPr>
                <w:szCs w:val="20"/>
              </w:rPr>
              <w:t xml:space="preserve"> </w:t>
            </w:r>
            <w:r w:rsidR="004F4B14" w:rsidRPr="00EE0E12">
              <w:rPr>
                <w:rFonts w:cstheme="majorHAnsi"/>
              </w:rPr>
              <w:t>(</w:t>
            </w:r>
            <w:r w:rsidR="00A8331C" w:rsidRPr="00A8331C">
              <w:rPr>
                <w:szCs w:val="20"/>
              </w:rPr>
              <w:t>Fonte: OSRL, 2011</w:t>
            </w:r>
            <w:r w:rsidR="004F4B14" w:rsidRPr="00A8331C">
              <w:rPr>
                <w:szCs w:val="20"/>
              </w:rPr>
              <w:t>)</w:t>
            </w:r>
            <w:r w:rsidRPr="004F4B14">
              <w:rPr>
                <w:szCs w:val="20"/>
              </w:rPr>
              <w:t>.</w:t>
            </w:r>
            <w:bookmarkEnd w:id="219"/>
            <w:bookmarkEnd w:id="220"/>
          </w:p>
          <w:p w14:paraId="6E82334F" w14:textId="77777777" w:rsidR="007E0169" w:rsidRPr="004F4B14" w:rsidRDefault="007E0169" w:rsidP="004F4B14">
            <w:pPr>
              <w:pStyle w:val="Default"/>
              <w:rPr>
                <w:rFonts w:asciiTheme="majorHAnsi" w:hAnsiTheme="majorHAnsi" w:cstheme="majorHAnsi"/>
                <w:noProof/>
                <w:sz w:val="20"/>
                <w:szCs w:val="20"/>
              </w:rPr>
            </w:pPr>
          </w:p>
          <w:p w14:paraId="13F74F98" w14:textId="370757BA" w:rsidR="007E0169" w:rsidRPr="004F4B14" w:rsidRDefault="007E0169" w:rsidP="004F4B14">
            <w:pPr>
              <w:pStyle w:val="Default"/>
              <w:rPr>
                <w:rFonts w:asciiTheme="majorHAnsi" w:hAnsiTheme="majorHAnsi" w:cstheme="majorHAnsi"/>
                <w:sz w:val="20"/>
                <w:szCs w:val="20"/>
              </w:rPr>
            </w:pPr>
            <w:r w:rsidRPr="004F4B14">
              <w:rPr>
                <w:rFonts w:asciiTheme="majorHAnsi" w:hAnsiTheme="majorHAnsi" w:cstheme="majorHAnsi"/>
                <w:i/>
                <w:sz w:val="20"/>
                <w:szCs w:val="20"/>
              </w:rPr>
              <w:t>Ações associadas</w:t>
            </w:r>
            <w:r w:rsidR="00656D39">
              <w:rPr>
                <w:rFonts w:asciiTheme="majorHAnsi" w:hAnsiTheme="majorHAnsi" w:cstheme="majorHAnsi"/>
                <w:i/>
                <w:sz w:val="20"/>
                <w:szCs w:val="20"/>
              </w:rPr>
              <w:t>.</w:t>
            </w:r>
            <w:r w:rsidRPr="004F4B14">
              <w:rPr>
                <w:rStyle w:val="A17"/>
                <w:rFonts w:asciiTheme="majorHAnsi" w:hAnsiTheme="majorHAnsi" w:cstheme="majorHAnsi"/>
                <w:sz w:val="20"/>
                <w:szCs w:val="20"/>
              </w:rPr>
              <w:t>Aumentar a velocidade da plataforma de aplicação ou reduzir a vazão de bombeamento, para evitar o excesso de dosagem.</w:t>
            </w:r>
          </w:p>
        </w:tc>
      </w:tr>
    </w:tbl>
    <w:p w14:paraId="6F30D120" w14:textId="77777777" w:rsidR="004F4B14" w:rsidRDefault="004F4B14" w:rsidP="004F4B14">
      <w:pPr>
        <w:keepNext/>
        <w:keepLines/>
        <w:spacing w:after="240"/>
        <w:rPr>
          <w:rFonts w:asciiTheme="majorHAnsi" w:hAnsiTheme="majorHAnsi" w:cstheme="majorHAnsi"/>
          <w:b/>
        </w:rPr>
      </w:pPr>
      <w:r>
        <w:rPr>
          <w:rFonts w:asciiTheme="majorHAnsi" w:hAnsiTheme="majorHAnsi" w:cstheme="majorHAnsi"/>
          <w:b/>
        </w:rPr>
        <w:br w:type="page"/>
      </w:r>
    </w:p>
    <w:p w14:paraId="3ED3B262" w14:textId="77777777" w:rsidR="007E0169" w:rsidRPr="004F4B14" w:rsidRDefault="007E0169" w:rsidP="004F4B14">
      <w:pPr>
        <w:keepNext/>
        <w:keepLines/>
        <w:spacing w:after="240"/>
        <w:rPr>
          <w:rFonts w:asciiTheme="majorHAnsi" w:hAnsiTheme="majorHAnsi" w:cstheme="majorHAnsi"/>
          <w:b/>
        </w:rPr>
      </w:pPr>
      <w:r w:rsidRPr="004F4B14">
        <w:rPr>
          <w:rFonts w:asciiTheme="majorHAnsi" w:hAnsiTheme="majorHAnsi" w:cstheme="majorHAnsi"/>
          <w:b/>
        </w:rPr>
        <w:lastRenderedPageBreak/>
        <w:t>Monitoramento</w:t>
      </w:r>
    </w:p>
    <w:p w14:paraId="5A6F39E2" w14:textId="50C38EC3" w:rsidR="007E0169" w:rsidRPr="00EE0E12" w:rsidRDefault="007E0169" w:rsidP="004F4B14">
      <w:pPr>
        <w:pStyle w:val="tier1Itext"/>
      </w:pPr>
      <w:r w:rsidRPr="00EE0E12">
        <w:t xml:space="preserve">Além da observação visual, para efeitos de controle, deve ser implementado um protocolo de controle específico para avaliar a eficácia da operação de aplicação de dispersante em relação à redução de gotículas de óleo e </w:t>
      </w:r>
      <w:r w:rsidR="00853CF8">
        <w:t>a</w:t>
      </w:r>
      <w:r w:rsidRPr="00EE0E12">
        <w:t xml:space="preserve">o tamanho e </w:t>
      </w:r>
      <w:r w:rsidR="00853CF8">
        <w:t>à</w:t>
      </w:r>
      <w:r w:rsidRPr="00EE0E12">
        <w:t xml:space="preserve"> concentração restante do produto no ambiente. Nessas situações, um programa específico será desenvolvido de acordo com as características do evento e </w:t>
      </w:r>
      <w:r w:rsidR="00853CF8">
        <w:t>a</w:t>
      </w:r>
      <w:r w:rsidRPr="00EE0E12">
        <w:t>o funcionamento da resposta</w:t>
      </w:r>
      <w:r w:rsidR="00F20A0B">
        <w:t xml:space="preserve">, </w:t>
      </w:r>
      <w:r w:rsidR="00853CF8">
        <w:t>em ac</w:t>
      </w:r>
      <w:r w:rsidR="00F20A0B">
        <w:t>ordo com procedimentos e considerando parâmetros definidos na IN mencionada no Artigo 14 da resolução 472/15.</w:t>
      </w:r>
      <w:r w:rsidRPr="00EE0E12">
        <w:t xml:space="preserve"> </w:t>
      </w:r>
    </w:p>
    <w:p w14:paraId="780C7C99" w14:textId="52E42568" w:rsidR="007E0169" w:rsidRPr="00EE0E12" w:rsidRDefault="007E0169" w:rsidP="004F4B14">
      <w:pPr>
        <w:pStyle w:val="tier1Itext"/>
      </w:pPr>
      <w:r w:rsidRPr="00EE0E12">
        <w:t xml:space="preserve">Toda vez que ocorrer um derrame de óleo, em que seja considerada a aplicação da técnica de dispersão química, a IMT deverá providenciar a comunicação inicial de intenção e o posterior envio de relatórios sobre a aplicação de dispersantes, conforme estabelecido na Resolução CONAMA n° </w:t>
      </w:r>
      <w:r w:rsidR="00F20A0B">
        <w:t>472</w:t>
      </w:r>
      <w:r w:rsidRPr="00EE0E12">
        <w:t>/</w:t>
      </w:r>
      <w:r w:rsidR="00F20A0B">
        <w:t>15</w:t>
      </w:r>
      <w:r w:rsidRPr="00EE0E12">
        <w:t>.</w:t>
      </w:r>
      <w:r w:rsidRPr="00EE0E12" w:rsidDel="00C139A4">
        <w:t xml:space="preserve"> </w:t>
      </w:r>
      <w:r w:rsidRPr="00EE0E12">
        <w:t xml:space="preserve">A </w:t>
      </w:r>
      <w:r w:rsidRPr="00EE0E12">
        <w:fldChar w:fldCharType="begin"/>
      </w:r>
      <w:r w:rsidRPr="00EE0E12">
        <w:instrText xml:space="preserve"> REF _Ref411454738 \h </w:instrText>
      </w:r>
      <w:r w:rsidR="00F9135C">
        <w:instrText xml:space="preserve"> \* MERGEFORMAT </w:instrText>
      </w:r>
      <w:r w:rsidRPr="00EE0E12">
        <w:fldChar w:fldCharType="separate"/>
      </w:r>
      <w:r w:rsidR="00CD1E9E" w:rsidRPr="00CD1E9E">
        <w:rPr>
          <w:b/>
        </w:rPr>
        <w:t xml:space="preserve">Tabela </w:t>
      </w:r>
      <w:r w:rsidR="00CD1E9E" w:rsidRPr="004B2C3C">
        <w:rPr>
          <w:b/>
          <w:noProof/>
          <w:highlight w:val="lightGray"/>
        </w:rPr>
        <w:t>17</w:t>
      </w:r>
      <w:r w:rsidRPr="00EE0E12">
        <w:fldChar w:fldCharType="end"/>
      </w:r>
      <w:r w:rsidRPr="00EE0E12">
        <w:t xml:space="preserve"> apresenta os requerimentos legais para comunicação e envio de relatório sobre a aplicação de dispersantes ao Órgão Estadual de Meio Ambiente (OEMA) e à representação do Instituto Brasileiro do Meio Ambiente e dos Recursos Naturais Renováveis – IBAMA.</w:t>
      </w:r>
    </w:p>
    <w:tbl>
      <w:tblPr>
        <w:tblStyle w:val="Ocean"/>
        <w:tblW w:w="5000" w:type="pct"/>
        <w:tblBorders>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2343"/>
        <w:gridCol w:w="1560"/>
        <w:gridCol w:w="1368"/>
        <w:gridCol w:w="1330"/>
        <w:gridCol w:w="1083"/>
        <w:gridCol w:w="1356"/>
      </w:tblGrid>
      <w:tr w:rsidR="007E0169" w:rsidRPr="004F4B14" w14:paraId="484F7652" w14:textId="77777777" w:rsidTr="004F4B14">
        <w:trPr>
          <w:cnfStyle w:val="100000000000" w:firstRow="1" w:lastRow="0" w:firstColumn="0" w:lastColumn="0" w:oddVBand="0" w:evenVBand="0" w:oddHBand="0" w:evenHBand="0" w:firstRowFirstColumn="0" w:firstRowLastColumn="0" w:lastRowFirstColumn="0" w:lastRowLastColumn="0"/>
          <w:trHeight w:val="340"/>
          <w:tblHeader/>
        </w:trPr>
        <w:tc>
          <w:tcPr>
            <w:tcW w:w="5000" w:type="pct"/>
            <w:gridSpan w:val="6"/>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FFFFFF" w:themeFill="background1"/>
            <w:vAlign w:val="bottom"/>
          </w:tcPr>
          <w:p w14:paraId="1214F032" w14:textId="68D18B1E" w:rsidR="007E0169" w:rsidRPr="004F4B14" w:rsidRDefault="007E0169" w:rsidP="00087854">
            <w:pPr>
              <w:pStyle w:val="Legenda"/>
              <w:keepNext w:val="0"/>
              <w:spacing w:before="0" w:after="0" w:line="240" w:lineRule="auto"/>
              <w:jc w:val="left"/>
              <w:rPr>
                <w:b/>
                <w:bCs/>
                <w:color w:val="auto"/>
                <w:szCs w:val="20"/>
              </w:rPr>
            </w:pPr>
            <w:bookmarkStart w:id="221" w:name="_Ref411454738"/>
            <w:bookmarkStart w:id="222" w:name="_Toc412812275"/>
            <w:bookmarkStart w:id="223" w:name="_Toc527990492"/>
            <w:r w:rsidRPr="004F4B14">
              <w:rPr>
                <w:b/>
                <w:color w:val="auto"/>
                <w:szCs w:val="20"/>
              </w:rPr>
              <w:t xml:space="preserve">Tabela </w:t>
            </w:r>
            <w:r w:rsidRPr="004B2C3C">
              <w:rPr>
                <w:szCs w:val="20"/>
                <w:highlight w:val="lightGray"/>
              </w:rPr>
              <w:fldChar w:fldCharType="begin"/>
            </w:r>
            <w:r w:rsidRPr="004B2C3C">
              <w:rPr>
                <w:b/>
                <w:color w:val="auto"/>
                <w:szCs w:val="20"/>
                <w:highlight w:val="lightGray"/>
              </w:rPr>
              <w:instrText xml:space="preserve"> SEQ Tabela \* ARABIC </w:instrText>
            </w:r>
            <w:r w:rsidRPr="004B2C3C">
              <w:rPr>
                <w:szCs w:val="20"/>
                <w:highlight w:val="lightGray"/>
              </w:rPr>
              <w:fldChar w:fldCharType="separate"/>
            </w:r>
            <w:r w:rsidR="00CD1E9E" w:rsidRPr="004B2C3C">
              <w:rPr>
                <w:b/>
                <w:noProof/>
                <w:color w:val="auto"/>
                <w:szCs w:val="20"/>
                <w:highlight w:val="lightGray"/>
              </w:rPr>
              <w:t>17</w:t>
            </w:r>
            <w:r w:rsidRPr="004B2C3C">
              <w:rPr>
                <w:szCs w:val="20"/>
                <w:highlight w:val="lightGray"/>
              </w:rPr>
              <w:fldChar w:fldCharType="end"/>
            </w:r>
            <w:bookmarkEnd w:id="221"/>
            <w:r w:rsidRPr="004F4B14">
              <w:rPr>
                <w:b/>
                <w:color w:val="auto"/>
                <w:szCs w:val="20"/>
              </w:rPr>
              <w:t>: Formulários para comunicação e relatório sobre a aplicação de dispersantes.</w:t>
            </w:r>
            <w:bookmarkEnd w:id="222"/>
            <w:bookmarkEnd w:id="223"/>
          </w:p>
        </w:tc>
      </w:tr>
      <w:tr w:rsidR="007E0169" w:rsidRPr="004F4B14" w14:paraId="2A45EC16" w14:textId="77777777" w:rsidTr="004F4B14">
        <w:trPr>
          <w:cnfStyle w:val="100000000000" w:firstRow="1" w:lastRow="0" w:firstColumn="0" w:lastColumn="0" w:oddVBand="0" w:evenVBand="0" w:oddHBand="0" w:evenHBand="0" w:firstRowFirstColumn="0" w:firstRowLastColumn="0" w:lastRowFirstColumn="0" w:lastRowLastColumn="0"/>
          <w:trHeight w:val="399"/>
          <w:tblHeader/>
        </w:trPr>
        <w:tc>
          <w:tcPr>
            <w:tcW w:w="1344" w:type="pct"/>
            <w:vMerge w:val="restart"/>
            <w:shd w:val="clear" w:color="auto" w:fill="1F497D"/>
            <w:hideMark/>
          </w:tcPr>
          <w:p w14:paraId="2B7AFE8F" w14:textId="77777777" w:rsidR="007E0169" w:rsidRPr="004F4B14" w:rsidRDefault="007E0169" w:rsidP="00087854">
            <w:pPr>
              <w:tabs>
                <w:tab w:val="left" w:pos="5529"/>
              </w:tabs>
              <w:spacing w:before="0" w:line="240" w:lineRule="auto"/>
              <w:jc w:val="center"/>
              <w:rPr>
                <w:rFonts w:asciiTheme="majorHAnsi" w:hAnsiTheme="majorHAnsi"/>
                <w:b w:val="0"/>
                <w:bCs/>
                <w:sz w:val="20"/>
                <w:szCs w:val="20"/>
              </w:rPr>
            </w:pPr>
            <w:r w:rsidRPr="004F4B14">
              <w:rPr>
                <w:rFonts w:asciiTheme="majorHAnsi" w:hAnsiTheme="majorHAnsi"/>
                <w:bCs/>
                <w:sz w:val="20"/>
                <w:szCs w:val="20"/>
              </w:rPr>
              <w:t>Formulário</w:t>
            </w:r>
          </w:p>
        </w:tc>
        <w:tc>
          <w:tcPr>
            <w:tcW w:w="804" w:type="pct"/>
            <w:vMerge w:val="restart"/>
            <w:shd w:val="clear" w:color="auto" w:fill="1F497D"/>
          </w:tcPr>
          <w:p w14:paraId="28847477" w14:textId="77777777" w:rsidR="007E0169" w:rsidRPr="004F4B14" w:rsidRDefault="007E0169" w:rsidP="00087854">
            <w:pPr>
              <w:tabs>
                <w:tab w:val="left" w:pos="5529"/>
              </w:tabs>
              <w:spacing w:before="0" w:line="240" w:lineRule="auto"/>
              <w:jc w:val="center"/>
              <w:rPr>
                <w:rFonts w:asciiTheme="majorHAnsi" w:hAnsiTheme="majorHAnsi"/>
                <w:bCs/>
                <w:sz w:val="20"/>
                <w:szCs w:val="20"/>
              </w:rPr>
            </w:pPr>
            <w:r w:rsidRPr="004F4B14">
              <w:rPr>
                <w:rFonts w:asciiTheme="majorHAnsi" w:hAnsiTheme="majorHAnsi"/>
                <w:bCs/>
                <w:sz w:val="20"/>
                <w:szCs w:val="20"/>
              </w:rPr>
              <w:t>Prazo</w:t>
            </w:r>
          </w:p>
        </w:tc>
        <w:tc>
          <w:tcPr>
            <w:tcW w:w="755" w:type="pct"/>
            <w:vMerge w:val="restart"/>
            <w:shd w:val="clear" w:color="auto" w:fill="1F497D"/>
          </w:tcPr>
          <w:p w14:paraId="7C74BBC3" w14:textId="77777777" w:rsidR="007E0169" w:rsidRPr="004F4B14" w:rsidRDefault="007E0169" w:rsidP="00087854">
            <w:pPr>
              <w:tabs>
                <w:tab w:val="left" w:pos="5529"/>
              </w:tabs>
              <w:spacing w:before="0" w:line="240" w:lineRule="auto"/>
              <w:jc w:val="center"/>
              <w:rPr>
                <w:rFonts w:asciiTheme="majorHAnsi" w:hAnsiTheme="majorHAnsi"/>
                <w:bCs/>
                <w:sz w:val="20"/>
                <w:szCs w:val="20"/>
              </w:rPr>
            </w:pPr>
            <w:r w:rsidRPr="004F4B14">
              <w:rPr>
                <w:rFonts w:asciiTheme="majorHAnsi" w:hAnsiTheme="majorHAnsi"/>
                <w:bCs/>
                <w:sz w:val="20"/>
                <w:szCs w:val="20"/>
              </w:rPr>
              <w:t>Propósito/ Destinatário</w:t>
            </w:r>
          </w:p>
        </w:tc>
        <w:tc>
          <w:tcPr>
            <w:tcW w:w="2097" w:type="pct"/>
            <w:gridSpan w:val="3"/>
            <w:shd w:val="clear" w:color="auto" w:fill="1F497D"/>
          </w:tcPr>
          <w:p w14:paraId="2554336F" w14:textId="77777777" w:rsidR="007E0169" w:rsidRPr="004F4B14" w:rsidRDefault="007E0169" w:rsidP="00087854">
            <w:pPr>
              <w:tabs>
                <w:tab w:val="left" w:pos="5529"/>
              </w:tabs>
              <w:spacing w:before="0" w:line="240" w:lineRule="auto"/>
              <w:jc w:val="center"/>
              <w:rPr>
                <w:rFonts w:asciiTheme="majorHAnsi" w:hAnsiTheme="majorHAnsi"/>
                <w:bCs/>
                <w:color w:val="auto"/>
                <w:sz w:val="20"/>
                <w:szCs w:val="20"/>
              </w:rPr>
            </w:pPr>
            <w:r w:rsidRPr="004F4B14">
              <w:rPr>
                <w:rFonts w:asciiTheme="majorHAnsi" w:hAnsiTheme="majorHAnsi"/>
                <w:bCs/>
                <w:sz w:val="20"/>
                <w:szCs w:val="20"/>
              </w:rPr>
              <w:t>Responsabilidade</w:t>
            </w:r>
          </w:p>
        </w:tc>
      </w:tr>
      <w:tr w:rsidR="007E0169" w:rsidRPr="004F4B14" w14:paraId="5B12C36D" w14:textId="77777777" w:rsidTr="004F4B14">
        <w:trPr>
          <w:cnfStyle w:val="100000000000" w:firstRow="1" w:lastRow="0" w:firstColumn="0" w:lastColumn="0" w:oddVBand="0" w:evenVBand="0" w:oddHBand="0" w:evenHBand="0" w:firstRowFirstColumn="0" w:firstRowLastColumn="0" w:lastRowFirstColumn="0" w:lastRowLastColumn="0"/>
          <w:trHeight w:val="423"/>
          <w:tblHeader/>
        </w:trPr>
        <w:tc>
          <w:tcPr>
            <w:tcW w:w="1344" w:type="pct"/>
            <w:vMerge/>
            <w:shd w:val="clear" w:color="auto" w:fill="1F497D"/>
            <w:hideMark/>
          </w:tcPr>
          <w:p w14:paraId="577EDBC3" w14:textId="77777777" w:rsidR="007E0169" w:rsidRPr="004F4B14" w:rsidRDefault="007E0169" w:rsidP="00087854">
            <w:pPr>
              <w:tabs>
                <w:tab w:val="left" w:pos="5529"/>
              </w:tabs>
              <w:spacing w:before="0" w:line="240" w:lineRule="auto"/>
              <w:jc w:val="center"/>
              <w:rPr>
                <w:rFonts w:asciiTheme="majorHAnsi" w:hAnsiTheme="majorHAnsi"/>
                <w:bCs/>
                <w:sz w:val="20"/>
                <w:szCs w:val="20"/>
              </w:rPr>
            </w:pPr>
          </w:p>
        </w:tc>
        <w:tc>
          <w:tcPr>
            <w:tcW w:w="804" w:type="pct"/>
            <w:vMerge/>
            <w:shd w:val="clear" w:color="auto" w:fill="1F497D"/>
          </w:tcPr>
          <w:p w14:paraId="38C1A487" w14:textId="77777777" w:rsidR="007E0169" w:rsidRPr="004F4B14" w:rsidRDefault="007E0169" w:rsidP="00087854">
            <w:pPr>
              <w:tabs>
                <w:tab w:val="left" w:pos="5529"/>
              </w:tabs>
              <w:spacing w:before="0" w:line="240" w:lineRule="auto"/>
              <w:jc w:val="center"/>
              <w:rPr>
                <w:rFonts w:asciiTheme="majorHAnsi" w:hAnsiTheme="majorHAnsi"/>
                <w:bCs/>
                <w:sz w:val="20"/>
                <w:szCs w:val="20"/>
              </w:rPr>
            </w:pPr>
          </w:p>
        </w:tc>
        <w:tc>
          <w:tcPr>
            <w:tcW w:w="755" w:type="pct"/>
            <w:vMerge/>
            <w:shd w:val="clear" w:color="auto" w:fill="1F497D"/>
          </w:tcPr>
          <w:p w14:paraId="77D19CF7" w14:textId="77777777" w:rsidR="007E0169" w:rsidRPr="004F4B14" w:rsidRDefault="007E0169" w:rsidP="00087854">
            <w:pPr>
              <w:tabs>
                <w:tab w:val="left" w:pos="5529"/>
              </w:tabs>
              <w:spacing w:before="0" w:line="240" w:lineRule="auto"/>
              <w:jc w:val="center"/>
              <w:rPr>
                <w:rFonts w:asciiTheme="majorHAnsi" w:hAnsiTheme="majorHAnsi"/>
                <w:bCs/>
                <w:sz w:val="20"/>
                <w:szCs w:val="20"/>
              </w:rPr>
            </w:pPr>
          </w:p>
        </w:tc>
        <w:tc>
          <w:tcPr>
            <w:tcW w:w="784" w:type="pct"/>
            <w:shd w:val="clear" w:color="auto" w:fill="1F497D"/>
            <w:hideMark/>
          </w:tcPr>
          <w:p w14:paraId="3F7FAC56" w14:textId="77777777" w:rsidR="007E0169" w:rsidRPr="004F4B14" w:rsidRDefault="007E0169" w:rsidP="00087854">
            <w:pPr>
              <w:tabs>
                <w:tab w:val="left" w:pos="5529"/>
              </w:tabs>
              <w:spacing w:before="0" w:line="240" w:lineRule="auto"/>
              <w:jc w:val="center"/>
              <w:rPr>
                <w:rFonts w:asciiTheme="majorHAnsi" w:hAnsiTheme="majorHAnsi"/>
                <w:bCs/>
                <w:sz w:val="20"/>
                <w:szCs w:val="20"/>
              </w:rPr>
            </w:pPr>
            <w:r w:rsidRPr="004F4B14">
              <w:rPr>
                <w:rFonts w:asciiTheme="majorHAnsi" w:hAnsiTheme="majorHAnsi"/>
                <w:bCs/>
                <w:sz w:val="20"/>
                <w:szCs w:val="20"/>
              </w:rPr>
              <w:t>Elaboração</w:t>
            </w:r>
          </w:p>
        </w:tc>
        <w:tc>
          <w:tcPr>
            <w:tcW w:w="605" w:type="pct"/>
            <w:shd w:val="clear" w:color="auto" w:fill="1F497D"/>
          </w:tcPr>
          <w:p w14:paraId="20033BC8" w14:textId="77777777" w:rsidR="007E0169" w:rsidRPr="004F4B14" w:rsidRDefault="007E0169" w:rsidP="00087854">
            <w:pPr>
              <w:tabs>
                <w:tab w:val="left" w:pos="5529"/>
              </w:tabs>
              <w:spacing w:before="0" w:line="240" w:lineRule="auto"/>
              <w:jc w:val="center"/>
              <w:rPr>
                <w:rFonts w:asciiTheme="majorHAnsi" w:hAnsiTheme="majorHAnsi"/>
                <w:bCs/>
                <w:sz w:val="20"/>
                <w:szCs w:val="20"/>
              </w:rPr>
            </w:pPr>
            <w:r w:rsidRPr="004F4B14">
              <w:rPr>
                <w:rFonts w:asciiTheme="majorHAnsi" w:hAnsiTheme="majorHAnsi"/>
                <w:bCs/>
                <w:sz w:val="20"/>
                <w:szCs w:val="20"/>
              </w:rPr>
              <w:t>Revisão</w:t>
            </w:r>
          </w:p>
        </w:tc>
        <w:tc>
          <w:tcPr>
            <w:tcW w:w="708" w:type="pct"/>
            <w:shd w:val="clear" w:color="auto" w:fill="1F497D"/>
          </w:tcPr>
          <w:p w14:paraId="371927A5" w14:textId="77777777" w:rsidR="007E0169" w:rsidRPr="004F4B14" w:rsidRDefault="007E0169" w:rsidP="00087854">
            <w:pPr>
              <w:tabs>
                <w:tab w:val="left" w:pos="5529"/>
              </w:tabs>
              <w:spacing w:before="0" w:line="240" w:lineRule="auto"/>
              <w:jc w:val="center"/>
              <w:rPr>
                <w:rFonts w:asciiTheme="majorHAnsi" w:hAnsiTheme="majorHAnsi"/>
                <w:bCs/>
                <w:sz w:val="20"/>
                <w:szCs w:val="20"/>
              </w:rPr>
            </w:pPr>
            <w:r w:rsidRPr="004F4B14">
              <w:rPr>
                <w:rFonts w:asciiTheme="majorHAnsi" w:hAnsiTheme="majorHAnsi"/>
                <w:bCs/>
                <w:sz w:val="20"/>
                <w:szCs w:val="20"/>
              </w:rPr>
              <w:t>Distribuição</w:t>
            </w:r>
          </w:p>
        </w:tc>
      </w:tr>
      <w:tr w:rsidR="007E0169" w:rsidRPr="004F4B14" w14:paraId="403B6A94" w14:textId="77777777" w:rsidTr="00087854">
        <w:trPr>
          <w:cnfStyle w:val="000000100000" w:firstRow="0" w:lastRow="0" w:firstColumn="0" w:lastColumn="0" w:oddVBand="0" w:evenVBand="0" w:oddHBand="1" w:evenHBand="0" w:firstRowFirstColumn="0" w:firstRowLastColumn="0" w:lastRowFirstColumn="0" w:lastRowLastColumn="0"/>
          <w:trHeight w:val="1543"/>
        </w:trPr>
        <w:tc>
          <w:tcPr>
            <w:tcW w:w="1344" w:type="pct"/>
          </w:tcPr>
          <w:p w14:paraId="79E0084F" w14:textId="77777777" w:rsidR="007E0169" w:rsidRPr="004F4B14" w:rsidRDefault="007E0169" w:rsidP="00087854">
            <w:pPr>
              <w:tabs>
                <w:tab w:val="left" w:pos="5529"/>
              </w:tabs>
              <w:spacing w:before="0" w:line="240" w:lineRule="auto"/>
              <w:jc w:val="left"/>
              <w:rPr>
                <w:rFonts w:asciiTheme="majorHAnsi" w:hAnsiTheme="majorHAnsi"/>
                <w:sz w:val="20"/>
                <w:szCs w:val="20"/>
              </w:rPr>
            </w:pPr>
            <w:r w:rsidRPr="004F4B14">
              <w:rPr>
                <w:rFonts w:asciiTheme="majorHAnsi" w:hAnsiTheme="majorHAnsi"/>
                <w:sz w:val="20"/>
                <w:szCs w:val="20"/>
              </w:rPr>
              <w:t>Comunicação formal prévia sobre a aplicação de dispersantes</w:t>
            </w:r>
          </w:p>
        </w:tc>
        <w:tc>
          <w:tcPr>
            <w:tcW w:w="804" w:type="pct"/>
          </w:tcPr>
          <w:p w14:paraId="22ABA521" w14:textId="77777777" w:rsidR="007E0169" w:rsidRPr="004F4B14" w:rsidRDefault="007E0169" w:rsidP="00087854">
            <w:pPr>
              <w:tabs>
                <w:tab w:val="left" w:pos="5529"/>
              </w:tabs>
              <w:spacing w:before="0" w:line="240" w:lineRule="auto"/>
              <w:jc w:val="center"/>
              <w:rPr>
                <w:rFonts w:asciiTheme="majorHAnsi" w:hAnsiTheme="majorHAnsi"/>
                <w:sz w:val="20"/>
                <w:szCs w:val="20"/>
              </w:rPr>
            </w:pPr>
            <w:r w:rsidRPr="004F4B14">
              <w:rPr>
                <w:rFonts w:asciiTheme="majorHAnsi" w:hAnsiTheme="majorHAnsi"/>
                <w:sz w:val="20"/>
                <w:szCs w:val="20"/>
              </w:rPr>
              <w:t>Antes do início da aplicação de dispersantes</w:t>
            </w:r>
          </w:p>
        </w:tc>
        <w:tc>
          <w:tcPr>
            <w:tcW w:w="755" w:type="pct"/>
          </w:tcPr>
          <w:p w14:paraId="2DEAA227" w14:textId="77777777" w:rsidR="007E0169" w:rsidRPr="004F4B14" w:rsidRDefault="00087854" w:rsidP="00EA2A77">
            <w:pPr>
              <w:pStyle w:val="PargrafodaLista"/>
              <w:keepLines w:val="0"/>
              <w:numPr>
                <w:ilvl w:val="0"/>
                <w:numId w:val="9"/>
              </w:numPr>
              <w:spacing w:before="0" w:after="0" w:line="240" w:lineRule="auto"/>
              <w:rPr>
                <w:sz w:val="20"/>
                <w:szCs w:val="20"/>
              </w:rPr>
            </w:pPr>
            <w:r>
              <w:rPr>
                <w:sz w:val="20"/>
                <w:szCs w:val="20"/>
              </w:rPr>
              <w:t>IBAMA</w:t>
            </w:r>
          </w:p>
          <w:p w14:paraId="1D5B90BB" w14:textId="113B4546" w:rsidR="007E0169" w:rsidRPr="004F4B14" w:rsidRDefault="00853CF8" w:rsidP="00EA2A77">
            <w:pPr>
              <w:pStyle w:val="PargrafodaLista"/>
              <w:keepLines w:val="0"/>
              <w:numPr>
                <w:ilvl w:val="0"/>
                <w:numId w:val="9"/>
              </w:numPr>
              <w:spacing w:before="0" w:after="0" w:line="240" w:lineRule="auto"/>
              <w:rPr>
                <w:sz w:val="20"/>
                <w:szCs w:val="20"/>
              </w:rPr>
            </w:pPr>
            <w:r>
              <w:rPr>
                <w:sz w:val="20"/>
                <w:szCs w:val="20"/>
              </w:rPr>
              <w:t>O</w:t>
            </w:r>
            <w:r w:rsidR="007E0169" w:rsidRPr="004F4B14">
              <w:rPr>
                <w:sz w:val="20"/>
                <w:szCs w:val="20"/>
              </w:rPr>
              <w:t>EMA</w:t>
            </w:r>
          </w:p>
        </w:tc>
        <w:tc>
          <w:tcPr>
            <w:tcW w:w="784" w:type="pct"/>
          </w:tcPr>
          <w:p w14:paraId="5CCC1240" w14:textId="77777777" w:rsidR="007E0169" w:rsidRPr="004F4B14" w:rsidRDefault="007E0169" w:rsidP="00087854">
            <w:pPr>
              <w:tabs>
                <w:tab w:val="left" w:pos="5529"/>
              </w:tabs>
              <w:spacing w:before="0" w:line="240" w:lineRule="auto"/>
              <w:jc w:val="center"/>
              <w:rPr>
                <w:rFonts w:asciiTheme="majorHAnsi" w:hAnsiTheme="majorHAnsi"/>
                <w:color w:val="000000"/>
                <w:sz w:val="20"/>
                <w:szCs w:val="20"/>
              </w:rPr>
            </w:pPr>
            <w:r w:rsidRPr="004F4B14">
              <w:rPr>
                <w:rFonts w:asciiTheme="majorHAnsi" w:hAnsiTheme="majorHAnsi"/>
                <w:color w:val="000000"/>
                <w:sz w:val="20"/>
                <w:szCs w:val="20"/>
              </w:rPr>
              <w:t>Líder da Unidade de RC&amp;E ou pessoa designada</w:t>
            </w:r>
          </w:p>
        </w:tc>
        <w:tc>
          <w:tcPr>
            <w:tcW w:w="605" w:type="pct"/>
          </w:tcPr>
          <w:p w14:paraId="1BE5038F" w14:textId="77777777" w:rsidR="007E0169" w:rsidRPr="004F4B14" w:rsidRDefault="007E0169" w:rsidP="00087854">
            <w:pPr>
              <w:tabs>
                <w:tab w:val="left" w:pos="5529"/>
              </w:tabs>
              <w:spacing w:before="0" w:line="240" w:lineRule="auto"/>
              <w:jc w:val="center"/>
              <w:rPr>
                <w:rFonts w:asciiTheme="majorHAnsi" w:hAnsiTheme="majorHAnsi"/>
                <w:color w:val="000000"/>
                <w:sz w:val="20"/>
                <w:szCs w:val="20"/>
              </w:rPr>
            </w:pPr>
            <w:r w:rsidRPr="004F4B14">
              <w:rPr>
                <w:rFonts w:asciiTheme="majorHAnsi" w:hAnsiTheme="majorHAnsi"/>
                <w:color w:val="000000"/>
                <w:sz w:val="20"/>
                <w:szCs w:val="20"/>
              </w:rPr>
              <w:t>IC ou pessoa designada</w:t>
            </w:r>
          </w:p>
        </w:tc>
        <w:tc>
          <w:tcPr>
            <w:tcW w:w="708" w:type="pct"/>
          </w:tcPr>
          <w:p w14:paraId="3BC6446A" w14:textId="77777777" w:rsidR="007E0169" w:rsidRPr="004F4B14" w:rsidRDefault="007E0169" w:rsidP="00087854">
            <w:pPr>
              <w:tabs>
                <w:tab w:val="left" w:pos="5529"/>
              </w:tabs>
              <w:spacing w:before="0" w:line="240" w:lineRule="auto"/>
              <w:jc w:val="center"/>
              <w:rPr>
                <w:rFonts w:asciiTheme="majorHAnsi" w:hAnsiTheme="majorHAnsi"/>
                <w:color w:val="000000"/>
                <w:sz w:val="20"/>
                <w:szCs w:val="20"/>
              </w:rPr>
            </w:pPr>
            <w:r w:rsidRPr="004F4B14">
              <w:rPr>
                <w:rFonts w:asciiTheme="majorHAnsi" w:hAnsiTheme="majorHAnsi"/>
                <w:color w:val="000000"/>
                <w:sz w:val="20"/>
                <w:szCs w:val="20"/>
              </w:rPr>
              <w:t>LIO-Gov ou pessoa designada</w:t>
            </w:r>
          </w:p>
        </w:tc>
      </w:tr>
      <w:tr w:rsidR="007E0169" w:rsidRPr="004F4B14" w14:paraId="7C3765F7" w14:textId="77777777" w:rsidTr="00087854">
        <w:trPr>
          <w:cnfStyle w:val="000000010000" w:firstRow="0" w:lastRow="0" w:firstColumn="0" w:lastColumn="0" w:oddVBand="0" w:evenVBand="0" w:oddHBand="0" w:evenHBand="1" w:firstRowFirstColumn="0" w:firstRowLastColumn="0" w:lastRowFirstColumn="0" w:lastRowLastColumn="0"/>
          <w:trHeight w:val="1101"/>
        </w:trPr>
        <w:tc>
          <w:tcPr>
            <w:tcW w:w="1344" w:type="pct"/>
          </w:tcPr>
          <w:p w14:paraId="427481F6" w14:textId="025CDB0F" w:rsidR="007E0169" w:rsidRPr="004F4B14" w:rsidRDefault="007E0169" w:rsidP="00853CF8">
            <w:pPr>
              <w:tabs>
                <w:tab w:val="left" w:pos="5529"/>
              </w:tabs>
              <w:spacing w:before="0" w:line="240" w:lineRule="auto"/>
              <w:jc w:val="left"/>
              <w:rPr>
                <w:rFonts w:asciiTheme="majorHAnsi" w:hAnsiTheme="majorHAnsi"/>
                <w:sz w:val="20"/>
                <w:szCs w:val="20"/>
              </w:rPr>
            </w:pPr>
            <w:r w:rsidRPr="004F4B14">
              <w:rPr>
                <w:rFonts w:asciiTheme="majorHAnsi" w:hAnsiTheme="majorHAnsi"/>
                <w:sz w:val="20"/>
                <w:szCs w:val="20"/>
              </w:rPr>
              <w:t xml:space="preserve">Relatório </w:t>
            </w:r>
            <w:r w:rsidR="00853CF8">
              <w:rPr>
                <w:rFonts w:asciiTheme="majorHAnsi" w:hAnsiTheme="majorHAnsi"/>
                <w:sz w:val="20"/>
                <w:szCs w:val="20"/>
              </w:rPr>
              <w:t>de Aplicação do D</w:t>
            </w:r>
            <w:r w:rsidRPr="004F4B14">
              <w:rPr>
                <w:rFonts w:asciiTheme="majorHAnsi" w:hAnsiTheme="majorHAnsi"/>
                <w:sz w:val="20"/>
                <w:szCs w:val="20"/>
              </w:rPr>
              <w:t>ispersante</w:t>
            </w:r>
            <w:r w:rsidR="00853CF8">
              <w:rPr>
                <w:rFonts w:asciiTheme="majorHAnsi" w:hAnsiTheme="majorHAnsi"/>
                <w:sz w:val="20"/>
                <w:szCs w:val="20"/>
              </w:rPr>
              <w:t xml:space="preserve"> Químico (de acordo com o Anexo IV da Resolução)</w:t>
            </w:r>
          </w:p>
        </w:tc>
        <w:tc>
          <w:tcPr>
            <w:tcW w:w="804" w:type="pct"/>
          </w:tcPr>
          <w:p w14:paraId="0AAA9E2D" w14:textId="77777777" w:rsidR="007E0169" w:rsidRPr="004F4B14" w:rsidRDefault="007E0169" w:rsidP="00087854">
            <w:pPr>
              <w:tabs>
                <w:tab w:val="left" w:pos="5529"/>
              </w:tabs>
              <w:spacing w:before="0" w:line="240" w:lineRule="auto"/>
              <w:jc w:val="center"/>
              <w:rPr>
                <w:rFonts w:asciiTheme="majorHAnsi" w:hAnsiTheme="majorHAnsi"/>
                <w:sz w:val="20"/>
                <w:szCs w:val="20"/>
              </w:rPr>
            </w:pPr>
            <w:r w:rsidRPr="004F4B14">
              <w:rPr>
                <w:rFonts w:asciiTheme="majorHAnsi" w:hAnsiTheme="majorHAnsi"/>
                <w:sz w:val="20"/>
                <w:szCs w:val="20"/>
              </w:rPr>
              <w:t>15 dias após encerramento das operações de aplicação de dispersantes</w:t>
            </w:r>
          </w:p>
        </w:tc>
        <w:tc>
          <w:tcPr>
            <w:tcW w:w="755" w:type="pct"/>
          </w:tcPr>
          <w:p w14:paraId="4E82D5BA" w14:textId="77777777" w:rsidR="007E0169" w:rsidRPr="004F4B14" w:rsidRDefault="007E0169" w:rsidP="00EA2A77">
            <w:pPr>
              <w:pStyle w:val="PargrafodaLista"/>
              <w:keepLines w:val="0"/>
              <w:numPr>
                <w:ilvl w:val="0"/>
                <w:numId w:val="9"/>
              </w:numPr>
              <w:spacing w:before="0" w:after="0" w:line="240" w:lineRule="auto"/>
              <w:rPr>
                <w:sz w:val="20"/>
                <w:szCs w:val="20"/>
              </w:rPr>
            </w:pPr>
            <w:r w:rsidRPr="004F4B14">
              <w:rPr>
                <w:sz w:val="20"/>
                <w:szCs w:val="20"/>
              </w:rPr>
              <w:t>IBAMA</w:t>
            </w:r>
          </w:p>
          <w:p w14:paraId="0C4E0EF3" w14:textId="29B48D42" w:rsidR="007E0169" w:rsidRPr="004F4B14" w:rsidRDefault="00853CF8" w:rsidP="00EA2A77">
            <w:pPr>
              <w:pStyle w:val="PargrafodaLista"/>
              <w:keepLines w:val="0"/>
              <w:numPr>
                <w:ilvl w:val="0"/>
                <w:numId w:val="9"/>
              </w:numPr>
              <w:spacing w:before="0" w:after="0" w:line="240" w:lineRule="auto"/>
              <w:rPr>
                <w:sz w:val="20"/>
                <w:szCs w:val="20"/>
              </w:rPr>
            </w:pPr>
            <w:r>
              <w:rPr>
                <w:sz w:val="20"/>
                <w:szCs w:val="20"/>
              </w:rPr>
              <w:t>O</w:t>
            </w:r>
            <w:r w:rsidR="007E0169" w:rsidRPr="004F4B14">
              <w:rPr>
                <w:sz w:val="20"/>
                <w:szCs w:val="20"/>
              </w:rPr>
              <w:t>EMA</w:t>
            </w:r>
          </w:p>
        </w:tc>
        <w:tc>
          <w:tcPr>
            <w:tcW w:w="784" w:type="pct"/>
          </w:tcPr>
          <w:p w14:paraId="29A0339B" w14:textId="77777777" w:rsidR="007E0169" w:rsidRPr="004F4B14" w:rsidRDefault="007E0169" w:rsidP="00087854">
            <w:pPr>
              <w:tabs>
                <w:tab w:val="left" w:pos="5529"/>
              </w:tabs>
              <w:spacing w:before="0" w:line="240" w:lineRule="auto"/>
              <w:jc w:val="center"/>
              <w:rPr>
                <w:rFonts w:asciiTheme="majorHAnsi" w:hAnsiTheme="majorHAnsi"/>
                <w:color w:val="000000"/>
                <w:sz w:val="20"/>
                <w:szCs w:val="20"/>
              </w:rPr>
            </w:pPr>
            <w:r w:rsidRPr="004F4B14">
              <w:rPr>
                <w:rFonts w:asciiTheme="majorHAnsi" w:hAnsiTheme="majorHAnsi"/>
                <w:color w:val="000000"/>
                <w:sz w:val="20"/>
                <w:szCs w:val="20"/>
              </w:rPr>
              <w:t>Membro da Unidade de RC&amp;E ou pessoa designada</w:t>
            </w:r>
          </w:p>
        </w:tc>
        <w:tc>
          <w:tcPr>
            <w:tcW w:w="605" w:type="pct"/>
          </w:tcPr>
          <w:p w14:paraId="01E8850C" w14:textId="77777777" w:rsidR="007E0169" w:rsidRPr="004F4B14" w:rsidRDefault="007E0169" w:rsidP="00087854">
            <w:pPr>
              <w:tabs>
                <w:tab w:val="left" w:pos="5529"/>
              </w:tabs>
              <w:spacing w:before="0" w:line="240" w:lineRule="auto"/>
              <w:jc w:val="center"/>
              <w:rPr>
                <w:rFonts w:asciiTheme="majorHAnsi" w:hAnsiTheme="majorHAnsi"/>
                <w:color w:val="000000"/>
                <w:sz w:val="20"/>
                <w:szCs w:val="20"/>
              </w:rPr>
            </w:pPr>
            <w:r w:rsidRPr="004F4B14">
              <w:rPr>
                <w:rFonts w:asciiTheme="majorHAnsi" w:hAnsiTheme="majorHAnsi"/>
                <w:color w:val="000000"/>
                <w:sz w:val="20"/>
                <w:szCs w:val="20"/>
              </w:rPr>
              <w:t>IC ou pessoa designada</w:t>
            </w:r>
          </w:p>
        </w:tc>
        <w:tc>
          <w:tcPr>
            <w:tcW w:w="708" w:type="pct"/>
          </w:tcPr>
          <w:p w14:paraId="5044D8A1" w14:textId="77777777" w:rsidR="007E0169" w:rsidRPr="004F4B14" w:rsidRDefault="007E0169" w:rsidP="00087854">
            <w:pPr>
              <w:tabs>
                <w:tab w:val="left" w:pos="5529"/>
              </w:tabs>
              <w:spacing w:before="0" w:line="240" w:lineRule="auto"/>
              <w:jc w:val="center"/>
              <w:rPr>
                <w:rFonts w:asciiTheme="majorHAnsi" w:hAnsiTheme="majorHAnsi"/>
                <w:color w:val="000000"/>
                <w:sz w:val="20"/>
                <w:szCs w:val="20"/>
              </w:rPr>
            </w:pPr>
            <w:r w:rsidRPr="004F4B14">
              <w:rPr>
                <w:rFonts w:asciiTheme="majorHAnsi" w:hAnsiTheme="majorHAnsi"/>
                <w:color w:val="000000"/>
                <w:sz w:val="20"/>
                <w:szCs w:val="20"/>
              </w:rPr>
              <w:t>LIO-Gov ou pessoa designada</w:t>
            </w:r>
          </w:p>
        </w:tc>
      </w:tr>
      <w:tr w:rsidR="007E0169" w:rsidRPr="004F4B14" w14:paraId="58E710E9" w14:textId="77777777" w:rsidTr="00087854">
        <w:trPr>
          <w:cnfStyle w:val="000000100000" w:firstRow="0" w:lastRow="0" w:firstColumn="0" w:lastColumn="0" w:oddVBand="0" w:evenVBand="0" w:oddHBand="1" w:evenHBand="0" w:firstRowFirstColumn="0" w:firstRowLastColumn="0" w:lastRowFirstColumn="0" w:lastRowLastColumn="0"/>
          <w:trHeight w:val="1429"/>
        </w:trPr>
        <w:tc>
          <w:tcPr>
            <w:tcW w:w="1344" w:type="pct"/>
          </w:tcPr>
          <w:p w14:paraId="744F9E87" w14:textId="33FD8F14" w:rsidR="007E0169" w:rsidRPr="004F4B14" w:rsidRDefault="00853CF8" w:rsidP="00087854">
            <w:pPr>
              <w:tabs>
                <w:tab w:val="left" w:pos="5529"/>
              </w:tabs>
              <w:spacing w:before="0" w:line="240" w:lineRule="auto"/>
              <w:jc w:val="left"/>
              <w:rPr>
                <w:rFonts w:asciiTheme="majorHAnsi" w:hAnsiTheme="majorHAnsi"/>
                <w:sz w:val="20"/>
                <w:szCs w:val="20"/>
              </w:rPr>
            </w:pPr>
            <w:r>
              <w:rPr>
                <w:rFonts w:asciiTheme="majorHAnsi" w:hAnsiTheme="majorHAnsi"/>
                <w:sz w:val="20"/>
                <w:szCs w:val="20"/>
              </w:rPr>
              <w:t>Relatório Final (nos moldes do Anexo IV da Resolução)</w:t>
            </w:r>
          </w:p>
        </w:tc>
        <w:tc>
          <w:tcPr>
            <w:tcW w:w="804" w:type="pct"/>
          </w:tcPr>
          <w:p w14:paraId="2D818D2A" w14:textId="77412CDE" w:rsidR="007E0169" w:rsidRPr="004F4B14" w:rsidRDefault="007E0169" w:rsidP="00853CF8">
            <w:pPr>
              <w:tabs>
                <w:tab w:val="left" w:pos="5529"/>
              </w:tabs>
              <w:spacing w:before="0" w:line="240" w:lineRule="auto"/>
              <w:jc w:val="center"/>
              <w:rPr>
                <w:rFonts w:asciiTheme="majorHAnsi" w:hAnsiTheme="majorHAnsi"/>
                <w:sz w:val="20"/>
                <w:szCs w:val="20"/>
              </w:rPr>
            </w:pPr>
            <w:r w:rsidRPr="004F4B14">
              <w:rPr>
                <w:rFonts w:asciiTheme="majorHAnsi" w:hAnsiTheme="majorHAnsi"/>
                <w:sz w:val="20"/>
                <w:szCs w:val="20"/>
              </w:rPr>
              <w:t xml:space="preserve">90 dias após encerramento </w:t>
            </w:r>
            <w:r w:rsidR="00853CF8">
              <w:rPr>
                <w:rFonts w:asciiTheme="majorHAnsi" w:hAnsiTheme="majorHAnsi"/>
                <w:sz w:val="20"/>
                <w:szCs w:val="20"/>
              </w:rPr>
              <w:t>do monitoramento</w:t>
            </w:r>
          </w:p>
        </w:tc>
        <w:tc>
          <w:tcPr>
            <w:tcW w:w="755" w:type="pct"/>
          </w:tcPr>
          <w:p w14:paraId="5E11624B" w14:textId="77777777" w:rsidR="007E0169" w:rsidRPr="004F4B14" w:rsidRDefault="007E0169" w:rsidP="00EA2A77">
            <w:pPr>
              <w:pStyle w:val="PargrafodaLista"/>
              <w:keepLines w:val="0"/>
              <w:numPr>
                <w:ilvl w:val="0"/>
                <w:numId w:val="9"/>
              </w:numPr>
              <w:spacing w:before="0" w:after="0" w:line="240" w:lineRule="auto"/>
              <w:rPr>
                <w:sz w:val="20"/>
                <w:szCs w:val="20"/>
              </w:rPr>
            </w:pPr>
            <w:r w:rsidRPr="004F4B14">
              <w:rPr>
                <w:sz w:val="20"/>
                <w:szCs w:val="20"/>
              </w:rPr>
              <w:t>IBAMA</w:t>
            </w:r>
          </w:p>
          <w:p w14:paraId="5BF4AF83" w14:textId="77777777" w:rsidR="007E0169" w:rsidRPr="004F4B14" w:rsidRDefault="007E0169" w:rsidP="00EA2A77">
            <w:pPr>
              <w:pStyle w:val="PargrafodaLista"/>
              <w:keepLines w:val="0"/>
              <w:numPr>
                <w:ilvl w:val="0"/>
                <w:numId w:val="9"/>
              </w:numPr>
              <w:spacing w:before="0" w:after="0" w:line="240" w:lineRule="auto"/>
              <w:rPr>
                <w:sz w:val="20"/>
                <w:szCs w:val="20"/>
              </w:rPr>
            </w:pPr>
            <w:r w:rsidRPr="004F4B14">
              <w:rPr>
                <w:sz w:val="20"/>
                <w:szCs w:val="20"/>
              </w:rPr>
              <w:t>OEMA</w:t>
            </w:r>
          </w:p>
        </w:tc>
        <w:tc>
          <w:tcPr>
            <w:tcW w:w="784" w:type="pct"/>
          </w:tcPr>
          <w:p w14:paraId="54FE0D61" w14:textId="77777777" w:rsidR="007E0169" w:rsidRPr="004F4B14" w:rsidRDefault="007E0169" w:rsidP="00087854">
            <w:pPr>
              <w:tabs>
                <w:tab w:val="left" w:pos="5529"/>
              </w:tabs>
              <w:spacing w:before="0" w:line="240" w:lineRule="auto"/>
              <w:jc w:val="center"/>
              <w:rPr>
                <w:rFonts w:asciiTheme="majorHAnsi" w:hAnsiTheme="majorHAnsi"/>
                <w:color w:val="000000"/>
                <w:sz w:val="20"/>
                <w:szCs w:val="20"/>
              </w:rPr>
            </w:pPr>
            <w:r w:rsidRPr="004F4B14">
              <w:rPr>
                <w:rFonts w:asciiTheme="majorHAnsi" w:hAnsiTheme="majorHAnsi"/>
                <w:color w:val="000000"/>
                <w:sz w:val="20"/>
                <w:szCs w:val="20"/>
              </w:rPr>
              <w:t>Membro da Unidade de RC&amp;E ou pessoa designada</w:t>
            </w:r>
          </w:p>
        </w:tc>
        <w:tc>
          <w:tcPr>
            <w:tcW w:w="605" w:type="pct"/>
          </w:tcPr>
          <w:p w14:paraId="31542572" w14:textId="77777777" w:rsidR="007E0169" w:rsidRPr="004F4B14" w:rsidRDefault="007E0169" w:rsidP="00087854">
            <w:pPr>
              <w:tabs>
                <w:tab w:val="left" w:pos="5529"/>
              </w:tabs>
              <w:spacing w:before="0" w:line="240" w:lineRule="auto"/>
              <w:jc w:val="center"/>
              <w:rPr>
                <w:rFonts w:asciiTheme="majorHAnsi" w:hAnsiTheme="majorHAnsi"/>
                <w:color w:val="000000"/>
                <w:sz w:val="20"/>
                <w:szCs w:val="20"/>
              </w:rPr>
            </w:pPr>
            <w:r w:rsidRPr="004F4B14">
              <w:rPr>
                <w:rFonts w:asciiTheme="majorHAnsi" w:hAnsiTheme="majorHAnsi"/>
                <w:color w:val="000000"/>
                <w:sz w:val="20"/>
                <w:szCs w:val="20"/>
              </w:rPr>
              <w:t>IC ou pessoa designada</w:t>
            </w:r>
          </w:p>
        </w:tc>
        <w:tc>
          <w:tcPr>
            <w:tcW w:w="708" w:type="pct"/>
          </w:tcPr>
          <w:p w14:paraId="042D4CC7" w14:textId="77777777" w:rsidR="007E0169" w:rsidRPr="004F4B14" w:rsidRDefault="007E0169" w:rsidP="00087854">
            <w:pPr>
              <w:tabs>
                <w:tab w:val="left" w:pos="5529"/>
              </w:tabs>
              <w:spacing w:before="0" w:line="240" w:lineRule="auto"/>
              <w:jc w:val="center"/>
              <w:rPr>
                <w:rFonts w:asciiTheme="majorHAnsi" w:hAnsiTheme="majorHAnsi"/>
                <w:color w:val="000000"/>
                <w:sz w:val="20"/>
                <w:szCs w:val="20"/>
              </w:rPr>
            </w:pPr>
            <w:r w:rsidRPr="004F4B14">
              <w:rPr>
                <w:rFonts w:asciiTheme="majorHAnsi" w:hAnsiTheme="majorHAnsi"/>
                <w:color w:val="000000"/>
                <w:sz w:val="20"/>
                <w:szCs w:val="20"/>
              </w:rPr>
              <w:t>LIO-Gov ou pessoa designada</w:t>
            </w:r>
          </w:p>
        </w:tc>
      </w:tr>
      <w:tr w:rsidR="007E0169" w:rsidRPr="004F4B14" w14:paraId="66547026" w14:textId="77777777" w:rsidTr="004F4B14">
        <w:trPr>
          <w:cnfStyle w:val="000000010000" w:firstRow="0" w:lastRow="0" w:firstColumn="0" w:lastColumn="0" w:oddVBand="0" w:evenVBand="0" w:oddHBand="0" w:evenHBand="1" w:firstRowFirstColumn="0" w:firstRowLastColumn="0" w:lastRowFirstColumn="0" w:lastRowLastColumn="0"/>
          <w:trHeight w:val="998"/>
        </w:trPr>
        <w:tc>
          <w:tcPr>
            <w:tcW w:w="4999" w:type="pct"/>
            <w:gridSpan w:val="6"/>
            <w:shd w:val="clear" w:color="auto" w:fill="FFFFFF" w:themeFill="background1"/>
            <w:vAlign w:val="top"/>
          </w:tcPr>
          <w:p w14:paraId="33809156" w14:textId="77777777" w:rsidR="007E0169" w:rsidRPr="004F4B14" w:rsidRDefault="007E0169" w:rsidP="00087854">
            <w:pPr>
              <w:tabs>
                <w:tab w:val="left" w:pos="5529"/>
              </w:tabs>
              <w:spacing w:before="0" w:line="240" w:lineRule="auto"/>
              <w:ind w:right="-109"/>
              <w:jc w:val="left"/>
              <w:rPr>
                <w:rFonts w:asciiTheme="majorHAnsi" w:eastAsia="Times New Roman" w:hAnsiTheme="majorHAnsi"/>
                <w:color w:val="000000"/>
                <w:sz w:val="20"/>
                <w:szCs w:val="20"/>
                <w:lang w:eastAsia="en-US"/>
              </w:rPr>
            </w:pPr>
            <w:r w:rsidRPr="004F4B14">
              <w:rPr>
                <w:rFonts w:asciiTheme="majorHAnsi" w:hAnsiTheme="majorHAnsi"/>
                <w:b/>
                <w:color w:val="000000"/>
                <w:sz w:val="20"/>
                <w:szCs w:val="20"/>
              </w:rPr>
              <w:t>Legenda:</w:t>
            </w:r>
            <w:r w:rsidRPr="004F4B14">
              <w:rPr>
                <w:rFonts w:asciiTheme="majorHAnsi" w:hAnsiTheme="majorHAnsi"/>
                <w:color w:val="000000"/>
                <w:sz w:val="20"/>
                <w:szCs w:val="20"/>
              </w:rPr>
              <w:t xml:space="preserve"> IBAMA – Instituto Brasileiro do Meio Ambiente e dos Recursos Naturais Renováveis; OEMA – Órgão Estadual de Meio Ambiente; RC&amp;E – Conformidade Regulatória &amp; Meio Ambiente; IC – Comandante do Incidente; LIO-Gov. – Oficial de Relações Governamentais.</w:t>
            </w:r>
          </w:p>
        </w:tc>
      </w:tr>
    </w:tbl>
    <w:p w14:paraId="505F4ED3" w14:textId="77777777" w:rsidR="00290F16" w:rsidRPr="009E316F" w:rsidRDefault="00290F16" w:rsidP="006F18B8">
      <w:pPr>
        <w:pStyle w:val="Ttulo3"/>
        <w:ind w:left="1224"/>
        <w:rPr>
          <w:lang w:val="pt-BR"/>
        </w:rPr>
      </w:pPr>
      <w:bookmarkStart w:id="224" w:name="_Toc527990433"/>
      <w:r w:rsidRPr="009E316F">
        <w:rPr>
          <w:lang w:val="pt-BR"/>
        </w:rPr>
        <w:lastRenderedPageBreak/>
        <w:t>Aplicação de Dispersantes por Via Marítima</w:t>
      </w:r>
      <w:bookmarkEnd w:id="224"/>
    </w:p>
    <w:p w14:paraId="735FD981" w14:textId="65DA3E7B" w:rsidR="007E0169" w:rsidRPr="00EE0E12" w:rsidRDefault="007E0169" w:rsidP="00831D48">
      <w:pPr>
        <w:pStyle w:val="tier1Itext"/>
      </w:pPr>
      <w:r w:rsidRPr="00EE0E12">
        <w:t xml:space="preserve">A aplicação por via marítima será realizada através de um sistema composto por “braços” montados entre a proa </w:t>
      </w:r>
      <w:r w:rsidR="007E36E1">
        <w:t>ou</w:t>
      </w:r>
      <w:r w:rsidR="007E36E1" w:rsidRPr="00EE0E12">
        <w:t xml:space="preserve"> </w:t>
      </w:r>
      <w:r w:rsidRPr="00EE0E12">
        <w:t>a meia nau da embarcação (</w:t>
      </w:r>
      <w:r w:rsidRPr="00EE0E12">
        <w:rPr>
          <w:rFonts w:cstheme="majorHAnsi"/>
          <w:szCs w:val="22"/>
        </w:rPr>
        <w:t>isso permite que o produto químico possa ser aplicado sobre o óleo pela onda de proa)</w:t>
      </w:r>
      <w:r w:rsidRPr="00EE0E12">
        <w:t xml:space="preserve"> e equipados com um conjunto de bicos aspersores, que lançarão o dispersante sobre a mancha de óleo, em áreas previamente indicadas pelas Seções de Operação e Planejamento, selecionadas através das operações de observação (aérea ou marítima) e informações de campo (TRT). Estes sistemas estarão instalados nas embarcações OSRV</w:t>
      </w:r>
      <w:r w:rsidR="00853CF8">
        <w:t xml:space="preserve"> e </w:t>
      </w:r>
      <w:r w:rsidRPr="00EE0E12">
        <w:t>PSV.</w:t>
      </w:r>
    </w:p>
    <w:p w14:paraId="3F28166F" w14:textId="009BEA8D" w:rsidR="007E0169" w:rsidRPr="00EE0E12" w:rsidRDefault="007E0169" w:rsidP="00831D48">
      <w:pPr>
        <w:pStyle w:val="tier1Itext"/>
      </w:pPr>
      <w:r w:rsidRPr="00EE0E12">
        <w:t xml:space="preserve">Os bicos de aspersão desse sistema deverão ser dimensionados de acordo com as características da bomba a ser utilizada (vazão e pressão), de modo a possibilitar uma aplicação uniforme de gotículas e </w:t>
      </w:r>
      <w:r w:rsidRPr="00EE0E12">
        <w:rPr>
          <w:i/>
        </w:rPr>
        <w:t>nunca</w:t>
      </w:r>
      <w:r w:rsidRPr="00EE0E12">
        <w:t xml:space="preserve"> na forma de névoa ou neblina</w:t>
      </w:r>
    </w:p>
    <w:p w14:paraId="7FF181CD" w14:textId="77777777" w:rsidR="007E0169" w:rsidRPr="00EE0E12" w:rsidRDefault="007E0169" w:rsidP="00831D48">
      <w:pPr>
        <w:pStyle w:val="tier1Itext"/>
      </w:pPr>
      <w:r w:rsidRPr="00EE0E12">
        <w:t>Caso as operações de aplicação de dispersantes se tornem mais frequentes, será considerada a criação de um Grupo, vinculada à Secão de Operação. Este grupo será responsável pela elaboração dos ICS 204 para estas atividades.</w:t>
      </w:r>
    </w:p>
    <w:p w14:paraId="6F0DA1BC" w14:textId="77777777" w:rsidR="007E0169" w:rsidRPr="00EE0E12" w:rsidRDefault="007E0169" w:rsidP="00831D48">
      <w:pPr>
        <w:pStyle w:val="tier1Itext"/>
      </w:pPr>
      <w:r w:rsidRPr="00EE0E12">
        <w:t>As operações serão assistidas por uma aeronave de observação, que é extremamente necessária para controlar as operações de pulverização maiores, ou aquelas nas quais o óleo de superfície está muito fragmentado, de modo a maximizar a utilização eficiente do dispersante. Seu uso também permitirá a identificação e mapeamento das manchas com óleo suficiente para ser aspersado e a verificação de que não há vida selvagem na área da pulverização. Ao concluir esta etapa, a aeronave de observação poderá direcionar as embarcações de pulverização para as manchas selecionadas e fornecer as instruções sobre quando começar e quando cessar a pulverização.</w:t>
      </w:r>
    </w:p>
    <w:p w14:paraId="7902AAB2" w14:textId="77777777" w:rsidR="007E0169" w:rsidRPr="00EE0E12" w:rsidRDefault="007E0169" w:rsidP="00831D48">
      <w:pPr>
        <w:pStyle w:val="tier1Itext"/>
      </w:pPr>
      <w:r w:rsidRPr="00EE0E12">
        <w:t>O método preferencial de aplicação a partir de uma embarcação é a utilização de um volume pequeno do produto, bombeado a baixa pressão, para que ele possa ser aplicado sem diluição. Sistemas de aplicação que aplicam dispersante concentrado são preferíveis. No entanto, se isso não for possível, sistemas diluídos a base de água que proporcionam uma concentração de 5-10% de agente dispersante devem ser usados.</w:t>
      </w:r>
    </w:p>
    <w:p w14:paraId="548D3E1B" w14:textId="77777777" w:rsidR="007E0169" w:rsidRPr="00EE0E12" w:rsidRDefault="007E0169" w:rsidP="00917409">
      <w:pPr>
        <w:pStyle w:val="tier1Itext"/>
        <w:spacing w:before="360"/>
      </w:pPr>
      <w:r w:rsidRPr="00EE0E12">
        <w:t>Alguns outros cuidados devem ser considerados durante a aplicação do dispersante a partir de embarcações, tais como:</w:t>
      </w:r>
    </w:p>
    <w:p w14:paraId="49946AAC" w14:textId="77777777" w:rsidR="007E0169" w:rsidRPr="00EE0E12" w:rsidRDefault="007E0169" w:rsidP="00EA2A77">
      <w:pPr>
        <w:numPr>
          <w:ilvl w:val="0"/>
          <w:numId w:val="21"/>
        </w:numPr>
        <w:tabs>
          <w:tab w:val="clear" w:pos="1080"/>
          <w:tab w:val="num" w:pos="644"/>
        </w:tabs>
        <w:spacing w:after="240"/>
        <w:ind w:left="788" w:hanging="215"/>
        <w:rPr>
          <w:rFonts w:asciiTheme="majorHAnsi" w:hAnsiTheme="majorHAnsi" w:cstheme="majorHAnsi"/>
        </w:rPr>
      </w:pPr>
      <w:r w:rsidRPr="00EE0E12">
        <w:rPr>
          <w:rFonts w:asciiTheme="majorHAnsi" w:hAnsiTheme="majorHAnsi" w:cstheme="majorHAnsi"/>
        </w:rPr>
        <w:lastRenderedPageBreak/>
        <w:t xml:space="preserve"> O tamanho da gota de dispersante </w:t>
      </w:r>
      <w:r w:rsidR="00917409">
        <w:rPr>
          <w:rFonts w:asciiTheme="majorHAnsi" w:hAnsiTheme="majorHAnsi" w:cstheme="majorHAnsi"/>
        </w:rPr>
        <w:t>–</w:t>
      </w:r>
      <w:r w:rsidRPr="00EE0E12">
        <w:rPr>
          <w:rFonts w:asciiTheme="majorHAnsi" w:hAnsiTheme="majorHAnsi" w:cstheme="majorHAnsi"/>
        </w:rPr>
        <w:t xml:space="preserve"> um </w:t>
      </w:r>
      <w:r w:rsidRPr="00C45C9A">
        <w:rPr>
          <w:rFonts w:asciiTheme="majorHAnsi" w:hAnsiTheme="majorHAnsi" w:cstheme="majorHAnsi"/>
          <w:i/>
        </w:rPr>
        <w:t>spray</w:t>
      </w:r>
      <w:r w:rsidRPr="00EE0E12">
        <w:rPr>
          <w:rFonts w:asciiTheme="majorHAnsi" w:hAnsiTheme="majorHAnsi" w:cstheme="majorHAnsi"/>
        </w:rPr>
        <w:t xml:space="preserve"> muito fino será ineficaz e pode ser pulverizado para fora do alvo; gotas de óleo muito grandes penetrarão rapidamente e irão se diluir, reduzindo a eficiência do dispersante;</w:t>
      </w:r>
    </w:p>
    <w:p w14:paraId="5DCD32A8" w14:textId="77777777" w:rsidR="007E0169" w:rsidRPr="00EE0E12" w:rsidRDefault="007E0169" w:rsidP="00EA2A77">
      <w:pPr>
        <w:numPr>
          <w:ilvl w:val="0"/>
          <w:numId w:val="21"/>
        </w:numPr>
        <w:tabs>
          <w:tab w:val="clear" w:pos="1080"/>
          <w:tab w:val="num" w:pos="644"/>
        </w:tabs>
        <w:spacing w:after="240"/>
        <w:ind w:left="788" w:hanging="215"/>
        <w:rPr>
          <w:rFonts w:asciiTheme="majorHAnsi" w:hAnsiTheme="majorHAnsi" w:cstheme="majorHAnsi"/>
        </w:rPr>
      </w:pPr>
      <w:r w:rsidRPr="00EE0E12">
        <w:rPr>
          <w:rFonts w:asciiTheme="majorHAnsi" w:hAnsiTheme="majorHAnsi" w:cstheme="majorHAnsi"/>
        </w:rPr>
        <w:t xml:space="preserve"> O plano deve ser sempre seletivo às áreas tratadas, com cuidado para não causar mais poluição pulverizando </w:t>
      </w:r>
      <w:r w:rsidR="00A5759B">
        <w:rPr>
          <w:rFonts w:asciiTheme="majorHAnsi" w:hAnsiTheme="majorHAnsi" w:cstheme="majorHAnsi"/>
        </w:rPr>
        <w:t>aquelas a</w:t>
      </w:r>
      <w:r w:rsidRPr="00EE0E12">
        <w:rPr>
          <w:rFonts w:asciiTheme="majorHAnsi" w:hAnsiTheme="majorHAnsi" w:cstheme="majorHAnsi"/>
        </w:rPr>
        <w:t>reas não afetadas pelo vazamento. Um percentual máximo de 20 por cento do dispersante (e consideravelmente menos, se possível) poderá ser pulverizado fora do alvo;</w:t>
      </w:r>
    </w:p>
    <w:p w14:paraId="241D3FA2" w14:textId="77777777" w:rsidR="007E0169" w:rsidRPr="00EE0E12" w:rsidRDefault="007E0169" w:rsidP="00EA2A77">
      <w:pPr>
        <w:numPr>
          <w:ilvl w:val="0"/>
          <w:numId w:val="21"/>
        </w:numPr>
        <w:tabs>
          <w:tab w:val="clear" w:pos="1080"/>
          <w:tab w:val="num" w:pos="644"/>
        </w:tabs>
        <w:spacing w:after="240"/>
        <w:ind w:left="788" w:hanging="215"/>
        <w:rPr>
          <w:rFonts w:asciiTheme="majorHAnsi" w:hAnsiTheme="majorHAnsi" w:cstheme="majorHAnsi"/>
        </w:rPr>
      </w:pPr>
      <w:r w:rsidRPr="00EE0E12">
        <w:rPr>
          <w:rFonts w:asciiTheme="majorHAnsi" w:hAnsiTheme="majorHAnsi" w:cstheme="majorHAnsi"/>
        </w:rPr>
        <w:t>A operação da aplicação se inicia na borda e prioriza a pulverização de manchas espessas de óleo, ao invés de camadas fin</w:t>
      </w:r>
      <w:r w:rsidR="00A5759B">
        <w:rPr>
          <w:rFonts w:asciiTheme="majorHAnsi" w:hAnsiTheme="majorHAnsi" w:cstheme="majorHAnsi"/>
        </w:rPr>
        <w:t>a</w:t>
      </w:r>
      <w:r w:rsidRPr="00EE0E12">
        <w:rPr>
          <w:rFonts w:asciiTheme="majorHAnsi" w:hAnsiTheme="majorHAnsi" w:cstheme="majorHAnsi"/>
        </w:rPr>
        <w:t>s ou brilhosas, que se dispersam mais facilmente através de dispersão natural e/ou mecânica; e</w:t>
      </w:r>
    </w:p>
    <w:p w14:paraId="111EF336" w14:textId="77777777" w:rsidR="007E0169" w:rsidRPr="00EE0E12" w:rsidRDefault="007E0169" w:rsidP="00EA2A77">
      <w:pPr>
        <w:numPr>
          <w:ilvl w:val="0"/>
          <w:numId w:val="21"/>
        </w:numPr>
        <w:tabs>
          <w:tab w:val="clear" w:pos="1080"/>
          <w:tab w:val="num" w:pos="644"/>
        </w:tabs>
        <w:spacing w:after="240"/>
        <w:ind w:left="788" w:hanging="215"/>
        <w:rPr>
          <w:rFonts w:asciiTheme="majorHAnsi" w:hAnsiTheme="majorHAnsi" w:cstheme="majorHAnsi"/>
        </w:rPr>
      </w:pPr>
      <w:r w:rsidRPr="00EE0E12">
        <w:rPr>
          <w:rFonts w:asciiTheme="majorHAnsi" w:hAnsiTheme="majorHAnsi" w:cstheme="majorHAnsi"/>
        </w:rPr>
        <w:t>Sempre que possível, e se a ação das ondas não for considerada suficientemente forte para auxiliar a dispersão química, use meios mecânicos (placas de superfície rebocadas ou dispersão mecânica, por exemplo) para aumentar a agitação da água.</w:t>
      </w:r>
    </w:p>
    <w:p w14:paraId="6B650B6C" w14:textId="68B43F9A" w:rsidR="007E0169" w:rsidRPr="00EE0E12" w:rsidRDefault="007E0169" w:rsidP="00917409">
      <w:pPr>
        <w:pStyle w:val="tier1Itext"/>
      </w:pPr>
      <w:r w:rsidRPr="00EE0E12">
        <w:t xml:space="preserve">A BP Energy </w:t>
      </w:r>
      <w:r w:rsidR="00853CF8">
        <w:t xml:space="preserve">irá disponibilizar um sistema </w:t>
      </w:r>
      <w:r w:rsidRPr="00EE0E12">
        <w:t>Elastec NeatSweep</w:t>
      </w:r>
      <w:r w:rsidRPr="00853CF8">
        <w:rPr>
          <w:vertAlign w:val="superscript"/>
        </w:rPr>
        <w:t>®</w:t>
      </w:r>
      <w:r w:rsidRPr="00EE0E12">
        <w:t xml:space="preserve"> </w:t>
      </w:r>
      <w:r w:rsidR="00853CF8">
        <w:t xml:space="preserve">na sua base em Belém, </w:t>
      </w:r>
      <w:r w:rsidRPr="00EE0E12">
        <w:t>que otimiza a aplicação do dispersante canalizando e concentrando o óleo antes da aplicação. O sistema inclui duas seções de contenção do óleo, uma unidade de bombeamento de dispersante computadorizado, uma unidade de aplicação de dispersante e um painel de mistura. Este sistema permite a aplicação de dispersante puro (sem diluição) diretamente no óleo, que entra na zona de aplicação com uma espessura uniforme, reduzindo as sobre e a sub dosagem (</w:t>
      </w:r>
      <w:r w:rsidR="00853CF8" w:rsidRPr="00853CF8">
        <w:rPr>
          <w:b/>
        </w:rPr>
        <w:t>Figuras</w:t>
      </w:r>
      <w:r w:rsidR="00853CF8">
        <w:t xml:space="preserve"> </w:t>
      </w:r>
      <w:r w:rsidR="00853CF8" w:rsidRPr="00853CF8">
        <w:rPr>
          <w:b/>
        </w:rPr>
        <w:t>21 a 25</w:t>
      </w:r>
      <w:r w:rsidRPr="00EE0E12">
        <w:rPr>
          <w:b/>
        </w:rPr>
        <w:t>)</w:t>
      </w:r>
      <w:r w:rsidR="00917409">
        <w:t>.</w:t>
      </w:r>
    </w:p>
    <w:p w14:paraId="1E741FE7" w14:textId="77777777" w:rsidR="007E0169" w:rsidRPr="00307575" w:rsidRDefault="007E0169" w:rsidP="00307575">
      <w:pPr>
        <w:spacing w:before="0" w:line="240" w:lineRule="auto"/>
        <w:jc w:val="center"/>
        <w:rPr>
          <w:rStyle w:val="tier1ItextChar"/>
          <w:rFonts w:eastAsiaTheme="minorEastAsia"/>
        </w:rPr>
      </w:pPr>
      <w:r w:rsidRPr="00EE0E12">
        <w:rPr>
          <w:rFonts w:asciiTheme="majorHAnsi" w:hAnsiTheme="majorHAnsi" w:cstheme="majorHAnsi"/>
          <w:noProof/>
          <w:lang w:val="en-US" w:eastAsia="en-US"/>
        </w:rPr>
        <w:lastRenderedPageBreak/>
        <w:drawing>
          <wp:inline distT="0" distB="0" distL="0" distR="0" wp14:anchorId="34736033" wp14:editId="493E4856">
            <wp:extent cx="3371299" cy="5537724"/>
            <wp:effectExtent l="19050" t="19050" r="19685" b="2540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385928" cy="5561753"/>
                    </a:xfrm>
                    <a:prstGeom prst="rect">
                      <a:avLst/>
                    </a:prstGeom>
                    <a:noFill/>
                    <a:ln w="12700" cmpd="sng">
                      <a:solidFill>
                        <a:srgbClr val="007833"/>
                      </a:solidFill>
                      <a:miter lim="800000"/>
                      <a:headEnd/>
                      <a:tailEnd/>
                    </a:ln>
                    <a:effectLst/>
                  </pic:spPr>
                </pic:pic>
              </a:graphicData>
            </a:graphic>
          </wp:inline>
        </w:drawing>
      </w:r>
    </w:p>
    <w:p w14:paraId="67F8A985" w14:textId="7ED55E42" w:rsidR="007E0169" w:rsidRPr="00EE0E12" w:rsidRDefault="007E0169" w:rsidP="00307575">
      <w:pPr>
        <w:pStyle w:val="Legenda"/>
        <w:keepNext w:val="0"/>
        <w:spacing w:before="0" w:after="0" w:line="240" w:lineRule="auto"/>
        <w:rPr>
          <w:rFonts w:cstheme="majorHAnsi"/>
        </w:rPr>
      </w:pPr>
      <w:bookmarkStart w:id="225" w:name="_Toc412812304"/>
      <w:bookmarkStart w:id="226" w:name="_Toc527990468"/>
      <w:r w:rsidRPr="00EE0E12">
        <w:t xml:space="preserve">Figura </w:t>
      </w:r>
      <w:fldSimple w:instr=" SEQ Figura \* ARABIC ">
        <w:r w:rsidR="00A50E67">
          <w:rPr>
            <w:noProof/>
          </w:rPr>
          <w:t>21</w:t>
        </w:r>
      </w:fldSimple>
      <w:r w:rsidRPr="00EE0E12">
        <w:t xml:space="preserve">: Esquema do sistema de pulverização </w:t>
      </w:r>
      <w:r w:rsidRPr="00A8331C">
        <w:t xml:space="preserve">NeatSweep (Fonte: </w:t>
      </w:r>
      <w:r w:rsidR="00A8331C" w:rsidRPr="00A8331C">
        <w:rPr>
          <w:rFonts w:cstheme="majorHAnsi"/>
        </w:rPr>
        <w:t>Elastec American Marine, 2012</w:t>
      </w:r>
      <w:r w:rsidRPr="00A8331C">
        <w:rPr>
          <w:rFonts w:cstheme="majorHAnsi"/>
        </w:rPr>
        <w:t>).</w:t>
      </w:r>
      <w:bookmarkEnd w:id="225"/>
      <w:bookmarkEnd w:id="226"/>
    </w:p>
    <w:tbl>
      <w:tblPr>
        <w:tblW w:w="0" w:type="auto"/>
        <w:jc w:val="center"/>
        <w:tblLayout w:type="fixed"/>
        <w:tblLook w:val="00A0" w:firstRow="1" w:lastRow="0" w:firstColumn="1" w:lastColumn="0" w:noHBand="0" w:noVBand="0"/>
      </w:tblPr>
      <w:tblGrid>
        <w:gridCol w:w="4410"/>
        <w:gridCol w:w="4411"/>
      </w:tblGrid>
      <w:tr w:rsidR="007E0169" w:rsidRPr="00EE0E12" w14:paraId="3F4662C1" w14:textId="77777777" w:rsidTr="00307575">
        <w:trPr>
          <w:jc w:val="center"/>
        </w:trPr>
        <w:tc>
          <w:tcPr>
            <w:tcW w:w="4410" w:type="dxa"/>
            <w:vAlign w:val="bottom"/>
          </w:tcPr>
          <w:p w14:paraId="498C53E5" w14:textId="77777777" w:rsidR="007E0169" w:rsidRPr="00EE0E12" w:rsidRDefault="00307575" w:rsidP="00307575">
            <w:pPr>
              <w:keepNext/>
              <w:spacing w:before="0" w:line="240" w:lineRule="auto"/>
              <w:jc w:val="center"/>
              <w:rPr>
                <w:rFonts w:asciiTheme="majorHAnsi" w:hAnsiTheme="majorHAnsi" w:cstheme="majorHAnsi"/>
              </w:rPr>
            </w:pPr>
            <w:r>
              <w:rPr>
                <w:rFonts w:asciiTheme="majorHAnsi" w:hAnsiTheme="majorHAnsi" w:cstheme="majorHAnsi"/>
                <w:noProof/>
                <w:lang w:val="en-US" w:eastAsia="en-US"/>
              </w:rPr>
              <w:lastRenderedPageBreak/>
              <w:drawing>
                <wp:inline distT="0" distB="0" distL="0" distR="0" wp14:anchorId="7569F3D7" wp14:editId="7CBC6ED2">
                  <wp:extent cx="2554605" cy="1926590"/>
                  <wp:effectExtent l="0" t="0" r="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554605" cy="1926590"/>
                          </a:xfrm>
                          <a:prstGeom prst="rect">
                            <a:avLst/>
                          </a:prstGeom>
                          <a:noFill/>
                        </pic:spPr>
                      </pic:pic>
                    </a:graphicData>
                  </a:graphic>
                </wp:inline>
              </w:drawing>
            </w:r>
          </w:p>
        </w:tc>
        <w:tc>
          <w:tcPr>
            <w:tcW w:w="4411" w:type="dxa"/>
            <w:vAlign w:val="bottom"/>
          </w:tcPr>
          <w:p w14:paraId="277B4658" w14:textId="77777777" w:rsidR="007E0169" w:rsidRPr="00EE0E12" w:rsidRDefault="00307575" w:rsidP="00307575">
            <w:pPr>
              <w:keepNext/>
              <w:spacing w:before="0" w:line="240" w:lineRule="auto"/>
              <w:jc w:val="center"/>
              <w:rPr>
                <w:rFonts w:asciiTheme="majorHAnsi" w:hAnsiTheme="majorHAnsi" w:cstheme="majorHAnsi"/>
              </w:rPr>
            </w:pPr>
            <w:r>
              <w:rPr>
                <w:rFonts w:asciiTheme="majorHAnsi" w:hAnsiTheme="majorHAnsi" w:cstheme="majorHAnsi"/>
                <w:noProof/>
                <w:lang w:val="en-US" w:eastAsia="en-US"/>
              </w:rPr>
              <w:drawing>
                <wp:inline distT="0" distB="0" distL="0" distR="0" wp14:anchorId="63F467E5" wp14:editId="3242B4E7">
                  <wp:extent cx="2554605" cy="1926590"/>
                  <wp:effectExtent l="0" t="0" r="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554605" cy="1926590"/>
                          </a:xfrm>
                          <a:prstGeom prst="rect">
                            <a:avLst/>
                          </a:prstGeom>
                          <a:noFill/>
                        </pic:spPr>
                      </pic:pic>
                    </a:graphicData>
                  </a:graphic>
                </wp:inline>
              </w:drawing>
            </w:r>
          </w:p>
        </w:tc>
      </w:tr>
      <w:tr w:rsidR="007E0169" w:rsidRPr="00EE0E12" w14:paraId="750041AA" w14:textId="77777777" w:rsidTr="00307575">
        <w:trPr>
          <w:trHeight w:val="794"/>
          <w:jc w:val="center"/>
        </w:trPr>
        <w:tc>
          <w:tcPr>
            <w:tcW w:w="4410" w:type="dxa"/>
          </w:tcPr>
          <w:p w14:paraId="0A475637" w14:textId="52FA948E" w:rsidR="007E0169" w:rsidRPr="00EE0E12" w:rsidRDefault="007E0169" w:rsidP="00307575">
            <w:pPr>
              <w:pStyle w:val="Legenda"/>
              <w:spacing w:before="0" w:after="0" w:line="240" w:lineRule="auto"/>
            </w:pPr>
            <w:bookmarkStart w:id="227" w:name="_Toc412812305"/>
            <w:bookmarkStart w:id="228" w:name="_Toc527990469"/>
            <w:r w:rsidRPr="00EE0E12">
              <w:t xml:space="preserve">Figura </w:t>
            </w:r>
            <w:fldSimple w:instr=" SEQ Figura \* ARABIC ">
              <w:r w:rsidR="00A50E67">
                <w:rPr>
                  <w:noProof/>
                </w:rPr>
                <w:t>22</w:t>
              </w:r>
            </w:fldSimple>
            <w:r w:rsidRPr="00EE0E12">
              <w:t>: Sistema NeatSweep – dispositivo de aplicação de dispersante</w:t>
            </w:r>
            <w:bookmarkEnd w:id="227"/>
            <w:r w:rsidR="00C600C2">
              <w:t xml:space="preserve"> </w:t>
            </w:r>
            <w:r w:rsidR="00C600C2" w:rsidRPr="00C600C2">
              <w:rPr>
                <w:rFonts w:cstheme="majorHAnsi"/>
                <w:szCs w:val="20"/>
              </w:rPr>
              <w:t xml:space="preserve">(Fonte: </w:t>
            </w:r>
            <w:r w:rsidR="00A8331C" w:rsidRPr="00E26CE0">
              <w:rPr>
                <w:rFonts w:cstheme="majorHAnsi"/>
              </w:rPr>
              <w:t>Elastec American Marine, 2012</w:t>
            </w:r>
            <w:r w:rsidR="00C600C2" w:rsidRPr="00C600C2">
              <w:rPr>
                <w:rFonts w:cstheme="majorHAnsi"/>
                <w:szCs w:val="20"/>
              </w:rPr>
              <w:t>).</w:t>
            </w:r>
            <w:bookmarkEnd w:id="228"/>
          </w:p>
        </w:tc>
        <w:tc>
          <w:tcPr>
            <w:tcW w:w="4411" w:type="dxa"/>
          </w:tcPr>
          <w:p w14:paraId="6DC3361F" w14:textId="247F5C98" w:rsidR="007E0169" w:rsidRPr="00EE0E12" w:rsidRDefault="007E0169" w:rsidP="00307575">
            <w:pPr>
              <w:pStyle w:val="Legenda"/>
              <w:spacing w:before="0" w:after="0" w:line="240" w:lineRule="auto"/>
              <w:rPr>
                <w:rFonts w:cstheme="majorHAnsi"/>
              </w:rPr>
            </w:pPr>
            <w:bookmarkStart w:id="229" w:name="_Toc412812306"/>
            <w:bookmarkStart w:id="230" w:name="_Toc527990470"/>
            <w:r w:rsidRPr="00EE0E12">
              <w:t xml:space="preserve">Figura </w:t>
            </w:r>
            <w:fldSimple w:instr=" SEQ Figura \* ARABIC ">
              <w:r w:rsidR="00A50E67">
                <w:rPr>
                  <w:noProof/>
                </w:rPr>
                <w:t>23</w:t>
              </w:r>
            </w:fldSimple>
            <w:r w:rsidRPr="00EE0E12">
              <w:t xml:space="preserve">: </w:t>
            </w:r>
            <w:r w:rsidRPr="00EE0E12">
              <w:rPr>
                <w:rFonts w:cstheme="majorHAnsi"/>
              </w:rPr>
              <w:t>Sistema NeatSweep montado</w:t>
            </w:r>
            <w:bookmarkEnd w:id="229"/>
            <w:r w:rsidR="00C600C2">
              <w:rPr>
                <w:rFonts w:cstheme="majorHAnsi"/>
              </w:rPr>
              <w:t xml:space="preserve"> </w:t>
            </w:r>
            <w:r w:rsidR="00C600C2" w:rsidRPr="00C600C2">
              <w:rPr>
                <w:rFonts w:cstheme="majorHAnsi"/>
                <w:szCs w:val="20"/>
              </w:rPr>
              <w:t xml:space="preserve">(Fonte: </w:t>
            </w:r>
            <w:r w:rsidR="00A8331C" w:rsidRPr="00E26CE0">
              <w:rPr>
                <w:rFonts w:cstheme="majorHAnsi"/>
              </w:rPr>
              <w:t>Elastec American Marine, 2012</w:t>
            </w:r>
            <w:r w:rsidR="00C600C2" w:rsidRPr="00C600C2">
              <w:rPr>
                <w:rFonts w:cstheme="majorHAnsi"/>
                <w:szCs w:val="20"/>
              </w:rPr>
              <w:t>).</w:t>
            </w:r>
            <w:bookmarkEnd w:id="230"/>
          </w:p>
        </w:tc>
      </w:tr>
      <w:tr w:rsidR="007E0169" w:rsidRPr="00EE0E12" w14:paraId="221A49D2" w14:textId="77777777" w:rsidTr="00307575">
        <w:trPr>
          <w:jc w:val="center"/>
        </w:trPr>
        <w:tc>
          <w:tcPr>
            <w:tcW w:w="4410" w:type="dxa"/>
            <w:vAlign w:val="bottom"/>
          </w:tcPr>
          <w:p w14:paraId="25E40115" w14:textId="77777777" w:rsidR="007E0169" w:rsidRPr="00EE0E12" w:rsidRDefault="00307575" w:rsidP="00307575">
            <w:pPr>
              <w:spacing w:before="0" w:line="240" w:lineRule="auto"/>
              <w:jc w:val="center"/>
              <w:rPr>
                <w:rFonts w:asciiTheme="majorHAnsi" w:hAnsiTheme="majorHAnsi" w:cstheme="majorHAnsi"/>
              </w:rPr>
            </w:pPr>
            <w:r>
              <w:rPr>
                <w:rFonts w:asciiTheme="majorHAnsi" w:hAnsiTheme="majorHAnsi" w:cstheme="majorHAnsi"/>
                <w:noProof/>
                <w:lang w:val="en-US" w:eastAsia="en-US"/>
              </w:rPr>
              <w:drawing>
                <wp:inline distT="0" distB="0" distL="0" distR="0" wp14:anchorId="4422CD4C" wp14:editId="062AAC1D">
                  <wp:extent cx="2554605" cy="1932305"/>
                  <wp:effectExtent l="0" t="0" r="0"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554605" cy="1932305"/>
                          </a:xfrm>
                          <a:prstGeom prst="rect">
                            <a:avLst/>
                          </a:prstGeom>
                          <a:noFill/>
                        </pic:spPr>
                      </pic:pic>
                    </a:graphicData>
                  </a:graphic>
                </wp:inline>
              </w:drawing>
            </w:r>
          </w:p>
        </w:tc>
        <w:tc>
          <w:tcPr>
            <w:tcW w:w="4411" w:type="dxa"/>
            <w:vAlign w:val="bottom"/>
          </w:tcPr>
          <w:p w14:paraId="370A52E1" w14:textId="77777777" w:rsidR="007E0169" w:rsidRPr="00EE0E12" w:rsidRDefault="00307575" w:rsidP="00307575">
            <w:pPr>
              <w:spacing w:before="0" w:line="240" w:lineRule="auto"/>
              <w:ind w:left="-106" w:right="-94"/>
              <w:jc w:val="center"/>
              <w:rPr>
                <w:rFonts w:asciiTheme="majorHAnsi" w:hAnsiTheme="majorHAnsi" w:cstheme="majorHAnsi"/>
              </w:rPr>
            </w:pPr>
            <w:r>
              <w:rPr>
                <w:rFonts w:asciiTheme="majorHAnsi" w:hAnsiTheme="majorHAnsi" w:cstheme="majorHAnsi"/>
                <w:noProof/>
                <w:lang w:val="en-US" w:eastAsia="en-US"/>
              </w:rPr>
              <w:drawing>
                <wp:inline distT="0" distB="0" distL="0" distR="0" wp14:anchorId="2E197D4C" wp14:editId="22E89F42">
                  <wp:extent cx="2554605" cy="1932305"/>
                  <wp:effectExtent l="0" t="0" r="0" b="0"/>
                  <wp:docPr id="1073742016" name="Imagem 107374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554605" cy="1932305"/>
                          </a:xfrm>
                          <a:prstGeom prst="rect">
                            <a:avLst/>
                          </a:prstGeom>
                          <a:noFill/>
                        </pic:spPr>
                      </pic:pic>
                    </a:graphicData>
                  </a:graphic>
                </wp:inline>
              </w:drawing>
            </w:r>
          </w:p>
        </w:tc>
      </w:tr>
      <w:tr w:rsidR="007E0169" w:rsidRPr="00EE0E12" w14:paraId="7592656F" w14:textId="77777777" w:rsidTr="00307575">
        <w:trPr>
          <w:jc w:val="center"/>
        </w:trPr>
        <w:tc>
          <w:tcPr>
            <w:tcW w:w="4410" w:type="dxa"/>
          </w:tcPr>
          <w:p w14:paraId="658ECD16" w14:textId="623D215A" w:rsidR="007E0169" w:rsidRPr="00EE0E12" w:rsidRDefault="007E0169" w:rsidP="00307575">
            <w:pPr>
              <w:pStyle w:val="Legenda"/>
              <w:spacing w:before="0" w:after="0" w:line="240" w:lineRule="auto"/>
              <w:rPr>
                <w:rFonts w:cstheme="majorHAnsi"/>
              </w:rPr>
            </w:pPr>
            <w:bookmarkStart w:id="231" w:name="_Toc412812307"/>
            <w:bookmarkStart w:id="232" w:name="_Toc527990471"/>
            <w:r w:rsidRPr="00EE0E12">
              <w:t xml:space="preserve">Figura </w:t>
            </w:r>
            <w:fldSimple w:instr=" SEQ Figura \* ARABIC ">
              <w:r w:rsidR="00A50E67">
                <w:rPr>
                  <w:noProof/>
                </w:rPr>
                <w:t>24</w:t>
              </w:r>
            </w:fldSimple>
            <w:r w:rsidRPr="00EE0E12">
              <w:t xml:space="preserve">: </w:t>
            </w:r>
            <w:r w:rsidRPr="00EE0E12">
              <w:rPr>
                <w:rFonts w:cstheme="majorHAnsi"/>
              </w:rPr>
              <w:t>Detalhe no aplicador e agitador</w:t>
            </w:r>
            <w:r w:rsidR="00C600C2">
              <w:rPr>
                <w:rFonts w:cstheme="majorHAnsi"/>
              </w:rPr>
              <w:t xml:space="preserve"> </w:t>
            </w:r>
            <w:r w:rsidR="00C600C2" w:rsidRPr="00C600C2">
              <w:rPr>
                <w:rFonts w:cstheme="majorHAnsi"/>
                <w:szCs w:val="20"/>
              </w:rPr>
              <w:t xml:space="preserve">(Fonte: </w:t>
            </w:r>
            <w:r w:rsidR="00A8331C" w:rsidRPr="00E26CE0">
              <w:rPr>
                <w:rFonts w:cstheme="majorHAnsi"/>
              </w:rPr>
              <w:t>Elastec American Marine, 2012</w:t>
            </w:r>
            <w:r w:rsidR="00C600C2" w:rsidRPr="00C600C2">
              <w:rPr>
                <w:rFonts w:cstheme="majorHAnsi"/>
                <w:szCs w:val="20"/>
              </w:rPr>
              <w:t>).</w:t>
            </w:r>
            <w:bookmarkEnd w:id="231"/>
            <w:bookmarkEnd w:id="232"/>
          </w:p>
        </w:tc>
        <w:tc>
          <w:tcPr>
            <w:tcW w:w="4411" w:type="dxa"/>
          </w:tcPr>
          <w:p w14:paraId="325EAFFE" w14:textId="198E9452" w:rsidR="007E0169" w:rsidRPr="00EE0E12" w:rsidRDefault="007E0169" w:rsidP="00307575">
            <w:pPr>
              <w:pStyle w:val="Legenda"/>
              <w:spacing w:before="0" w:after="0" w:line="240" w:lineRule="auto"/>
            </w:pPr>
            <w:bookmarkStart w:id="233" w:name="_Toc412812308"/>
            <w:bookmarkStart w:id="234" w:name="_Toc527990472"/>
            <w:r w:rsidRPr="00EE0E12">
              <w:t xml:space="preserve">Figura </w:t>
            </w:r>
            <w:fldSimple w:instr=" SEQ Figura \* ARABIC ">
              <w:r w:rsidR="00A50E67">
                <w:rPr>
                  <w:noProof/>
                </w:rPr>
                <w:t>25</w:t>
              </w:r>
            </w:fldSimple>
            <w:r w:rsidRPr="00EE0E12">
              <w:t>: Unidade de aplicação em funcionamento</w:t>
            </w:r>
            <w:r w:rsidR="00C600C2">
              <w:t xml:space="preserve"> </w:t>
            </w:r>
            <w:r w:rsidR="00C600C2" w:rsidRPr="00C600C2">
              <w:rPr>
                <w:rFonts w:cstheme="majorHAnsi"/>
                <w:szCs w:val="20"/>
              </w:rPr>
              <w:t xml:space="preserve">(Fonte: </w:t>
            </w:r>
            <w:r w:rsidR="00A8331C" w:rsidRPr="00E26CE0">
              <w:rPr>
                <w:rFonts w:cstheme="majorHAnsi"/>
              </w:rPr>
              <w:t>Elastec American Marine, 2012</w:t>
            </w:r>
            <w:r w:rsidR="00C600C2" w:rsidRPr="00C600C2">
              <w:rPr>
                <w:rFonts w:cstheme="majorHAnsi"/>
                <w:szCs w:val="20"/>
              </w:rPr>
              <w:t>).</w:t>
            </w:r>
            <w:bookmarkEnd w:id="233"/>
            <w:bookmarkEnd w:id="234"/>
          </w:p>
        </w:tc>
      </w:tr>
    </w:tbl>
    <w:p w14:paraId="0C4A3C14" w14:textId="7D5734CD" w:rsidR="007E0169" w:rsidRPr="00EE0E12" w:rsidRDefault="007E0169" w:rsidP="00307575">
      <w:pPr>
        <w:pStyle w:val="tier1Itext"/>
        <w:spacing w:before="360"/>
      </w:pPr>
      <w:r w:rsidRPr="00EE0E12">
        <w:t xml:space="preserve">A </w:t>
      </w:r>
      <w:r w:rsidR="00C600C2" w:rsidRPr="00C600C2">
        <w:rPr>
          <w:b/>
          <w:highlight w:val="lightGray"/>
        </w:rPr>
        <w:fldChar w:fldCharType="begin"/>
      </w:r>
      <w:r w:rsidR="00C600C2" w:rsidRPr="00C600C2">
        <w:rPr>
          <w:b/>
        </w:rPr>
        <w:instrText xml:space="preserve"> REF _Ref414546314 \h </w:instrText>
      </w:r>
      <w:r w:rsidR="00C600C2" w:rsidRPr="00C600C2">
        <w:rPr>
          <w:b/>
          <w:highlight w:val="lightGray"/>
        </w:rPr>
        <w:instrText xml:space="preserve"> \* MERGEFORMAT </w:instrText>
      </w:r>
      <w:r w:rsidR="00C600C2" w:rsidRPr="00C600C2">
        <w:rPr>
          <w:b/>
          <w:highlight w:val="lightGray"/>
        </w:rPr>
      </w:r>
      <w:r w:rsidR="00C600C2" w:rsidRPr="00C600C2">
        <w:rPr>
          <w:b/>
          <w:highlight w:val="lightGray"/>
        </w:rPr>
        <w:fldChar w:fldCharType="separate"/>
      </w:r>
      <w:r w:rsidR="00A50E67" w:rsidRPr="00A50E67">
        <w:rPr>
          <w:b/>
        </w:rPr>
        <w:t xml:space="preserve">Figura </w:t>
      </w:r>
      <w:r w:rsidR="00A50E67" w:rsidRPr="00A50E67">
        <w:rPr>
          <w:b/>
          <w:noProof/>
        </w:rPr>
        <w:t>26</w:t>
      </w:r>
      <w:r w:rsidR="00C600C2" w:rsidRPr="00C600C2">
        <w:rPr>
          <w:b/>
          <w:highlight w:val="lightGray"/>
        </w:rPr>
        <w:fldChar w:fldCharType="end"/>
      </w:r>
      <w:r w:rsidRPr="00EE0E12">
        <w:t xml:space="preserve"> a seguir mostra os tipos de embarcações, equipamentos e uma estratégia que podem ser considerados em uma operação de aplicação de dispersante realizada por navios.</w:t>
      </w:r>
    </w:p>
    <w:p w14:paraId="16EF7C59" w14:textId="77777777" w:rsidR="007E0169" w:rsidRPr="00307575" w:rsidRDefault="007E0169" w:rsidP="00307575">
      <w:pPr>
        <w:spacing w:before="0" w:line="240" w:lineRule="auto"/>
        <w:jc w:val="center"/>
        <w:rPr>
          <w:rStyle w:val="tier1ItextChar"/>
          <w:rFonts w:eastAsiaTheme="minorEastAsia"/>
        </w:rPr>
      </w:pPr>
      <w:r w:rsidRPr="00EE0E12">
        <w:rPr>
          <w:rFonts w:asciiTheme="majorHAnsi" w:hAnsiTheme="majorHAnsi" w:cstheme="majorHAnsi"/>
          <w:noProof/>
          <w:lang w:val="en-US" w:eastAsia="en-US"/>
        </w:rPr>
        <w:lastRenderedPageBreak/>
        <w:drawing>
          <wp:inline distT="0" distB="0" distL="0" distR="0" wp14:anchorId="513267DD" wp14:editId="15C76EAB">
            <wp:extent cx="5184000" cy="3452400"/>
            <wp:effectExtent l="0" t="0" r="0" b="0"/>
            <wp:docPr id="313" name="Picture 3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sp Vessel Aplic Port.bmp"/>
                    <pic:cNvPicPr preferRelativeResize="0"/>
                  </pic:nvPicPr>
                  <pic:blipFill>
                    <a:blip r:embed="rId76">
                      <a:extLst>
                        <a:ext uri="{28A0092B-C50C-407E-A947-70E740481C1C}">
                          <a14:useLocalDpi xmlns:a14="http://schemas.microsoft.com/office/drawing/2010/main" val="0"/>
                        </a:ext>
                      </a:extLst>
                    </a:blip>
                    <a:stretch>
                      <a:fillRect/>
                    </a:stretch>
                  </pic:blipFill>
                  <pic:spPr>
                    <a:xfrm>
                      <a:off x="0" y="0"/>
                      <a:ext cx="5184000" cy="3452400"/>
                    </a:xfrm>
                    <a:prstGeom prst="rect">
                      <a:avLst/>
                    </a:prstGeom>
                  </pic:spPr>
                </pic:pic>
              </a:graphicData>
            </a:graphic>
          </wp:inline>
        </w:drawing>
      </w:r>
    </w:p>
    <w:p w14:paraId="7C8214D5" w14:textId="44CC04E1" w:rsidR="007E0169" w:rsidRPr="00EE0E12" w:rsidRDefault="007E0169" w:rsidP="00307575">
      <w:pPr>
        <w:pStyle w:val="Legenda"/>
        <w:spacing w:before="0" w:after="0" w:line="240" w:lineRule="auto"/>
      </w:pPr>
      <w:bookmarkStart w:id="235" w:name="_Ref414546314"/>
      <w:bookmarkStart w:id="236" w:name="_Toc412812309"/>
      <w:bookmarkStart w:id="237" w:name="_Toc527990473"/>
      <w:r w:rsidRPr="00EE0E12">
        <w:t xml:space="preserve">Figura </w:t>
      </w:r>
      <w:fldSimple w:instr=" SEQ Figura \* ARABIC ">
        <w:r w:rsidR="00A50E67">
          <w:rPr>
            <w:noProof/>
          </w:rPr>
          <w:t>26</w:t>
        </w:r>
      </w:fldSimple>
      <w:bookmarkEnd w:id="235"/>
      <w:r w:rsidRPr="00EE0E12">
        <w:t>: Tipos de navios e equipamentos que podem ser considerados em uma operação de aplicação de dispersante por via marítima</w:t>
      </w:r>
      <w:r w:rsidR="00605F99">
        <w:t xml:space="preserve"> </w:t>
      </w:r>
      <w:r w:rsidR="00605F99" w:rsidRPr="00656D39">
        <w:rPr>
          <w:szCs w:val="20"/>
        </w:rPr>
        <w:t xml:space="preserve">(Fonte: </w:t>
      </w:r>
      <w:r w:rsidR="00A5759B" w:rsidRPr="00656D39">
        <w:rPr>
          <w:szCs w:val="20"/>
        </w:rPr>
        <w:t>Modificado</w:t>
      </w:r>
      <w:r w:rsidR="00A5759B">
        <w:rPr>
          <w:szCs w:val="20"/>
        </w:rPr>
        <w:t xml:space="preserve"> a partir do original em BP, 2012</w:t>
      </w:r>
      <w:r w:rsidR="00605F99" w:rsidRPr="00605F99">
        <w:rPr>
          <w:szCs w:val="20"/>
        </w:rPr>
        <w:t>)</w:t>
      </w:r>
      <w:r w:rsidRPr="00605F99">
        <w:t>.</w:t>
      </w:r>
      <w:bookmarkEnd w:id="236"/>
      <w:bookmarkEnd w:id="237"/>
    </w:p>
    <w:p w14:paraId="2566198E" w14:textId="77777777" w:rsidR="007E0169" w:rsidRPr="00C600C2" w:rsidRDefault="007E0169" w:rsidP="00C600C2">
      <w:pPr>
        <w:keepNext/>
        <w:keepLines/>
        <w:spacing w:before="360" w:after="240"/>
        <w:rPr>
          <w:rFonts w:asciiTheme="majorHAnsi" w:hAnsiTheme="majorHAnsi" w:cstheme="majorHAnsi"/>
          <w:b/>
        </w:rPr>
      </w:pPr>
      <w:r w:rsidRPr="00C600C2">
        <w:rPr>
          <w:rFonts w:asciiTheme="majorHAnsi" w:hAnsiTheme="majorHAnsi" w:cstheme="majorHAnsi"/>
          <w:b/>
        </w:rPr>
        <w:t>Considerações com a Segurança</w:t>
      </w:r>
    </w:p>
    <w:p w14:paraId="58EF1EE5" w14:textId="77777777" w:rsidR="007E0169" w:rsidRPr="00EE0E12" w:rsidRDefault="007E0169" w:rsidP="00C600C2">
      <w:pPr>
        <w:pStyle w:val="tier1Itext"/>
      </w:pPr>
      <w:r w:rsidRPr="00EE0E12">
        <w:t>Dispersantes devem ser sempre utilizados em conformidade com as instruções do fornecedor e do fabricante. Além disso, é importante que as embarcações cumpram com todas as normas relevantes de segurança e requisitos de inspeção para a operação, descritos no ICS 208. Caso o fretamento de uma embarcação extra seja necessário (</w:t>
      </w:r>
      <w:r w:rsidR="00A5759B" w:rsidRPr="00EE0E12">
        <w:t>nov</w:t>
      </w:r>
      <w:r w:rsidR="00A5759B">
        <w:t>a</w:t>
      </w:r>
      <w:r w:rsidR="00A5759B" w:rsidRPr="00EE0E12">
        <w:t xml:space="preserve"> </w:t>
      </w:r>
      <w:r w:rsidRPr="00EE0E12">
        <w:t>para a frota da BP Energy), uma avaliação a respeito do mesmo deverá ser conduzida pelo Especialista Técnico de Marinha da BP para garantir que o navio esteja em bom estado, equipado com o equipamento de segurança adequado e apropriado para as operações.</w:t>
      </w:r>
    </w:p>
    <w:p w14:paraId="68812DE0" w14:textId="77777777" w:rsidR="007E0169" w:rsidRPr="00EE0E12" w:rsidRDefault="007E0169" w:rsidP="00C600C2">
      <w:pPr>
        <w:pStyle w:val="tier1Itext"/>
      </w:pPr>
      <w:r w:rsidRPr="00EE0E12">
        <w:t>Uma parte importante do programa de segurança para uma operação de dispersante é o estabelecimento de zonas de segurança mínima. As zonas de segurança estabelecidas para as questões ambientais devem ser suficientes para as populações humanas, já que as operações não devem ocorrer perto da costa. Zonas de segurança no mar ao redor da área da operação de aplicação de dispersante devem ser da ordem de 1,0 km para evitar a interferência com o tráfego de navios e evitar a pulverização na superfície de outras embarcações ou trabalhadores na área.</w:t>
      </w:r>
    </w:p>
    <w:p w14:paraId="3EC9DFCA" w14:textId="77777777" w:rsidR="007E0169" w:rsidRPr="00EE0E12" w:rsidRDefault="007E0169" w:rsidP="00C600C2">
      <w:pPr>
        <w:pStyle w:val="tier1Itext"/>
      </w:pPr>
      <w:r w:rsidRPr="00EE0E12">
        <w:lastRenderedPageBreak/>
        <w:t xml:space="preserve">A segurança dos trabalhadores é a consideração principal durante uma operação de dispersante. Caso sejam utilizados aviões, helicópteros e/ou embarcações para a aplicação e/ou o monitoramento da aplicação do dispersante, é muito importante que todo o pessoal tenha experiência quanto ao equipamento de segurança adequado e procedimentos. Isso, obviamente, inclui o </w:t>
      </w:r>
      <w:r w:rsidRPr="00EE0E12">
        <w:rPr>
          <w:i/>
        </w:rPr>
        <w:t>briefing</w:t>
      </w:r>
      <w:r w:rsidRPr="00EE0E12">
        <w:t xml:space="preserve"> da reunião de segurança.</w:t>
      </w:r>
    </w:p>
    <w:p w14:paraId="619B140F" w14:textId="77777777" w:rsidR="007E0169" w:rsidRPr="00EE0E12" w:rsidRDefault="007E0169" w:rsidP="00C600C2">
      <w:pPr>
        <w:pStyle w:val="tier1Itext"/>
      </w:pPr>
      <w:r w:rsidRPr="00EE0E12">
        <w:t>Todos os operadores devem dispor de equipamento de proteção individual</w:t>
      </w:r>
      <w:r w:rsidRPr="00EE0E12">
        <w:rPr>
          <w:rStyle w:val="Refdenotaderodap"/>
          <w:rFonts w:cstheme="majorHAnsi"/>
          <w:szCs w:val="22"/>
        </w:rPr>
        <w:footnoteReference w:id="50"/>
      </w:r>
      <w:r w:rsidRPr="00EE0E12">
        <w:t xml:space="preserve"> em conformidade com o dispersante utilizado (Corexit EC-9500 A) que devem incluir mas não se limitar ao macacão Tyvek, luvas impermeáveis, óculos de proteção, protetores de ouvido, respiradores adequados para exposições químicas, kit de primeiros socorros, de lavagem dos olhos, calçado químico resistente de segurança, juntamente com cópias disponíveis da FISP</w:t>
      </w:r>
      <w:r w:rsidR="00C600C2">
        <w:t>Q e MSDS em português e inglês.</w:t>
      </w:r>
    </w:p>
    <w:p w14:paraId="155D6ED3" w14:textId="77777777" w:rsidR="007E0169" w:rsidRPr="00EE0E12" w:rsidRDefault="007E0169" w:rsidP="00C600C2">
      <w:pPr>
        <w:pStyle w:val="tier1Itext"/>
      </w:pPr>
      <w:r w:rsidRPr="00EE0E12">
        <w:t>Se um dispersante entrar em contato com os olhos ou com a pele, a área afetada deve ser tratada lavando-a com água fresca e tratamento médico deverá ser forn</w:t>
      </w:r>
      <w:r w:rsidR="00C600C2">
        <w:t>ecido se a irritação persistir.</w:t>
      </w:r>
    </w:p>
    <w:p w14:paraId="3C71534B" w14:textId="77777777" w:rsidR="007E0169" w:rsidRPr="00EE0E12" w:rsidRDefault="007E0169" w:rsidP="00C600C2">
      <w:pPr>
        <w:pStyle w:val="tier1Itext"/>
      </w:pPr>
      <w:r w:rsidRPr="00EE0E12">
        <w:t>Manuseio só deve ser realizado em áreas bem ventiladas, longe de chamas faíscas de calor e chamas. Dispersantes deverão ser tratados como combustíveis. Incêndios deverão ser apagados usando o dióxido de carbono, pó químico, espuma, areia ou terra. Incêndio de grandes dimensões pode ser combatido com névoa de água. Cuidado especial deve ser tomado para evitar derrames durante o manuseio. Onde houver a ocorrência de derrames, enxugar rapidamente usando um absorvente adequado. A área pode ser lavada usando grandes quantidades de água, mas é importante assegurar que o dispersante esteja impedido de vazar para longe do local do derrame devido fechando-se as saídas para o mar durante o manuseio. Locais de trabalho devem sempre ser mantidos livres de derrames já que as maiorias dos dispersantes criam superfícies muito escorregadias. Deve ser evitado que os dispersantes entrem em contato com as superfícies pintadas, pois eles podem reagir com algum produto da pintura básica, d</w:t>
      </w:r>
      <w:r w:rsidR="00C600C2">
        <w:t>eixando as áreas escorregadias.</w:t>
      </w:r>
    </w:p>
    <w:p w14:paraId="62953864" w14:textId="77777777" w:rsidR="007E0169" w:rsidRPr="00EE0E12" w:rsidRDefault="007E0169" w:rsidP="00C600C2">
      <w:pPr>
        <w:pStyle w:val="tier1Itext"/>
      </w:pPr>
      <w:r w:rsidRPr="00EE0E12">
        <w:t>Estoques fora de especificação de dispersantes devem ser eliminados de acordo com o escopo normal da legislação usada para o descarte de resíduos químicos.</w:t>
      </w:r>
    </w:p>
    <w:p w14:paraId="11A12D7F" w14:textId="77777777" w:rsidR="007E0169" w:rsidRPr="00EE0E12" w:rsidRDefault="007E0169" w:rsidP="00C600C2">
      <w:pPr>
        <w:pStyle w:val="tier1Itext"/>
      </w:pPr>
      <w:r w:rsidRPr="00EE0E12">
        <w:lastRenderedPageBreak/>
        <w:t>Todos estes aspectos de segurança e saúde devem ser considerados pelo Oficial de Segurança durante a elaboração do Pla</w:t>
      </w:r>
      <w:r w:rsidR="00C600C2">
        <w:t>no de Aplicação de Dispersante.</w:t>
      </w:r>
    </w:p>
    <w:p w14:paraId="6F5B1A74" w14:textId="77777777" w:rsidR="00290F16" w:rsidRPr="009E316F" w:rsidRDefault="00290F16" w:rsidP="006F18B8">
      <w:pPr>
        <w:pStyle w:val="Ttulo3"/>
        <w:ind w:left="1224"/>
        <w:rPr>
          <w:lang w:val="pt-BR"/>
        </w:rPr>
      </w:pPr>
      <w:bookmarkStart w:id="238" w:name="_Toc527990434"/>
      <w:r w:rsidRPr="009E316F">
        <w:rPr>
          <w:lang w:val="pt-BR"/>
        </w:rPr>
        <w:t>Aplicação de Dispersantes por Via Aérea</w:t>
      </w:r>
      <w:bookmarkEnd w:id="238"/>
    </w:p>
    <w:p w14:paraId="1512D29F" w14:textId="77777777" w:rsidR="007E0169" w:rsidRPr="00EE0E12" w:rsidRDefault="007E0169" w:rsidP="00C723F1">
      <w:pPr>
        <w:pStyle w:val="tier1Itext"/>
      </w:pPr>
      <w:r w:rsidRPr="00EE0E12">
        <w:t>A aplicação de dispersante por via aérea será considerada apenas em cenários de grandes vazamentos e, nestes casos, haverá a formação de um Grupo específico para o gerenciamento das atividades relacionadas a esta técnica, sob a Seção de Operações. Neste Grupo haverá também a participação intensa do Gerente de Operações Aéreas e de pessoal da Seção de Logística, responsáveis pela programação de aeronaves (ICS 220) e pela alimentação das quantidades necessárias de dispersantes da Base da BP Energy no Rio de Janeiro para o aeroporto que dará apoio à operação.</w:t>
      </w:r>
    </w:p>
    <w:p w14:paraId="0E26E89E" w14:textId="3BB8EBD6" w:rsidR="007E0169" w:rsidRPr="00EE0E12" w:rsidRDefault="007E0169" w:rsidP="00C723F1">
      <w:pPr>
        <w:pStyle w:val="tier1Itext"/>
      </w:pPr>
      <w:r w:rsidRPr="00EE0E12">
        <w:t>A aplicação por via aérea é realizada através de um sistema de pulverização adaptado à fuselagem da aeronave (asa fixa ou rotativa) e deverá ser apoiada por uma equipe de monitoramento aéreo (</w:t>
      </w:r>
      <w:r w:rsidRPr="00EE0E12">
        <w:rPr>
          <w:i/>
        </w:rPr>
        <w:t>spotter</w:t>
      </w:r>
      <w:r w:rsidRPr="00EE0E12">
        <w:t xml:space="preserve">). Para essa estratégia, a BP Energy deverá mobilizar os recursos humanos e materiais da OSRL, conforme convênio firmado com a empresa. </w:t>
      </w:r>
    </w:p>
    <w:p w14:paraId="05B6BA7C" w14:textId="403C371A" w:rsidR="007E0169" w:rsidRPr="00EE0E12" w:rsidRDefault="007E0169" w:rsidP="00C723F1">
      <w:pPr>
        <w:pStyle w:val="tier1Itext"/>
      </w:pPr>
      <w:r w:rsidRPr="00EE0E12">
        <w:t xml:space="preserve">O aparato de aplicação aérea de dispersante da OSRL é um sistema de pulverização de </w:t>
      </w:r>
      <w:r w:rsidR="009806FD" w:rsidRPr="00EE0E12">
        <w:t>autocontenção</w:t>
      </w:r>
      <w:r w:rsidRPr="00EE0E12">
        <w:t xml:space="preserve"> projetado para instalação em aviões cargueiros (tipo </w:t>
      </w:r>
      <w:r w:rsidR="008779FC">
        <w:t>Boeing 727</w:t>
      </w:r>
      <w:r w:rsidRPr="00EE0E12">
        <w:t>). Possui uma bomba centrífuga com dupla capacidade de pulverização (900 L/min) com 34 bicos (cada um com capacidade de 30 L/min]) cobrindo uma faixa de 150 pés (45,7 m) de largura, aplicados a 140 pés (cerca de 40 m) de altura e a uma velocidade de 150 kt (278 km/h).</w:t>
      </w:r>
    </w:p>
    <w:p w14:paraId="4E1CECA8" w14:textId="72E7C4F2" w:rsidR="007E0169" w:rsidRPr="00EE0E12" w:rsidRDefault="007E0169" w:rsidP="00C723F1">
      <w:pPr>
        <w:pStyle w:val="tier1Itext"/>
      </w:pPr>
      <w:r w:rsidRPr="00EE0E12">
        <w:t xml:space="preserve">A </w:t>
      </w:r>
      <w:r w:rsidRPr="00EE0E12">
        <w:rPr>
          <w:b/>
          <w:highlight w:val="lightGray"/>
        </w:rPr>
        <w:fldChar w:fldCharType="begin"/>
      </w:r>
      <w:r w:rsidRPr="00EE0E12">
        <w:rPr>
          <w:b/>
        </w:rPr>
        <w:instrText xml:space="preserve"> REF _Ref412809512 \h </w:instrText>
      </w:r>
      <w:r w:rsidRPr="00EE0E12">
        <w:rPr>
          <w:b/>
          <w:highlight w:val="lightGray"/>
        </w:rPr>
        <w:instrText xml:space="preserve"> \* MERGEFORMAT </w:instrText>
      </w:r>
      <w:r w:rsidRPr="00EE0E12">
        <w:rPr>
          <w:b/>
          <w:highlight w:val="lightGray"/>
        </w:rPr>
      </w:r>
      <w:r w:rsidRPr="00EE0E12">
        <w:rPr>
          <w:b/>
          <w:highlight w:val="lightGray"/>
        </w:rPr>
        <w:fldChar w:fldCharType="separate"/>
      </w:r>
      <w:r w:rsidR="00A50E67" w:rsidRPr="00A50E67">
        <w:rPr>
          <w:b/>
        </w:rPr>
        <w:t xml:space="preserve">Figura </w:t>
      </w:r>
      <w:r w:rsidR="00A50E67" w:rsidRPr="00A50E67">
        <w:rPr>
          <w:b/>
          <w:noProof/>
        </w:rPr>
        <w:t>27</w:t>
      </w:r>
      <w:r w:rsidRPr="00EE0E12">
        <w:rPr>
          <w:b/>
          <w:highlight w:val="lightGray"/>
        </w:rPr>
        <w:fldChar w:fldCharType="end"/>
      </w:r>
      <w:r w:rsidRPr="000329A6">
        <w:t xml:space="preserve"> e a </w:t>
      </w:r>
      <w:r w:rsidRPr="00EE0E12">
        <w:rPr>
          <w:b/>
          <w:highlight w:val="lightGray"/>
        </w:rPr>
        <w:fldChar w:fldCharType="begin"/>
      </w:r>
      <w:r w:rsidRPr="00EE0E12">
        <w:rPr>
          <w:b/>
          <w:highlight w:val="lightGray"/>
        </w:rPr>
        <w:instrText xml:space="preserve"> REF _Ref412809514 \h  \* MERGEFORMAT </w:instrText>
      </w:r>
      <w:r w:rsidRPr="00EE0E12">
        <w:rPr>
          <w:b/>
          <w:highlight w:val="lightGray"/>
        </w:rPr>
      </w:r>
      <w:r w:rsidRPr="00EE0E12">
        <w:rPr>
          <w:b/>
          <w:highlight w:val="lightGray"/>
        </w:rPr>
        <w:fldChar w:fldCharType="separate"/>
      </w:r>
      <w:r w:rsidR="00A50E67" w:rsidRPr="00A50E67">
        <w:rPr>
          <w:b/>
        </w:rPr>
        <w:t xml:space="preserve">Figura </w:t>
      </w:r>
      <w:r w:rsidR="00A50E67" w:rsidRPr="00A50E67">
        <w:rPr>
          <w:b/>
          <w:noProof/>
        </w:rPr>
        <w:t>28</w:t>
      </w:r>
      <w:r w:rsidRPr="00EE0E12">
        <w:rPr>
          <w:b/>
          <w:highlight w:val="lightGray"/>
        </w:rPr>
        <w:fldChar w:fldCharType="end"/>
      </w:r>
      <w:r w:rsidRPr="00EE0E12">
        <w:t xml:space="preserve"> ilustram os métodos de aplicação de dispersante e monitoramento das operações, e um esquema de aplicação aérea com aeronaves de asa fixa (que possuem maior autonomia). Importante ressaltar que a eficácia da dispersão química deverá ser continuamente monitorada a fim de que as táticas sejam revistas e, se necessário, interrompidas, quando ineficazes.</w:t>
      </w:r>
    </w:p>
    <w:p w14:paraId="46AFB90E" w14:textId="77777777" w:rsidR="007E0169" w:rsidRPr="00EE0E12" w:rsidRDefault="007E0169" w:rsidP="00C723F1">
      <w:pPr>
        <w:pStyle w:val="tier1Itext"/>
        <w:tabs>
          <w:tab w:val="clear" w:pos="5529"/>
          <w:tab w:val="left" w:pos="0"/>
        </w:tabs>
        <w:spacing w:before="0" w:after="0" w:line="240" w:lineRule="auto"/>
        <w:jc w:val="center"/>
        <w:rPr>
          <w:lang w:val="en-US"/>
        </w:rPr>
      </w:pPr>
      <w:r w:rsidRPr="00EE0E12">
        <w:rPr>
          <w:noProof/>
          <w:lang w:val="en-US"/>
        </w:rPr>
        <w:lastRenderedPageBreak/>
        <w:drawing>
          <wp:inline distT="0" distB="0" distL="0" distR="0" wp14:anchorId="1EED4062" wp14:editId="0ECBB42A">
            <wp:extent cx="5132934" cy="2959615"/>
            <wp:effectExtent l="0" t="0" r="0" b="0"/>
            <wp:docPr id="292" name="Imagem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135598" cy="2961151"/>
                    </a:xfrm>
                    <a:prstGeom prst="rect">
                      <a:avLst/>
                    </a:prstGeom>
                    <a:noFill/>
                    <a:ln>
                      <a:noFill/>
                    </a:ln>
                  </pic:spPr>
                </pic:pic>
              </a:graphicData>
            </a:graphic>
          </wp:inline>
        </w:drawing>
      </w:r>
    </w:p>
    <w:p w14:paraId="5E5B27A0" w14:textId="01DD0A38" w:rsidR="007E0169" w:rsidRPr="00EE0E12" w:rsidRDefault="007E0169" w:rsidP="00C723F1">
      <w:pPr>
        <w:pStyle w:val="Legenda"/>
        <w:spacing w:before="0" w:after="0" w:line="240" w:lineRule="auto"/>
      </w:pPr>
      <w:bookmarkStart w:id="239" w:name="_Ref412809512"/>
      <w:bookmarkStart w:id="240" w:name="_Toc412812310"/>
      <w:bookmarkStart w:id="241" w:name="_Toc527990474"/>
      <w:r w:rsidRPr="00EE0E12">
        <w:t xml:space="preserve">Figura </w:t>
      </w:r>
      <w:fldSimple w:instr=" SEQ Figura \* ARABIC ">
        <w:r w:rsidR="00A50E67">
          <w:rPr>
            <w:noProof/>
          </w:rPr>
          <w:t>27</w:t>
        </w:r>
      </w:fldSimple>
      <w:bookmarkEnd w:id="239"/>
      <w:r w:rsidRPr="00EE0E12">
        <w:t xml:space="preserve">: Alternativas para aplicação de dispersantes e monitoramento das operações (Fonte: Adaptado de </w:t>
      </w:r>
      <w:r w:rsidRPr="00EE0E12">
        <w:rPr>
          <w:i/>
        </w:rPr>
        <w:t>Spill Tactics for Alaska Responders</w:t>
      </w:r>
      <w:r w:rsidRPr="00EE0E12">
        <w:t>, 2014).</w:t>
      </w:r>
      <w:bookmarkEnd w:id="240"/>
      <w:bookmarkEnd w:id="241"/>
    </w:p>
    <w:p w14:paraId="6A0C0149" w14:textId="77777777" w:rsidR="007E0169" w:rsidRPr="00EE0E12" w:rsidRDefault="007E0169" w:rsidP="00723A97">
      <w:pPr>
        <w:pStyle w:val="tier1Itext"/>
      </w:pPr>
    </w:p>
    <w:p w14:paraId="699A3764" w14:textId="77777777" w:rsidR="007E0169" w:rsidRPr="00EE0E12" w:rsidRDefault="007E0169" w:rsidP="00C723F1">
      <w:pPr>
        <w:pStyle w:val="tier1Itext"/>
        <w:spacing w:before="0" w:after="0" w:line="240" w:lineRule="auto"/>
        <w:jc w:val="center"/>
      </w:pPr>
      <w:r w:rsidRPr="00EE0E12">
        <w:rPr>
          <w:noProof/>
          <w:lang w:val="en-US"/>
        </w:rPr>
        <w:drawing>
          <wp:inline distT="0" distB="0" distL="0" distR="0" wp14:anchorId="37CB6A74" wp14:editId="11BFAAA7">
            <wp:extent cx="5133600" cy="347400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 Aerial Application PT.jpg"/>
                    <pic:cNvPicPr/>
                  </pic:nvPicPr>
                  <pic:blipFill>
                    <a:blip r:embed="rId78">
                      <a:extLst>
                        <a:ext uri="{28A0092B-C50C-407E-A947-70E740481C1C}">
                          <a14:useLocalDpi xmlns:a14="http://schemas.microsoft.com/office/drawing/2010/main" val="0"/>
                        </a:ext>
                      </a:extLst>
                    </a:blip>
                    <a:stretch>
                      <a:fillRect/>
                    </a:stretch>
                  </pic:blipFill>
                  <pic:spPr>
                    <a:xfrm>
                      <a:off x="0" y="0"/>
                      <a:ext cx="5133600" cy="3474000"/>
                    </a:xfrm>
                    <a:prstGeom prst="rect">
                      <a:avLst/>
                    </a:prstGeom>
                  </pic:spPr>
                </pic:pic>
              </a:graphicData>
            </a:graphic>
          </wp:inline>
        </w:drawing>
      </w:r>
    </w:p>
    <w:p w14:paraId="5C4BEA6B" w14:textId="68AC1100" w:rsidR="007E0169" w:rsidRPr="00EE0E12" w:rsidRDefault="007E0169" w:rsidP="00C723F1">
      <w:pPr>
        <w:pStyle w:val="Legenda"/>
        <w:spacing w:before="0" w:after="0" w:line="240" w:lineRule="auto"/>
      </w:pPr>
      <w:bookmarkStart w:id="242" w:name="_Ref412809514"/>
      <w:bookmarkStart w:id="243" w:name="_Toc412812311"/>
      <w:bookmarkStart w:id="244" w:name="_Toc527990475"/>
      <w:r w:rsidRPr="00EE0E12">
        <w:t xml:space="preserve">Figura </w:t>
      </w:r>
      <w:fldSimple w:instr=" SEQ Figura \* ARABIC ">
        <w:r w:rsidR="00A50E67">
          <w:rPr>
            <w:noProof/>
          </w:rPr>
          <w:t>28</w:t>
        </w:r>
      </w:fldSimple>
      <w:bookmarkEnd w:id="242"/>
      <w:r w:rsidRPr="00EE0E12">
        <w:t xml:space="preserve">: Esquema de aplicação aérea de dispersantes com aeronaves </w:t>
      </w:r>
      <w:r w:rsidRPr="006D3DFB">
        <w:t>de asa fixa</w:t>
      </w:r>
      <w:r w:rsidR="00605F99" w:rsidRPr="006D3DFB">
        <w:t xml:space="preserve"> </w:t>
      </w:r>
      <w:r w:rsidR="00605F99" w:rsidRPr="006D3DFB">
        <w:rPr>
          <w:szCs w:val="20"/>
        </w:rPr>
        <w:t xml:space="preserve">(Fonte: </w:t>
      </w:r>
      <w:r w:rsidR="008779FC" w:rsidRPr="006D3DFB">
        <w:rPr>
          <w:szCs w:val="20"/>
        </w:rPr>
        <w:t>Modificado a partir d</w:t>
      </w:r>
      <w:r w:rsidR="006D3DFB">
        <w:rPr>
          <w:szCs w:val="20"/>
        </w:rPr>
        <w:t>o</w:t>
      </w:r>
      <w:r w:rsidR="008779FC" w:rsidRPr="006D3DFB">
        <w:rPr>
          <w:szCs w:val="20"/>
        </w:rPr>
        <w:t xml:space="preserve"> original em BP, 2012</w:t>
      </w:r>
      <w:r w:rsidR="00605F99" w:rsidRPr="006D3DFB">
        <w:rPr>
          <w:szCs w:val="20"/>
        </w:rPr>
        <w:t>)</w:t>
      </w:r>
      <w:r w:rsidRPr="006D3DFB">
        <w:t>.</w:t>
      </w:r>
      <w:bookmarkEnd w:id="243"/>
      <w:bookmarkEnd w:id="244"/>
    </w:p>
    <w:p w14:paraId="676CE4B5" w14:textId="77777777" w:rsidR="007E0169" w:rsidRPr="00EE0E12" w:rsidRDefault="007E0169" w:rsidP="00C723F1">
      <w:pPr>
        <w:pStyle w:val="tier1Itext"/>
        <w:spacing w:before="360"/>
      </w:pPr>
      <w:r w:rsidRPr="00EE0E12">
        <w:t>As direção e intensidade do vento deverão ser continuamente monitoradas durante a aplicação de dispersantes via aérea ou marítima, a fim de propiciar condições adequadas de pulverização e uma melhor relação de contato óleo/dispersante.</w:t>
      </w:r>
    </w:p>
    <w:p w14:paraId="578EEBCA" w14:textId="77777777" w:rsidR="007E0169" w:rsidRPr="00C723F1" w:rsidRDefault="007E0169" w:rsidP="003D0FC9">
      <w:pPr>
        <w:keepNext/>
        <w:keepLines/>
        <w:spacing w:after="240"/>
        <w:rPr>
          <w:rFonts w:asciiTheme="majorHAnsi" w:hAnsiTheme="majorHAnsi" w:cstheme="majorHAnsi"/>
          <w:b/>
        </w:rPr>
      </w:pPr>
      <w:r w:rsidRPr="00C723F1">
        <w:rPr>
          <w:rFonts w:asciiTheme="majorHAnsi" w:hAnsiTheme="majorHAnsi" w:cstheme="majorHAnsi"/>
          <w:b/>
        </w:rPr>
        <w:lastRenderedPageBreak/>
        <w:t>Limitações</w:t>
      </w:r>
    </w:p>
    <w:p w14:paraId="20F87DC6" w14:textId="77777777" w:rsidR="007E0169" w:rsidRPr="00EE0E12" w:rsidRDefault="007E0169" w:rsidP="000329A6">
      <w:pPr>
        <w:pStyle w:val="tier1Itext"/>
      </w:pPr>
      <w:r w:rsidRPr="00EE0E12">
        <w:t>Esta estratégia é eficaz com óleo que tenham grau API de 10 a 45 (classes II, III e IV</w:t>
      </w:r>
      <w:r w:rsidRPr="00EE0E12">
        <w:rPr>
          <w:rStyle w:val="Refdenotaderodap"/>
          <w:rFonts w:cstheme="majorHAnsi"/>
        </w:rPr>
        <w:footnoteReference w:id="51"/>
      </w:r>
      <w:r w:rsidRPr="00EE0E12">
        <w:t>).</w:t>
      </w:r>
    </w:p>
    <w:p w14:paraId="77FDE327" w14:textId="77777777" w:rsidR="007E0169" w:rsidRPr="00EE0E12" w:rsidRDefault="007E0169" w:rsidP="000329A6">
      <w:pPr>
        <w:pStyle w:val="tier1Itext"/>
      </w:pPr>
      <w:r w:rsidRPr="00EE0E12">
        <w:t xml:space="preserve">Todas as operações de </w:t>
      </w:r>
      <w:r w:rsidR="008779FC" w:rsidRPr="00EE0E12">
        <w:t>v</w:t>
      </w:r>
      <w:r w:rsidR="008779FC">
        <w:t>ô</w:t>
      </w:r>
      <w:r w:rsidR="008779FC" w:rsidRPr="00EE0E12">
        <w:t xml:space="preserve">o </w:t>
      </w:r>
      <w:r w:rsidRPr="00EE0E12">
        <w:t xml:space="preserve">devem ser realizadas de acordo com as normas brasileiras. Todas as aeronaves utilizadas para a aplicação do dispersante químico deverão ser cuidadosamente escolhidas para a operação. Planos de </w:t>
      </w:r>
      <w:r w:rsidR="008779FC" w:rsidRPr="00EE0E12">
        <w:t>v</w:t>
      </w:r>
      <w:r w:rsidR="008779FC">
        <w:t>ô</w:t>
      </w:r>
      <w:r w:rsidR="008779FC" w:rsidRPr="00EE0E12">
        <w:t xml:space="preserve">o </w:t>
      </w:r>
      <w:r w:rsidRPr="00EE0E12">
        <w:t xml:space="preserve">devem levar em consideração todas as condições meteorológicas relevantes, tais como o vento, visibilidade, tipos de nuvem e altura, a presença ou previsão de presença de precipitação, nevoeiro e estado do mar, não somente na região de aplicação, mas também no aeroporto </w:t>
      </w:r>
      <w:r w:rsidR="000329A6">
        <w:t>de suporte à operação.</w:t>
      </w:r>
    </w:p>
    <w:p w14:paraId="62004148" w14:textId="77777777" w:rsidR="007E0169" w:rsidRPr="00EE0E12" w:rsidRDefault="007E0169" w:rsidP="000329A6">
      <w:pPr>
        <w:pStyle w:val="tier1Itext"/>
      </w:pPr>
      <w:r w:rsidRPr="00EE0E12">
        <w:t>Para operações envolvendo helicópteros, estes devem</w:t>
      </w:r>
      <w:r w:rsidR="009806FD" w:rsidRPr="00EE0E12">
        <w:t xml:space="preserve"> ter capacidade de iç</w:t>
      </w:r>
      <w:r w:rsidRPr="00EE0E12">
        <w:t xml:space="preserve">amento suficiente para </w:t>
      </w:r>
      <w:r w:rsidR="003158C8">
        <w:t>levantar</w:t>
      </w:r>
      <w:r w:rsidR="003158C8" w:rsidRPr="00EE0E12">
        <w:t xml:space="preserve"> </w:t>
      </w:r>
      <w:r w:rsidRPr="00EE0E12">
        <w:t xml:space="preserve">o tanque com o produto e equilibrá-lo. O piloto deverá testar o mecanismo de equilíbrio antes de cada operação. Por razões de segurança, helicópteros bimotores são preferidos, particularmente para operações </w:t>
      </w:r>
      <w:r w:rsidRPr="00EE0E12">
        <w:rPr>
          <w:i/>
        </w:rPr>
        <w:t>offshore</w:t>
      </w:r>
      <w:r w:rsidRPr="00EE0E12">
        <w:t>, pois são mais poderosos do que um monomotor e pode</w:t>
      </w:r>
      <w:r w:rsidR="003158C8">
        <w:t>m</w:t>
      </w:r>
      <w:r w:rsidRPr="00EE0E12">
        <w:t xml:space="preserve"> ganhar altitude mais rapidamente. Além disso, os helicópteros devem estar equipados com </w:t>
      </w:r>
      <w:r w:rsidR="003158C8" w:rsidRPr="00EE0E12">
        <w:t>b</w:t>
      </w:r>
      <w:r w:rsidR="003158C8">
        <w:t>ó</w:t>
      </w:r>
      <w:r w:rsidR="003158C8" w:rsidRPr="00EE0E12">
        <w:t xml:space="preserve">ias </w:t>
      </w:r>
      <w:r w:rsidRPr="00EE0E12">
        <w:t xml:space="preserve">para um pouso de emergência na água, se necessário. O helicóptero deve cumprir todos os procedimentos relevantes de manutenção de </w:t>
      </w:r>
      <w:r w:rsidR="003158C8" w:rsidRPr="00EE0E12">
        <w:t>v</w:t>
      </w:r>
      <w:r w:rsidR="003158C8">
        <w:t>ô</w:t>
      </w:r>
      <w:r w:rsidR="003158C8" w:rsidRPr="00EE0E12">
        <w:t xml:space="preserve">os </w:t>
      </w:r>
      <w:r w:rsidRPr="00EE0E12">
        <w:t xml:space="preserve">rotineiros e da operação a ser realizada. Quando da consideração de utilizar-se o serviço de um helicóptero, recomenda-se que a capacidade operacional da aeronave e sua adequação para o uso deva ser discutida previamente com o piloto e/ou o operador da aeronave, bem como </w:t>
      </w:r>
      <w:r w:rsidR="003158C8">
        <w:t xml:space="preserve">ela </w:t>
      </w:r>
      <w:r w:rsidRPr="00EE0E12">
        <w:t xml:space="preserve">ser validada pela Autoridade Técnica de </w:t>
      </w:r>
      <w:r w:rsidR="000329A6">
        <w:t>Aviação da BP Energy.</w:t>
      </w:r>
    </w:p>
    <w:p w14:paraId="3ED55992" w14:textId="77777777" w:rsidR="007E0169" w:rsidRPr="003D0FC9" w:rsidRDefault="007E0169" w:rsidP="003D0FC9">
      <w:pPr>
        <w:keepNext/>
        <w:keepLines/>
        <w:spacing w:after="240"/>
        <w:rPr>
          <w:rFonts w:asciiTheme="majorHAnsi" w:hAnsiTheme="majorHAnsi" w:cstheme="majorHAnsi"/>
          <w:b/>
        </w:rPr>
      </w:pPr>
      <w:r w:rsidRPr="003D0FC9">
        <w:rPr>
          <w:rFonts w:asciiTheme="majorHAnsi" w:hAnsiTheme="majorHAnsi" w:cstheme="majorHAnsi"/>
          <w:b/>
        </w:rPr>
        <w:t>Considerações com a Segurança</w:t>
      </w:r>
    </w:p>
    <w:p w14:paraId="19DA1DE4" w14:textId="77777777" w:rsidR="007E0169" w:rsidRPr="00EE0E12" w:rsidRDefault="007E0169" w:rsidP="003D0FC9">
      <w:pPr>
        <w:pStyle w:val="tier1Itext"/>
      </w:pPr>
      <w:r w:rsidRPr="00EE0E12">
        <w:t xml:space="preserve">Somente o piloto e o co-piloto ou outra pessoa (caso necessária para a ativação da aplicação) deve estar no helicóptero durante a operação e todos deverão usar equipamentos de segurança adequados e de salvatagem. Durante as operações perto da costa, no mar e com ventos contra falésias e encostas, os procedimentos devem ser cuidadosamente considerados. Em caso de dificuldade mecânica, locais de aterrissagem de emergência para o helicóptero devem ser identificados com antecedência no Plano de </w:t>
      </w:r>
      <w:r w:rsidR="003158C8" w:rsidRPr="00EE0E12">
        <w:t>V</w:t>
      </w:r>
      <w:r w:rsidR="003158C8">
        <w:t>ô</w:t>
      </w:r>
      <w:r w:rsidR="003158C8" w:rsidRPr="00EE0E12">
        <w:t xml:space="preserve">o </w:t>
      </w:r>
      <w:r w:rsidRPr="00EE0E12">
        <w:t>e no ICS 204 para a ativida</w:t>
      </w:r>
      <w:r w:rsidR="003D0FC9">
        <w:t>de.</w:t>
      </w:r>
    </w:p>
    <w:p w14:paraId="5FB98439" w14:textId="77777777" w:rsidR="007E0169" w:rsidRPr="00EE0E12" w:rsidRDefault="007E0169" w:rsidP="003D0FC9">
      <w:pPr>
        <w:pStyle w:val="tier1Itext"/>
      </w:pPr>
      <w:r w:rsidRPr="00EE0E12">
        <w:lastRenderedPageBreak/>
        <w:t xml:space="preserve">Devem ser minimizadas as possibilidades de exposição de pessoas e organismos à aplicação do dispersante. Desta forma, ressalta-se a função de avaliação prévia da área a ser dispersada pela aeronave </w:t>
      </w:r>
      <w:r w:rsidRPr="00EE0E12">
        <w:rPr>
          <w:i/>
        </w:rPr>
        <w:t>spotter</w:t>
      </w:r>
      <w:r w:rsidRPr="00EE0E12">
        <w:t xml:space="preserve"> e a comunicação do planejamento da operação com as outras atividades em curso na região, para que sejam alertadas a se afastar (SIMOPS). Ainda assim, aplicações planejadas e com a aeronave em curso podem ser interrompidas por comando do </w:t>
      </w:r>
      <w:r w:rsidRPr="00EE0E12">
        <w:rPr>
          <w:i/>
        </w:rPr>
        <w:t>spotter</w:t>
      </w:r>
      <w:r w:rsidRPr="00EE0E12">
        <w:t>, uma vez que as condições de isolamento da área da mancha não se confirmem localme</w:t>
      </w:r>
      <w:r w:rsidR="003D0FC9">
        <w:t>nte no momento desta aplicação.</w:t>
      </w:r>
    </w:p>
    <w:p w14:paraId="6B127B16" w14:textId="2F384E4F" w:rsidR="007E0169" w:rsidRPr="00EE0E12" w:rsidRDefault="007E0169" w:rsidP="003D0FC9">
      <w:pPr>
        <w:pStyle w:val="tier1Itext"/>
      </w:pPr>
      <w:r w:rsidRPr="00EE0E12">
        <w:t xml:space="preserve">Os recursos disponíveis para operacionalização da estratégia de dispersão química estão resumidos na </w:t>
      </w:r>
      <w:r w:rsidRPr="00EE0E12">
        <w:rPr>
          <w:b/>
        </w:rPr>
        <w:fldChar w:fldCharType="begin"/>
      </w:r>
      <w:r w:rsidRPr="00EE0E12">
        <w:rPr>
          <w:b/>
        </w:rPr>
        <w:instrText xml:space="preserve"> REF _Ref411453109 \h  \* MERGEFORMAT </w:instrText>
      </w:r>
      <w:r w:rsidRPr="00EE0E12">
        <w:rPr>
          <w:b/>
        </w:rPr>
      </w:r>
      <w:r w:rsidRPr="00EE0E12">
        <w:rPr>
          <w:b/>
        </w:rPr>
        <w:fldChar w:fldCharType="separate"/>
      </w:r>
      <w:r w:rsidR="00CD1E9E" w:rsidRPr="00CD1E9E">
        <w:rPr>
          <w:b/>
          <w:szCs w:val="22"/>
        </w:rPr>
        <w:t xml:space="preserve">Tabela </w:t>
      </w:r>
      <w:r w:rsidR="00CD1E9E" w:rsidRPr="004B2C3C">
        <w:rPr>
          <w:b/>
          <w:noProof/>
          <w:szCs w:val="22"/>
          <w:highlight w:val="lightGray"/>
        </w:rPr>
        <w:t>18</w:t>
      </w:r>
      <w:r w:rsidRPr="00EE0E12">
        <w:rPr>
          <w:b/>
        </w:rPr>
        <w:fldChar w:fldCharType="end"/>
      </w:r>
      <w:r w:rsidRPr="00EE0E12">
        <w:t>.</w:t>
      </w:r>
    </w:p>
    <w:tbl>
      <w:tblPr>
        <w:tblStyle w:val="Ocean"/>
        <w:tblW w:w="5000" w:type="pct"/>
        <w:tblBorders>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2906"/>
        <w:gridCol w:w="1650"/>
        <w:gridCol w:w="1665"/>
        <w:gridCol w:w="2849"/>
      </w:tblGrid>
      <w:tr w:rsidR="007E0169" w:rsidRPr="003D0FC9" w14:paraId="53DC1E77" w14:textId="77777777" w:rsidTr="003D0FC9">
        <w:trPr>
          <w:cnfStyle w:val="100000000000" w:firstRow="1" w:lastRow="0" w:firstColumn="0" w:lastColumn="0" w:oddVBand="0" w:evenVBand="0" w:oddHBand="0" w:evenHBand="0" w:firstRowFirstColumn="0" w:firstRowLastColumn="0" w:lastRowFirstColumn="0" w:lastRowLastColumn="0"/>
          <w:trHeight w:val="340"/>
          <w:tblHeader/>
        </w:trPr>
        <w:tc>
          <w:tcPr>
            <w:tcW w:w="5000" w:type="pct"/>
            <w:gridSpan w:val="4"/>
            <w:shd w:val="clear" w:color="auto" w:fill="FFFFFF" w:themeFill="background1"/>
            <w:vAlign w:val="bottom"/>
          </w:tcPr>
          <w:p w14:paraId="3F08E8EA" w14:textId="0774C426" w:rsidR="007E0169" w:rsidRPr="003D0FC9" w:rsidRDefault="007E0169" w:rsidP="003D0FC9">
            <w:pPr>
              <w:tabs>
                <w:tab w:val="left" w:pos="5529"/>
              </w:tabs>
              <w:spacing w:before="0" w:line="240" w:lineRule="auto"/>
              <w:jc w:val="left"/>
              <w:rPr>
                <w:rFonts w:asciiTheme="majorHAnsi" w:hAnsiTheme="majorHAnsi"/>
                <w:noProof/>
                <w:color w:val="auto"/>
                <w:sz w:val="20"/>
                <w:szCs w:val="20"/>
              </w:rPr>
            </w:pPr>
            <w:bookmarkStart w:id="245" w:name="_Ref411453109"/>
            <w:bookmarkStart w:id="246" w:name="_Toc412812276"/>
            <w:bookmarkStart w:id="247" w:name="_Toc527990493"/>
            <w:r w:rsidRPr="003D0FC9">
              <w:rPr>
                <w:rFonts w:asciiTheme="majorHAnsi" w:hAnsiTheme="majorHAnsi"/>
                <w:color w:val="auto"/>
                <w:sz w:val="20"/>
                <w:szCs w:val="20"/>
              </w:rPr>
              <w:t xml:space="preserve">Tabela </w:t>
            </w:r>
            <w:r w:rsidRPr="004B2C3C">
              <w:rPr>
                <w:rFonts w:asciiTheme="majorHAnsi" w:hAnsiTheme="majorHAnsi"/>
                <w:sz w:val="20"/>
                <w:szCs w:val="20"/>
                <w:highlight w:val="lightGray"/>
              </w:rPr>
              <w:fldChar w:fldCharType="begin"/>
            </w:r>
            <w:r w:rsidRPr="004B2C3C">
              <w:rPr>
                <w:rFonts w:asciiTheme="majorHAnsi" w:hAnsiTheme="majorHAnsi"/>
                <w:color w:val="auto"/>
                <w:sz w:val="20"/>
                <w:szCs w:val="20"/>
                <w:highlight w:val="lightGray"/>
              </w:rPr>
              <w:instrText xml:space="preserve"> SEQ Tabela \* ARABIC </w:instrText>
            </w:r>
            <w:r w:rsidRPr="004B2C3C">
              <w:rPr>
                <w:rFonts w:asciiTheme="majorHAnsi" w:hAnsiTheme="majorHAnsi"/>
                <w:sz w:val="20"/>
                <w:szCs w:val="20"/>
                <w:highlight w:val="lightGray"/>
              </w:rPr>
              <w:fldChar w:fldCharType="separate"/>
            </w:r>
            <w:r w:rsidR="00CD1E9E" w:rsidRPr="004B2C3C">
              <w:rPr>
                <w:rFonts w:asciiTheme="majorHAnsi" w:hAnsiTheme="majorHAnsi"/>
                <w:noProof/>
                <w:color w:val="auto"/>
                <w:sz w:val="20"/>
                <w:szCs w:val="20"/>
                <w:highlight w:val="lightGray"/>
              </w:rPr>
              <w:t>18</w:t>
            </w:r>
            <w:r w:rsidRPr="004B2C3C">
              <w:rPr>
                <w:rFonts w:asciiTheme="majorHAnsi" w:hAnsiTheme="majorHAnsi"/>
                <w:sz w:val="20"/>
                <w:szCs w:val="20"/>
                <w:highlight w:val="lightGray"/>
              </w:rPr>
              <w:fldChar w:fldCharType="end"/>
            </w:r>
            <w:bookmarkEnd w:id="245"/>
            <w:r w:rsidRPr="003D0FC9">
              <w:rPr>
                <w:rFonts w:asciiTheme="majorHAnsi" w:hAnsiTheme="majorHAnsi"/>
                <w:color w:val="auto"/>
                <w:sz w:val="20"/>
                <w:szCs w:val="20"/>
              </w:rPr>
              <w:t>: Recursos disponíveis para operacionalização da estratégia de dispersão química.</w:t>
            </w:r>
            <w:bookmarkEnd w:id="246"/>
            <w:bookmarkEnd w:id="247"/>
          </w:p>
        </w:tc>
      </w:tr>
      <w:tr w:rsidR="007E0169" w:rsidRPr="003D0FC9" w14:paraId="71654D58" w14:textId="77777777" w:rsidTr="003158C8">
        <w:trPr>
          <w:cnfStyle w:val="100000000000" w:firstRow="1" w:lastRow="0" w:firstColumn="0" w:lastColumn="0" w:oddVBand="0" w:evenVBand="0" w:oddHBand="0" w:evenHBand="0" w:firstRowFirstColumn="0" w:firstRowLastColumn="0" w:lastRowFirstColumn="0" w:lastRowLastColumn="0"/>
          <w:trHeight w:val="567"/>
          <w:tblHeader/>
        </w:trPr>
        <w:tc>
          <w:tcPr>
            <w:tcW w:w="1609" w:type="pct"/>
            <w:shd w:val="clear" w:color="auto" w:fill="1F497D"/>
          </w:tcPr>
          <w:p w14:paraId="3E89A3AE" w14:textId="77777777" w:rsidR="007E0169" w:rsidRPr="003D0FC9" w:rsidRDefault="007E0169" w:rsidP="003D0FC9">
            <w:pPr>
              <w:tabs>
                <w:tab w:val="left" w:pos="5529"/>
              </w:tabs>
              <w:spacing w:before="0" w:line="240" w:lineRule="auto"/>
              <w:jc w:val="center"/>
              <w:rPr>
                <w:rFonts w:asciiTheme="majorHAnsi" w:hAnsiTheme="majorHAnsi"/>
                <w:noProof/>
                <w:sz w:val="20"/>
                <w:szCs w:val="20"/>
              </w:rPr>
            </w:pPr>
            <w:r w:rsidRPr="003D0FC9">
              <w:rPr>
                <w:rFonts w:asciiTheme="majorHAnsi" w:hAnsiTheme="majorHAnsi"/>
                <w:noProof/>
                <w:sz w:val="20"/>
                <w:szCs w:val="20"/>
              </w:rPr>
              <w:t>Tipo/Nome</w:t>
            </w:r>
          </w:p>
        </w:tc>
        <w:tc>
          <w:tcPr>
            <w:tcW w:w="917" w:type="pct"/>
            <w:shd w:val="clear" w:color="auto" w:fill="1F497D"/>
          </w:tcPr>
          <w:p w14:paraId="41592BFE" w14:textId="77777777" w:rsidR="007E0169" w:rsidRPr="003D0FC9" w:rsidRDefault="007E0169" w:rsidP="003D0FC9">
            <w:pPr>
              <w:tabs>
                <w:tab w:val="left" w:pos="5529"/>
              </w:tabs>
              <w:spacing w:before="0" w:line="240" w:lineRule="auto"/>
              <w:jc w:val="center"/>
              <w:rPr>
                <w:rFonts w:asciiTheme="majorHAnsi" w:hAnsiTheme="majorHAnsi"/>
                <w:noProof/>
                <w:sz w:val="20"/>
                <w:szCs w:val="20"/>
              </w:rPr>
            </w:pPr>
            <w:r w:rsidRPr="003D0FC9">
              <w:rPr>
                <w:rFonts w:asciiTheme="majorHAnsi" w:hAnsiTheme="majorHAnsi"/>
                <w:noProof/>
                <w:sz w:val="20"/>
                <w:szCs w:val="20"/>
              </w:rPr>
              <w:t>Localização</w:t>
            </w:r>
          </w:p>
        </w:tc>
        <w:tc>
          <w:tcPr>
            <w:tcW w:w="897" w:type="pct"/>
            <w:shd w:val="clear" w:color="auto" w:fill="1F497D"/>
          </w:tcPr>
          <w:p w14:paraId="14F98AB0" w14:textId="77777777" w:rsidR="007E0169" w:rsidRPr="003D0FC9" w:rsidRDefault="007E0169" w:rsidP="003D0FC9">
            <w:pPr>
              <w:tabs>
                <w:tab w:val="left" w:pos="5529"/>
              </w:tabs>
              <w:spacing w:before="0" w:line="240" w:lineRule="auto"/>
              <w:jc w:val="center"/>
              <w:rPr>
                <w:rFonts w:asciiTheme="majorHAnsi" w:hAnsiTheme="majorHAnsi"/>
                <w:b w:val="0"/>
                <w:noProof/>
                <w:sz w:val="20"/>
                <w:szCs w:val="20"/>
              </w:rPr>
            </w:pPr>
            <w:r w:rsidRPr="003D0FC9">
              <w:rPr>
                <w:rFonts w:asciiTheme="majorHAnsi" w:hAnsiTheme="majorHAnsi"/>
                <w:noProof/>
                <w:sz w:val="20"/>
                <w:szCs w:val="20"/>
              </w:rPr>
              <w:t>Tempo para disponibilidade</w:t>
            </w:r>
          </w:p>
        </w:tc>
        <w:tc>
          <w:tcPr>
            <w:tcW w:w="1577" w:type="pct"/>
            <w:shd w:val="clear" w:color="auto" w:fill="1F497D"/>
          </w:tcPr>
          <w:p w14:paraId="444A4C7E" w14:textId="77777777" w:rsidR="007E0169" w:rsidRPr="003D0FC9" w:rsidRDefault="007E0169" w:rsidP="003D0FC9">
            <w:pPr>
              <w:tabs>
                <w:tab w:val="left" w:pos="5529"/>
              </w:tabs>
              <w:spacing w:before="0" w:line="240" w:lineRule="auto"/>
              <w:jc w:val="center"/>
              <w:rPr>
                <w:rFonts w:asciiTheme="majorHAnsi" w:hAnsiTheme="majorHAnsi"/>
                <w:b w:val="0"/>
                <w:noProof/>
                <w:sz w:val="20"/>
                <w:szCs w:val="20"/>
              </w:rPr>
            </w:pPr>
            <w:r w:rsidRPr="003D0FC9">
              <w:rPr>
                <w:rFonts w:asciiTheme="majorHAnsi" w:hAnsiTheme="majorHAnsi"/>
                <w:noProof/>
                <w:sz w:val="20"/>
                <w:szCs w:val="20"/>
              </w:rPr>
              <w:t>Recursos para Dispersão Química</w:t>
            </w:r>
          </w:p>
        </w:tc>
      </w:tr>
      <w:tr w:rsidR="007E0169" w:rsidRPr="003D0FC9" w14:paraId="5EFF28C9" w14:textId="77777777" w:rsidTr="002B5B58">
        <w:trPr>
          <w:cnfStyle w:val="000000100000" w:firstRow="0" w:lastRow="0" w:firstColumn="0" w:lastColumn="0" w:oddVBand="0" w:evenVBand="0" w:oddHBand="1" w:evenHBand="0" w:firstRowFirstColumn="0" w:firstRowLastColumn="0" w:lastRowFirstColumn="0" w:lastRowLastColumn="0"/>
          <w:trHeight w:val="567"/>
        </w:trPr>
        <w:tc>
          <w:tcPr>
            <w:tcW w:w="1609" w:type="pct"/>
          </w:tcPr>
          <w:p w14:paraId="5655256C" w14:textId="77777777" w:rsidR="007E0169" w:rsidRPr="003D0FC9" w:rsidRDefault="007E0169" w:rsidP="003D0FC9">
            <w:pPr>
              <w:tabs>
                <w:tab w:val="left" w:pos="5529"/>
              </w:tabs>
              <w:spacing w:before="0" w:line="240" w:lineRule="auto"/>
              <w:rPr>
                <w:rFonts w:asciiTheme="majorHAnsi" w:hAnsiTheme="majorHAnsi"/>
                <w:b/>
                <w:noProof/>
                <w:sz w:val="20"/>
                <w:szCs w:val="20"/>
              </w:rPr>
            </w:pPr>
            <w:r w:rsidRPr="003D0FC9">
              <w:rPr>
                <w:rFonts w:asciiTheme="majorHAnsi" w:hAnsiTheme="majorHAnsi"/>
                <w:b/>
                <w:noProof/>
                <w:sz w:val="20"/>
                <w:szCs w:val="20"/>
              </w:rPr>
              <w:t>OSRV</w:t>
            </w:r>
          </w:p>
        </w:tc>
        <w:tc>
          <w:tcPr>
            <w:tcW w:w="917" w:type="pct"/>
          </w:tcPr>
          <w:p w14:paraId="1B899533" w14:textId="77777777" w:rsidR="007E0169" w:rsidRPr="003D0FC9" w:rsidRDefault="007E0169" w:rsidP="003D0FC9">
            <w:pPr>
              <w:tabs>
                <w:tab w:val="left" w:pos="5529"/>
              </w:tabs>
              <w:spacing w:before="0" w:line="240" w:lineRule="auto"/>
              <w:jc w:val="center"/>
              <w:rPr>
                <w:rFonts w:asciiTheme="majorHAnsi" w:hAnsiTheme="majorHAnsi"/>
                <w:noProof/>
                <w:sz w:val="20"/>
                <w:szCs w:val="20"/>
              </w:rPr>
            </w:pPr>
            <w:r w:rsidRPr="003D0FC9">
              <w:rPr>
                <w:rFonts w:asciiTheme="majorHAnsi" w:hAnsiTheme="majorHAnsi"/>
                <w:noProof/>
                <w:sz w:val="20"/>
                <w:szCs w:val="20"/>
              </w:rPr>
              <w:t>Até 02</w:t>
            </w:r>
            <w:r w:rsidR="003158C8">
              <w:rPr>
                <w:rFonts w:asciiTheme="majorHAnsi" w:hAnsiTheme="majorHAnsi"/>
                <w:noProof/>
                <w:sz w:val="20"/>
                <w:szCs w:val="20"/>
              </w:rPr>
              <w:t xml:space="preserve"> </w:t>
            </w:r>
            <w:r w:rsidRPr="003D0FC9">
              <w:rPr>
                <w:rFonts w:asciiTheme="majorHAnsi" w:hAnsiTheme="majorHAnsi"/>
                <w:noProof/>
                <w:sz w:val="20"/>
                <w:szCs w:val="20"/>
              </w:rPr>
              <w:t>h</w:t>
            </w:r>
            <w:r w:rsidR="003158C8">
              <w:rPr>
                <w:rFonts w:asciiTheme="majorHAnsi" w:hAnsiTheme="majorHAnsi"/>
                <w:noProof/>
                <w:sz w:val="20"/>
                <w:szCs w:val="20"/>
              </w:rPr>
              <w:t>s</w:t>
            </w:r>
            <w:r w:rsidRPr="003D0FC9">
              <w:rPr>
                <w:rFonts w:asciiTheme="majorHAnsi" w:hAnsiTheme="majorHAnsi"/>
                <w:noProof/>
                <w:sz w:val="20"/>
                <w:szCs w:val="20"/>
              </w:rPr>
              <w:t xml:space="preserve"> da locação</w:t>
            </w:r>
          </w:p>
        </w:tc>
        <w:tc>
          <w:tcPr>
            <w:tcW w:w="897" w:type="pct"/>
            <w:shd w:val="clear" w:color="auto" w:fill="FF3300"/>
          </w:tcPr>
          <w:p w14:paraId="082D8DC3" w14:textId="1F700E51" w:rsidR="007E0169" w:rsidRPr="006751B7" w:rsidDel="00507734" w:rsidRDefault="007E0169" w:rsidP="006751B7">
            <w:pPr>
              <w:tabs>
                <w:tab w:val="left" w:pos="5529"/>
              </w:tabs>
              <w:spacing w:before="0" w:line="240" w:lineRule="auto"/>
              <w:jc w:val="center"/>
              <w:rPr>
                <w:rFonts w:asciiTheme="majorHAnsi" w:hAnsiTheme="majorHAnsi"/>
                <w:noProof/>
                <w:color w:val="FFFFFF" w:themeColor="background1"/>
                <w:sz w:val="20"/>
                <w:szCs w:val="20"/>
              </w:rPr>
            </w:pPr>
            <w:r w:rsidRPr="006751B7">
              <w:rPr>
                <w:rFonts w:asciiTheme="majorHAnsi" w:hAnsiTheme="majorHAnsi"/>
                <w:noProof/>
                <w:color w:val="FFFFFF" w:themeColor="background1"/>
                <w:sz w:val="20"/>
                <w:szCs w:val="20"/>
              </w:rPr>
              <w:t xml:space="preserve">02 </w:t>
            </w:r>
            <w:r w:rsidR="00AA0B19" w:rsidRPr="006751B7">
              <w:rPr>
                <w:rFonts w:asciiTheme="majorHAnsi" w:hAnsiTheme="majorHAnsi"/>
                <w:noProof/>
                <w:color w:val="FFFFFF" w:themeColor="background1"/>
                <w:sz w:val="20"/>
                <w:szCs w:val="20"/>
              </w:rPr>
              <w:t>/ 06 / 12 h</w:t>
            </w:r>
            <w:r w:rsidR="002B5B58">
              <w:rPr>
                <w:rFonts w:asciiTheme="majorHAnsi" w:hAnsiTheme="majorHAnsi"/>
                <w:noProof/>
                <w:color w:val="FFFFFF" w:themeColor="background1"/>
                <w:sz w:val="20"/>
                <w:szCs w:val="20"/>
              </w:rPr>
              <w:t>s</w:t>
            </w:r>
          </w:p>
        </w:tc>
        <w:tc>
          <w:tcPr>
            <w:tcW w:w="1577" w:type="pct"/>
          </w:tcPr>
          <w:p w14:paraId="56A42936" w14:textId="77777777" w:rsidR="007E0169" w:rsidRPr="003D0FC9" w:rsidRDefault="007E0169" w:rsidP="003D0FC9">
            <w:pPr>
              <w:tabs>
                <w:tab w:val="left" w:pos="5529"/>
              </w:tabs>
              <w:spacing w:before="0" w:line="240" w:lineRule="auto"/>
              <w:jc w:val="left"/>
              <w:rPr>
                <w:rFonts w:asciiTheme="majorHAnsi" w:hAnsiTheme="majorHAnsi"/>
                <w:noProof/>
                <w:sz w:val="20"/>
                <w:szCs w:val="20"/>
              </w:rPr>
            </w:pPr>
            <w:r w:rsidRPr="003D0FC9">
              <w:rPr>
                <w:rFonts w:asciiTheme="majorHAnsi" w:hAnsiTheme="majorHAnsi"/>
                <w:noProof/>
                <w:sz w:val="20"/>
                <w:szCs w:val="20"/>
              </w:rPr>
              <w:t>Braços de aplicação de dispersante</w:t>
            </w:r>
          </w:p>
          <w:p w14:paraId="72CDDF5F" w14:textId="6DB5EB85" w:rsidR="007E0169" w:rsidRPr="003D0FC9" w:rsidRDefault="007E0169" w:rsidP="001C6D6D">
            <w:pPr>
              <w:tabs>
                <w:tab w:val="left" w:pos="5529"/>
              </w:tabs>
              <w:spacing w:before="0" w:line="240" w:lineRule="auto"/>
              <w:jc w:val="left"/>
              <w:rPr>
                <w:rFonts w:asciiTheme="majorHAnsi" w:eastAsia="Times New Roman" w:hAnsiTheme="majorHAnsi"/>
                <w:noProof/>
                <w:sz w:val="20"/>
                <w:szCs w:val="20"/>
                <w:lang w:eastAsia="en-US"/>
              </w:rPr>
            </w:pPr>
            <w:r w:rsidRPr="004B2C3C">
              <w:rPr>
                <w:rFonts w:asciiTheme="majorHAnsi" w:hAnsiTheme="majorHAnsi"/>
                <w:noProof/>
                <w:sz w:val="20"/>
                <w:szCs w:val="20"/>
                <w:highlight w:val="darkGray"/>
              </w:rPr>
              <w:t>0</w:t>
            </w:r>
            <w:r w:rsidR="006A601E" w:rsidRPr="004B2C3C">
              <w:rPr>
                <w:rFonts w:asciiTheme="majorHAnsi" w:hAnsiTheme="majorHAnsi"/>
                <w:noProof/>
                <w:sz w:val="20"/>
                <w:szCs w:val="20"/>
                <w:highlight w:val="darkGray"/>
              </w:rPr>
              <w:t>6</w:t>
            </w:r>
            <w:r w:rsidRPr="003D0FC9">
              <w:rPr>
                <w:rFonts w:asciiTheme="majorHAnsi" w:hAnsiTheme="majorHAnsi"/>
                <w:noProof/>
                <w:sz w:val="20"/>
                <w:szCs w:val="20"/>
              </w:rPr>
              <w:t xml:space="preserve"> m</w:t>
            </w:r>
            <w:r w:rsidRPr="003D0FC9">
              <w:rPr>
                <w:rFonts w:asciiTheme="majorHAnsi" w:hAnsiTheme="majorHAnsi"/>
                <w:noProof/>
                <w:sz w:val="20"/>
                <w:szCs w:val="20"/>
                <w:vertAlign w:val="superscript"/>
              </w:rPr>
              <w:t>3</w:t>
            </w:r>
            <w:r w:rsidRPr="003D0FC9">
              <w:rPr>
                <w:rFonts w:asciiTheme="majorHAnsi" w:hAnsiTheme="majorHAnsi"/>
                <w:noProof/>
                <w:sz w:val="20"/>
                <w:szCs w:val="20"/>
              </w:rPr>
              <w:t xml:space="preserve"> COREXIT 9500</w:t>
            </w:r>
          </w:p>
        </w:tc>
      </w:tr>
      <w:tr w:rsidR="000928BA" w:rsidRPr="003D0FC9" w14:paraId="004B29E9" w14:textId="77777777" w:rsidTr="000928BA">
        <w:trPr>
          <w:cnfStyle w:val="000000010000" w:firstRow="0" w:lastRow="0" w:firstColumn="0" w:lastColumn="0" w:oddVBand="0" w:evenVBand="0" w:oddHBand="0" w:evenHBand="1" w:firstRowFirstColumn="0" w:firstRowLastColumn="0" w:lastRowFirstColumn="0" w:lastRowLastColumn="0"/>
          <w:trHeight w:val="244"/>
        </w:trPr>
        <w:tc>
          <w:tcPr>
            <w:tcW w:w="1609" w:type="pct"/>
            <w:vMerge w:val="restart"/>
          </w:tcPr>
          <w:p w14:paraId="743EA731" w14:textId="77777777" w:rsidR="000928BA" w:rsidRPr="004B2C3C" w:rsidRDefault="000928BA" w:rsidP="000928BA">
            <w:pPr>
              <w:tabs>
                <w:tab w:val="left" w:pos="5529"/>
              </w:tabs>
              <w:spacing w:before="0" w:line="240" w:lineRule="auto"/>
              <w:rPr>
                <w:rFonts w:asciiTheme="majorHAnsi" w:hAnsiTheme="majorHAnsi"/>
                <w:b/>
                <w:i/>
                <w:noProof/>
                <w:sz w:val="20"/>
                <w:szCs w:val="20"/>
                <w:highlight w:val="darkGray"/>
              </w:rPr>
            </w:pPr>
            <w:r w:rsidRPr="004B2C3C">
              <w:rPr>
                <w:rFonts w:asciiTheme="majorHAnsi" w:hAnsiTheme="majorHAnsi"/>
                <w:b/>
                <w:noProof/>
                <w:sz w:val="20"/>
                <w:szCs w:val="20"/>
                <w:highlight w:val="darkGray"/>
              </w:rPr>
              <w:t>PSV 01</w:t>
            </w:r>
          </w:p>
        </w:tc>
        <w:tc>
          <w:tcPr>
            <w:tcW w:w="917" w:type="pct"/>
          </w:tcPr>
          <w:p w14:paraId="22A0E58F" w14:textId="0AE8FA29" w:rsidR="000928BA" w:rsidRPr="004B2C3C" w:rsidRDefault="000928BA" w:rsidP="000928BA">
            <w:pPr>
              <w:tabs>
                <w:tab w:val="left" w:pos="5529"/>
              </w:tabs>
              <w:spacing w:before="0" w:line="240" w:lineRule="auto"/>
              <w:jc w:val="center"/>
              <w:rPr>
                <w:rFonts w:asciiTheme="majorHAnsi" w:hAnsiTheme="majorHAnsi"/>
                <w:noProof/>
                <w:sz w:val="20"/>
                <w:szCs w:val="20"/>
                <w:highlight w:val="darkGray"/>
              </w:rPr>
            </w:pPr>
            <w:r w:rsidRPr="004B2C3C">
              <w:rPr>
                <w:rFonts w:asciiTheme="majorHAnsi" w:hAnsiTheme="majorHAnsi"/>
                <w:noProof/>
                <w:sz w:val="20"/>
                <w:szCs w:val="20"/>
                <w:highlight w:val="darkGray"/>
              </w:rPr>
              <w:t>Até 2 h</w:t>
            </w:r>
            <w:r w:rsidR="002B5B58" w:rsidRPr="004B2C3C">
              <w:rPr>
                <w:rFonts w:asciiTheme="majorHAnsi" w:hAnsiTheme="majorHAnsi"/>
                <w:noProof/>
                <w:sz w:val="20"/>
                <w:szCs w:val="20"/>
                <w:highlight w:val="darkGray"/>
              </w:rPr>
              <w:t>s</w:t>
            </w:r>
            <w:r w:rsidRPr="004B2C3C">
              <w:rPr>
                <w:rFonts w:asciiTheme="majorHAnsi" w:hAnsiTheme="majorHAnsi"/>
                <w:noProof/>
                <w:sz w:val="20"/>
                <w:szCs w:val="20"/>
                <w:highlight w:val="darkGray"/>
              </w:rPr>
              <w:t xml:space="preserve"> da locação</w:t>
            </w:r>
            <w:r w:rsidR="002B5B58" w:rsidRPr="004B2C3C">
              <w:rPr>
                <w:rFonts w:asciiTheme="majorHAnsi" w:hAnsiTheme="majorHAnsi"/>
                <w:noProof/>
                <w:sz w:val="20"/>
                <w:szCs w:val="20"/>
                <w:highlight w:val="darkGray"/>
              </w:rPr>
              <w:t xml:space="preserve"> </w:t>
            </w:r>
            <w:r w:rsidR="002B5B58" w:rsidRPr="004B2C3C">
              <w:rPr>
                <w:rFonts w:asciiTheme="majorHAnsi" w:hAnsiTheme="majorHAnsi"/>
                <w:noProof/>
                <w:sz w:val="20"/>
                <w:szCs w:val="20"/>
                <w:highlight w:val="darkGray"/>
                <w:vertAlign w:val="superscript"/>
              </w:rPr>
              <w:t>(*1)</w:t>
            </w:r>
          </w:p>
        </w:tc>
        <w:tc>
          <w:tcPr>
            <w:tcW w:w="897" w:type="pct"/>
            <w:shd w:val="clear" w:color="auto" w:fill="FF3300"/>
          </w:tcPr>
          <w:p w14:paraId="11936203" w14:textId="28E1FD3D" w:rsidR="000928BA" w:rsidRPr="004B2C3C" w:rsidRDefault="000928BA" w:rsidP="000928BA">
            <w:pPr>
              <w:tabs>
                <w:tab w:val="left" w:pos="5529"/>
              </w:tabs>
              <w:spacing w:before="0" w:line="240" w:lineRule="auto"/>
              <w:jc w:val="center"/>
              <w:rPr>
                <w:rFonts w:asciiTheme="majorHAnsi" w:hAnsiTheme="majorHAnsi"/>
                <w:noProof/>
                <w:color w:val="FFFFFF" w:themeColor="background1"/>
                <w:sz w:val="20"/>
                <w:szCs w:val="20"/>
                <w:highlight w:val="darkGray"/>
              </w:rPr>
            </w:pPr>
            <w:r w:rsidRPr="004B2C3C">
              <w:rPr>
                <w:rFonts w:asciiTheme="majorHAnsi" w:hAnsiTheme="majorHAnsi"/>
                <w:noProof/>
                <w:color w:val="FFFFFF" w:themeColor="background1"/>
                <w:sz w:val="20"/>
                <w:szCs w:val="20"/>
                <w:highlight w:val="darkGray"/>
              </w:rPr>
              <w:t>02 / 06 / 12 h</w:t>
            </w:r>
            <w:r w:rsidR="002B5B58" w:rsidRPr="004B2C3C">
              <w:rPr>
                <w:rFonts w:asciiTheme="majorHAnsi" w:hAnsiTheme="majorHAnsi"/>
                <w:noProof/>
                <w:color w:val="FFFFFF" w:themeColor="background1"/>
                <w:sz w:val="20"/>
                <w:szCs w:val="20"/>
                <w:highlight w:val="darkGray"/>
              </w:rPr>
              <w:t>s</w:t>
            </w:r>
          </w:p>
        </w:tc>
        <w:tc>
          <w:tcPr>
            <w:tcW w:w="1577" w:type="pct"/>
            <w:vMerge w:val="restart"/>
          </w:tcPr>
          <w:p w14:paraId="5E23D65E" w14:textId="77777777" w:rsidR="000928BA" w:rsidRPr="004B2C3C" w:rsidRDefault="000928BA" w:rsidP="000928BA">
            <w:pPr>
              <w:tabs>
                <w:tab w:val="left" w:pos="5529"/>
              </w:tabs>
              <w:spacing w:before="0" w:line="240" w:lineRule="auto"/>
              <w:jc w:val="left"/>
              <w:rPr>
                <w:rFonts w:asciiTheme="majorHAnsi" w:hAnsiTheme="majorHAnsi"/>
                <w:noProof/>
                <w:sz w:val="20"/>
                <w:szCs w:val="20"/>
                <w:highlight w:val="darkGray"/>
              </w:rPr>
            </w:pPr>
            <w:r w:rsidRPr="004B2C3C">
              <w:rPr>
                <w:rFonts w:asciiTheme="majorHAnsi" w:hAnsiTheme="majorHAnsi"/>
                <w:noProof/>
                <w:sz w:val="20"/>
                <w:szCs w:val="20"/>
                <w:highlight w:val="darkGray"/>
              </w:rPr>
              <w:t>Braços de aplicação de dispersante</w:t>
            </w:r>
          </w:p>
          <w:p w14:paraId="1FE3C6B7" w14:textId="1DC8DB35" w:rsidR="000928BA" w:rsidRPr="004B2C3C" w:rsidRDefault="000928BA" w:rsidP="000928BA">
            <w:pPr>
              <w:tabs>
                <w:tab w:val="left" w:pos="5529"/>
              </w:tabs>
              <w:spacing w:before="0" w:line="240" w:lineRule="auto"/>
              <w:jc w:val="left"/>
              <w:rPr>
                <w:rFonts w:asciiTheme="majorHAnsi" w:hAnsiTheme="majorHAnsi"/>
                <w:noProof/>
                <w:sz w:val="20"/>
                <w:szCs w:val="20"/>
                <w:highlight w:val="darkGray"/>
              </w:rPr>
            </w:pPr>
            <w:r w:rsidRPr="004B2C3C">
              <w:rPr>
                <w:rFonts w:asciiTheme="majorHAnsi" w:hAnsiTheme="majorHAnsi"/>
                <w:noProof/>
                <w:sz w:val="20"/>
                <w:szCs w:val="20"/>
                <w:highlight w:val="darkGray"/>
              </w:rPr>
              <w:t>0</w:t>
            </w:r>
            <w:r w:rsidR="006A601E" w:rsidRPr="004B2C3C">
              <w:rPr>
                <w:rFonts w:asciiTheme="majorHAnsi" w:hAnsiTheme="majorHAnsi"/>
                <w:noProof/>
                <w:sz w:val="20"/>
                <w:szCs w:val="20"/>
                <w:highlight w:val="darkGray"/>
              </w:rPr>
              <w:t>6</w:t>
            </w:r>
            <w:r w:rsidRPr="004B2C3C">
              <w:rPr>
                <w:rFonts w:asciiTheme="majorHAnsi" w:hAnsiTheme="majorHAnsi"/>
                <w:noProof/>
                <w:sz w:val="20"/>
                <w:szCs w:val="20"/>
                <w:highlight w:val="darkGray"/>
              </w:rPr>
              <w:t xml:space="preserve"> m</w:t>
            </w:r>
            <w:r w:rsidRPr="004B2C3C">
              <w:rPr>
                <w:rFonts w:asciiTheme="majorHAnsi" w:hAnsiTheme="majorHAnsi"/>
                <w:noProof/>
                <w:sz w:val="20"/>
                <w:szCs w:val="20"/>
                <w:highlight w:val="darkGray"/>
                <w:vertAlign w:val="superscript"/>
              </w:rPr>
              <w:t>3</w:t>
            </w:r>
            <w:r w:rsidRPr="004B2C3C">
              <w:rPr>
                <w:rFonts w:asciiTheme="majorHAnsi" w:hAnsiTheme="majorHAnsi"/>
                <w:noProof/>
                <w:sz w:val="20"/>
                <w:szCs w:val="20"/>
                <w:highlight w:val="darkGray"/>
              </w:rPr>
              <w:t xml:space="preserve"> COREXIT 9500</w:t>
            </w:r>
          </w:p>
        </w:tc>
      </w:tr>
      <w:tr w:rsidR="000928BA" w:rsidRPr="003D0FC9" w14:paraId="46B37BDF" w14:textId="77777777" w:rsidTr="000928BA">
        <w:trPr>
          <w:cnfStyle w:val="000000100000" w:firstRow="0" w:lastRow="0" w:firstColumn="0" w:lastColumn="0" w:oddVBand="0" w:evenVBand="0" w:oddHBand="1" w:evenHBand="0" w:firstRowFirstColumn="0" w:firstRowLastColumn="0" w:lastRowFirstColumn="0" w:lastRowLastColumn="0"/>
          <w:trHeight w:val="243"/>
        </w:trPr>
        <w:tc>
          <w:tcPr>
            <w:tcW w:w="1609" w:type="pct"/>
            <w:vMerge/>
          </w:tcPr>
          <w:p w14:paraId="58F94189" w14:textId="77777777" w:rsidR="000928BA" w:rsidRPr="003D0FC9" w:rsidRDefault="000928BA" w:rsidP="000928BA">
            <w:pPr>
              <w:tabs>
                <w:tab w:val="left" w:pos="5529"/>
              </w:tabs>
              <w:spacing w:before="0" w:line="240" w:lineRule="auto"/>
              <w:rPr>
                <w:rFonts w:asciiTheme="majorHAnsi" w:hAnsiTheme="majorHAnsi"/>
                <w:b/>
                <w:noProof/>
                <w:sz w:val="20"/>
                <w:szCs w:val="20"/>
              </w:rPr>
            </w:pPr>
          </w:p>
        </w:tc>
        <w:tc>
          <w:tcPr>
            <w:tcW w:w="917" w:type="pct"/>
          </w:tcPr>
          <w:p w14:paraId="6D541310" w14:textId="09CBC7E4" w:rsidR="000928BA" w:rsidRPr="004B2C3C" w:rsidRDefault="000928BA" w:rsidP="000928BA">
            <w:pPr>
              <w:tabs>
                <w:tab w:val="left" w:pos="5529"/>
              </w:tabs>
              <w:spacing w:before="0" w:line="240" w:lineRule="auto"/>
              <w:jc w:val="center"/>
              <w:rPr>
                <w:rFonts w:asciiTheme="majorHAnsi" w:hAnsiTheme="majorHAnsi"/>
                <w:noProof/>
                <w:sz w:val="20"/>
                <w:szCs w:val="20"/>
                <w:highlight w:val="darkGray"/>
              </w:rPr>
            </w:pPr>
            <w:r w:rsidRPr="004B2C3C">
              <w:rPr>
                <w:rFonts w:asciiTheme="majorHAnsi" w:hAnsiTheme="majorHAnsi"/>
                <w:noProof/>
                <w:sz w:val="20"/>
                <w:szCs w:val="20"/>
                <w:highlight w:val="darkGray"/>
              </w:rPr>
              <w:t>Até 6 h</w:t>
            </w:r>
            <w:r w:rsidR="002B5B58" w:rsidRPr="004B2C3C">
              <w:rPr>
                <w:rFonts w:asciiTheme="majorHAnsi" w:hAnsiTheme="majorHAnsi"/>
                <w:noProof/>
                <w:sz w:val="20"/>
                <w:szCs w:val="20"/>
                <w:highlight w:val="darkGray"/>
              </w:rPr>
              <w:t>s</w:t>
            </w:r>
            <w:r w:rsidRPr="004B2C3C">
              <w:rPr>
                <w:rFonts w:asciiTheme="majorHAnsi" w:hAnsiTheme="majorHAnsi"/>
                <w:noProof/>
                <w:sz w:val="20"/>
                <w:szCs w:val="20"/>
                <w:highlight w:val="darkGray"/>
              </w:rPr>
              <w:t xml:space="preserve"> da locação</w:t>
            </w:r>
            <w:r w:rsidR="002B5B58" w:rsidRPr="004B2C3C">
              <w:rPr>
                <w:rFonts w:asciiTheme="majorHAnsi" w:hAnsiTheme="majorHAnsi"/>
                <w:noProof/>
                <w:sz w:val="20"/>
                <w:szCs w:val="20"/>
                <w:highlight w:val="darkGray"/>
              </w:rPr>
              <w:t xml:space="preserve"> </w:t>
            </w:r>
            <w:r w:rsidR="002B5B58" w:rsidRPr="004B2C3C">
              <w:rPr>
                <w:rFonts w:asciiTheme="majorHAnsi" w:hAnsiTheme="majorHAnsi"/>
                <w:noProof/>
                <w:sz w:val="20"/>
                <w:szCs w:val="20"/>
                <w:highlight w:val="darkGray"/>
                <w:vertAlign w:val="superscript"/>
              </w:rPr>
              <w:t>(*2)</w:t>
            </w:r>
          </w:p>
        </w:tc>
        <w:tc>
          <w:tcPr>
            <w:tcW w:w="897" w:type="pct"/>
            <w:shd w:val="clear" w:color="auto" w:fill="FF3300"/>
          </w:tcPr>
          <w:p w14:paraId="4D6C350A" w14:textId="00BCCF67" w:rsidR="000928BA" w:rsidRPr="004B2C3C" w:rsidRDefault="000928BA" w:rsidP="000928BA">
            <w:pPr>
              <w:tabs>
                <w:tab w:val="left" w:pos="5529"/>
              </w:tabs>
              <w:spacing w:before="0" w:line="240" w:lineRule="auto"/>
              <w:jc w:val="center"/>
              <w:rPr>
                <w:rFonts w:asciiTheme="majorHAnsi" w:hAnsiTheme="majorHAnsi"/>
                <w:noProof/>
                <w:sz w:val="20"/>
                <w:szCs w:val="20"/>
                <w:highlight w:val="darkGray"/>
              </w:rPr>
            </w:pPr>
            <w:r w:rsidRPr="004B2C3C">
              <w:rPr>
                <w:rFonts w:asciiTheme="majorHAnsi" w:hAnsiTheme="majorHAnsi"/>
                <w:noProof/>
                <w:color w:val="FFFFFF" w:themeColor="background1"/>
                <w:sz w:val="20"/>
                <w:szCs w:val="20"/>
                <w:highlight w:val="darkGray"/>
              </w:rPr>
              <w:t>06 / 12 h</w:t>
            </w:r>
            <w:r w:rsidR="002B5B58" w:rsidRPr="004B2C3C">
              <w:rPr>
                <w:rFonts w:asciiTheme="majorHAnsi" w:hAnsiTheme="majorHAnsi"/>
                <w:noProof/>
                <w:color w:val="FFFFFF" w:themeColor="background1"/>
                <w:sz w:val="20"/>
                <w:szCs w:val="20"/>
                <w:highlight w:val="darkGray"/>
              </w:rPr>
              <w:t>s</w:t>
            </w:r>
          </w:p>
        </w:tc>
        <w:tc>
          <w:tcPr>
            <w:tcW w:w="1577" w:type="pct"/>
            <w:vMerge/>
          </w:tcPr>
          <w:p w14:paraId="4B3B8D95" w14:textId="77777777" w:rsidR="000928BA" w:rsidRPr="003D0FC9" w:rsidRDefault="000928BA" w:rsidP="000928BA">
            <w:pPr>
              <w:tabs>
                <w:tab w:val="left" w:pos="5529"/>
              </w:tabs>
              <w:spacing w:before="0" w:line="240" w:lineRule="auto"/>
              <w:jc w:val="left"/>
              <w:rPr>
                <w:rFonts w:asciiTheme="majorHAnsi" w:hAnsiTheme="majorHAnsi"/>
                <w:noProof/>
                <w:sz w:val="20"/>
                <w:szCs w:val="20"/>
              </w:rPr>
            </w:pPr>
          </w:p>
        </w:tc>
      </w:tr>
      <w:tr w:rsidR="000928BA" w:rsidRPr="003D0FC9" w14:paraId="3BD1F721" w14:textId="77777777" w:rsidTr="000928BA">
        <w:trPr>
          <w:cnfStyle w:val="000000010000" w:firstRow="0" w:lastRow="0" w:firstColumn="0" w:lastColumn="0" w:oddVBand="0" w:evenVBand="0" w:oddHBand="0" w:evenHBand="1" w:firstRowFirstColumn="0" w:firstRowLastColumn="0" w:lastRowFirstColumn="0" w:lastRowLastColumn="0"/>
          <w:trHeight w:val="272"/>
        </w:trPr>
        <w:tc>
          <w:tcPr>
            <w:tcW w:w="1609" w:type="pct"/>
          </w:tcPr>
          <w:p w14:paraId="3085AE2D" w14:textId="77777777" w:rsidR="000928BA" w:rsidRPr="003D0FC9" w:rsidRDefault="000928BA" w:rsidP="000928BA">
            <w:pPr>
              <w:tabs>
                <w:tab w:val="left" w:pos="5529"/>
              </w:tabs>
              <w:spacing w:before="0" w:line="240" w:lineRule="auto"/>
              <w:rPr>
                <w:rFonts w:asciiTheme="majorHAnsi" w:hAnsiTheme="majorHAnsi"/>
                <w:b/>
                <w:i/>
                <w:noProof/>
                <w:sz w:val="20"/>
                <w:szCs w:val="20"/>
              </w:rPr>
            </w:pPr>
            <w:r w:rsidRPr="004B2C3C">
              <w:rPr>
                <w:rFonts w:asciiTheme="majorHAnsi" w:hAnsiTheme="majorHAnsi"/>
                <w:b/>
                <w:noProof/>
                <w:sz w:val="20"/>
                <w:szCs w:val="20"/>
                <w:highlight w:val="darkGray"/>
              </w:rPr>
              <w:t>PSV 02</w:t>
            </w:r>
          </w:p>
        </w:tc>
        <w:tc>
          <w:tcPr>
            <w:tcW w:w="917" w:type="pct"/>
          </w:tcPr>
          <w:p w14:paraId="1377B83C" w14:textId="59E40382" w:rsidR="000928BA" w:rsidRPr="003D0FC9" w:rsidRDefault="000928BA" w:rsidP="000928BA">
            <w:pPr>
              <w:tabs>
                <w:tab w:val="left" w:pos="5529"/>
              </w:tabs>
              <w:spacing w:before="0" w:line="240" w:lineRule="auto"/>
              <w:jc w:val="center"/>
              <w:rPr>
                <w:rFonts w:asciiTheme="majorHAnsi" w:hAnsiTheme="majorHAnsi"/>
                <w:noProof/>
                <w:sz w:val="20"/>
                <w:szCs w:val="20"/>
              </w:rPr>
            </w:pPr>
            <w:r w:rsidRPr="003D0FC9">
              <w:rPr>
                <w:rFonts w:asciiTheme="majorHAnsi" w:hAnsiTheme="majorHAnsi"/>
                <w:noProof/>
                <w:sz w:val="20"/>
                <w:szCs w:val="20"/>
              </w:rPr>
              <w:t xml:space="preserve">Até </w:t>
            </w:r>
            <w:r>
              <w:rPr>
                <w:rFonts w:asciiTheme="majorHAnsi" w:hAnsiTheme="majorHAnsi"/>
                <w:noProof/>
                <w:sz w:val="20"/>
                <w:szCs w:val="20"/>
              </w:rPr>
              <w:t xml:space="preserve">36 </w:t>
            </w:r>
            <w:r w:rsidRPr="003D0FC9">
              <w:rPr>
                <w:rFonts w:asciiTheme="majorHAnsi" w:hAnsiTheme="majorHAnsi"/>
                <w:noProof/>
                <w:sz w:val="20"/>
                <w:szCs w:val="20"/>
              </w:rPr>
              <w:t>h</w:t>
            </w:r>
            <w:r>
              <w:rPr>
                <w:rFonts w:asciiTheme="majorHAnsi" w:hAnsiTheme="majorHAnsi"/>
                <w:noProof/>
                <w:sz w:val="20"/>
                <w:szCs w:val="20"/>
              </w:rPr>
              <w:t>s</w:t>
            </w:r>
            <w:r w:rsidRPr="003D0FC9">
              <w:rPr>
                <w:rFonts w:asciiTheme="majorHAnsi" w:hAnsiTheme="majorHAnsi"/>
                <w:noProof/>
                <w:sz w:val="20"/>
                <w:szCs w:val="20"/>
              </w:rPr>
              <w:t xml:space="preserve"> da locação</w:t>
            </w:r>
          </w:p>
        </w:tc>
        <w:tc>
          <w:tcPr>
            <w:tcW w:w="897" w:type="pct"/>
            <w:shd w:val="clear" w:color="auto" w:fill="FFC000"/>
          </w:tcPr>
          <w:p w14:paraId="72E39F00" w14:textId="666D4568" w:rsidR="000928BA" w:rsidRPr="003D0FC9" w:rsidRDefault="000928BA" w:rsidP="000928BA">
            <w:pPr>
              <w:tabs>
                <w:tab w:val="left" w:pos="5529"/>
              </w:tabs>
              <w:spacing w:before="0" w:line="240" w:lineRule="auto"/>
              <w:jc w:val="center"/>
              <w:rPr>
                <w:rFonts w:asciiTheme="majorHAnsi" w:hAnsiTheme="majorHAnsi"/>
                <w:noProof/>
                <w:sz w:val="20"/>
                <w:szCs w:val="20"/>
              </w:rPr>
            </w:pPr>
            <w:r>
              <w:rPr>
                <w:rFonts w:asciiTheme="majorHAnsi" w:hAnsiTheme="majorHAnsi"/>
                <w:noProof/>
                <w:sz w:val="20"/>
                <w:szCs w:val="20"/>
              </w:rPr>
              <w:t>36</w:t>
            </w:r>
            <w:r w:rsidRPr="003D0FC9">
              <w:rPr>
                <w:rFonts w:asciiTheme="majorHAnsi" w:hAnsiTheme="majorHAnsi"/>
                <w:noProof/>
                <w:sz w:val="20"/>
                <w:szCs w:val="20"/>
              </w:rPr>
              <w:t xml:space="preserve"> h</w:t>
            </w:r>
            <w:r w:rsidR="002B5B58">
              <w:rPr>
                <w:rFonts w:asciiTheme="majorHAnsi" w:hAnsiTheme="majorHAnsi"/>
                <w:noProof/>
                <w:sz w:val="20"/>
                <w:szCs w:val="20"/>
              </w:rPr>
              <w:t>s</w:t>
            </w:r>
          </w:p>
        </w:tc>
        <w:tc>
          <w:tcPr>
            <w:tcW w:w="1577" w:type="pct"/>
          </w:tcPr>
          <w:p w14:paraId="61511485" w14:textId="77777777" w:rsidR="000928BA" w:rsidRPr="003D0FC9" w:rsidRDefault="000928BA" w:rsidP="000928BA">
            <w:pPr>
              <w:tabs>
                <w:tab w:val="left" w:pos="5529"/>
              </w:tabs>
              <w:spacing w:before="0" w:line="240" w:lineRule="auto"/>
              <w:jc w:val="left"/>
              <w:rPr>
                <w:rFonts w:asciiTheme="majorHAnsi" w:hAnsiTheme="majorHAnsi"/>
                <w:noProof/>
                <w:sz w:val="20"/>
                <w:szCs w:val="20"/>
              </w:rPr>
            </w:pPr>
            <w:r w:rsidRPr="003D0FC9">
              <w:rPr>
                <w:rFonts w:asciiTheme="majorHAnsi" w:hAnsiTheme="majorHAnsi"/>
                <w:noProof/>
                <w:sz w:val="20"/>
                <w:szCs w:val="20"/>
              </w:rPr>
              <w:t>Braços de aplicação de dispersante</w:t>
            </w:r>
          </w:p>
          <w:p w14:paraId="2157AE99" w14:textId="16713B6F" w:rsidR="000928BA" w:rsidRPr="003D0FC9" w:rsidRDefault="000928BA" w:rsidP="000928BA">
            <w:pPr>
              <w:tabs>
                <w:tab w:val="left" w:pos="5529"/>
              </w:tabs>
              <w:spacing w:before="0" w:line="240" w:lineRule="auto"/>
              <w:jc w:val="left"/>
              <w:rPr>
                <w:rFonts w:asciiTheme="majorHAnsi" w:hAnsiTheme="majorHAnsi"/>
                <w:b/>
                <w:noProof/>
                <w:sz w:val="20"/>
                <w:szCs w:val="20"/>
              </w:rPr>
            </w:pPr>
            <w:r w:rsidRPr="004B2C3C">
              <w:rPr>
                <w:rFonts w:asciiTheme="majorHAnsi" w:hAnsiTheme="majorHAnsi"/>
                <w:noProof/>
                <w:sz w:val="20"/>
                <w:szCs w:val="20"/>
                <w:highlight w:val="darkGray"/>
              </w:rPr>
              <w:t>0</w:t>
            </w:r>
            <w:r w:rsidR="006A601E" w:rsidRPr="004B2C3C">
              <w:rPr>
                <w:rFonts w:asciiTheme="majorHAnsi" w:hAnsiTheme="majorHAnsi"/>
                <w:noProof/>
                <w:sz w:val="20"/>
                <w:szCs w:val="20"/>
                <w:highlight w:val="darkGray"/>
              </w:rPr>
              <w:t>6</w:t>
            </w:r>
            <w:r w:rsidRPr="002E3EF1">
              <w:rPr>
                <w:rFonts w:asciiTheme="majorHAnsi" w:hAnsiTheme="majorHAnsi"/>
                <w:noProof/>
                <w:sz w:val="20"/>
                <w:szCs w:val="20"/>
              </w:rPr>
              <w:t xml:space="preserve"> m</w:t>
            </w:r>
            <w:r w:rsidRPr="002E3EF1">
              <w:rPr>
                <w:rFonts w:asciiTheme="majorHAnsi" w:hAnsiTheme="majorHAnsi"/>
                <w:noProof/>
                <w:sz w:val="20"/>
                <w:szCs w:val="20"/>
                <w:vertAlign w:val="superscript"/>
              </w:rPr>
              <w:t>3</w:t>
            </w:r>
            <w:r w:rsidRPr="003D0FC9">
              <w:rPr>
                <w:rFonts w:asciiTheme="majorHAnsi" w:hAnsiTheme="majorHAnsi"/>
                <w:noProof/>
                <w:sz w:val="20"/>
                <w:szCs w:val="20"/>
              </w:rPr>
              <w:t xml:space="preserve"> COREXIT 9500</w:t>
            </w:r>
          </w:p>
        </w:tc>
      </w:tr>
      <w:tr w:rsidR="002B5B58" w:rsidRPr="003D0FC9" w14:paraId="3AC6610D" w14:textId="77777777" w:rsidTr="003158C8">
        <w:trPr>
          <w:cnfStyle w:val="000000100000" w:firstRow="0" w:lastRow="0" w:firstColumn="0" w:lastColumn="0" w:oddVBand="0" w:evenVBand="0" w:oddHBand="1" w:evenHBand="0" w:firstRowFirstColumn="0" w:firstRowLastColumn="0" w:lastRowFirstColumn="0" w:lastRowLastColumn="0"/>
          <w:trHeight w:val="272"/>
        </w:trPr>
        <w:tc>
          <w:tcPr>
            <w:tcW w:w="1609" w:type="pct"/>
          </w:tcPr>
          <w:p w14:paraId="2956F64E" w14:textId="263CD3EF" w:rsidR="002B5B58" w:rsidRPr="003D0FC9" w:rsidRDefault="002B5B58" w:rsidP="002B5B58">
            <w:pPr>
              <w:tabs>
                <w:tab w:val="left" w:pos="5529"/>
              </w:tabs>
              <w:spacing w:before="0" w:line="240" w:lineRule="auto"/>
              <w:rPr>
                <w:rFonts w:asciiTheme="majorHAnsi" w:hAnsiTheme="majorHAnsi"/>
                <w:b/>
                <w:noProof/>
                <w:sz w:val="20"/>
                <w:szCs w:val="20"/>
              </w:rPr>
            </w:pPr>
            <w:r w:rsidRPr="004B2C3C">
              <w:rPr>
                <w:rFonts w:asciiTheme="majorHAnsi" w:hAnsiTheme="majorHAnsi"/>
                <w:b/>
                <w:noProof/>
                <w:sz w:val="20"/>
                <w:szCs w:val="20"/>
                <w:highlight w:val="darkGray"/>
              </w:rPr>
              <w:t>PSV 03</w:t>
            </w:r>
          </w:p>
        </w:tc>
        <w:tc>
          <w:tcPr>
            <w:tcW w:w="917" w:type="pct"/>
          </w:tcPr>
          <w:p w14:paraId="0833CC4E" w14:textId="1EA04FA5" w:rsidR="002B5B58" w:rsidRPr="003D0FC9" w:rsidRDefault="002B5B58" w:rsidP="002B5B58">
            <w:pPr>
              <w:tabs>
                <w:tab w:val="left" w:pos="5529"/>
              </w:tabs>
              <w:spacing w:before="0" w:line="240" w:lineRule="auto"/>
              <w:jc w:val="center"/>
              <w:rPr>
                <w:rFonts w:asciiTheme="majorHAnsi" w:hAnsiTheme="majorHAnsi"/>
                <w:noProof/>
                <w:sz w:val="20"/>
                <w:szCs w:val="20"/>
              </w:rPr>
            </w:pPr>
            <w:r w:rsidRPr="003D0FC9">
              <w:rPr>
                <w:rFonts w:asciiTheme="majorHAnsi" w:hAnsiTheme="majorHAnsi"/>
                <w:noProof/>
                <w:sz w:val="20"/>
                <w:szCs w:val="20"/>
              </w:rPr>
              <w:t xml:space="preserve">Entre a locação e a Base de Apoio </w:t>
            </w:r>
            <w:r w:rsidRPr="002E3EF1">
              <w:rPr>
                <w:rFonts w:asciiTheme="majorHAnsi" w:hAnsiTheme="majorHAnsi"/>
                <w:noProof/>
                <w:sz w:val="20"/>
                <w:szCs w:val="20"/>
              </w:rPr>
              <w:t xml:space="preserve">Logistico </w:t>
            </w:r>
            <w:r w:rsidRPr="003D0FC9">
              <w:rPr>
                <w:rFonts w:asciiTheme="majorHAnsi" w:hAnsiTheme="majorHAnsi"/>
                <w:i/>
                <w:noProof/>
                <w:sz w:val="20"/>
                <w:szCs w:val="20"/>
              </w:rPr>
              <w:t>onshore</w:t>
            </w:r>
          </w:p>
        </w:tc>
        <w:tc>
          <w:tcPr>
            <w:tcW w:w="897" w:type="pct"/>
            <w:shd w:val="clear" w:color="auto" w:fill="92D050"/>
          </w:tcPr>
          <w:p w14:paraId="46318821" w14:textId="50755D8E" w:rsidR="002B5B58" w:rsidRPr="003D0FC9" w:rsidRDefault="002B5B58" w:rsidP="002B5B58">
            <w:pPr>
              <w:tabs>
                <w:tab w:val="left" w:pos="5529"/>
              </w:tabs>
              <w:spacing w:before="0" w:line="240" w:lineRule="auto"/>
              <w:jc w:val="center"/>
              <w:rPr>
                <w:rFonts w:asciiTheme="majorHAnsi" w:hAnsiTheme="majorHAnsi"/>
                <w:noProof/>
                <w:sz w:val="20"/>
                <w:szCs w:val="20"/>
              </w:rPr>
            </w:pPr>
            <w:r w:rsidRPr="003D0FC9">
              <w:rPr>
                <w:rFonts w:asciiTheme="majorHAnsi" w:hAnsiTheme="majorHAnsi"/>
                <w:noProof/>
                <w:sz w:val="20"/>
                <w:szCs w:val="20"/>
              </w:rPr>
              <w:t>60 hs</w:t>
            </w:r>
          </w:p>
        </w:tc>
        <w:tc>
          <w:tcPr>
            <w:tcW w:w="1577" w:type="pct"/>
          </w:tcPr>
          <w:p w14:paraId="259E6F71" w14:textId="77777777" w:rsidR="002B5B58" w:rsidRPr="003D0FC9" w:rsidRDefault="002B5B58" w:rsidP="002B5B58">
            <w:pPr>
              <w:tabs>
                <w:tab w:val="left" w:pos="5529"/>
              </w:tabs>
              <w:spacing w:before="0" w:line="240" w:lineRule="auto"/>
              <w:jc w:val="left"/>
              <w:rPr>
                <w:rFonts w:asciiTheme="majorHAnsi" w:hAnsiTheme="majorHAnsi"/>
                <w:noProof/>
                <w:sz w:val="20"/>
                <w:szCs w:val="20"/>
              </w:rPr>
            </w:pPr>
            <w:r w:rsidRPr="003D0FC9">
              <w:rPr>
                <w:rFonts w:asciiTheme="majorHAnsi" w:hAnsiTheme="majorHAnsi"/>
                <w:noProof/>
                <w:sz w:val="20"/>
                <w:szCs w:val="20"/>
              </w:rPr>
              <w:t>Braços de aplicação de dispersante</w:t>
            </w:r>
          </w:p>
          <w:p w14:paraId="754031E0" w14:textId="00019BBD" w:rsidR="002B5B58" w:rsidRPr="003D0FC9" w:rsidRDefault="002B5B58" w:rsidP="002B5B58">
            <w:pPr>
              <w:tabs>
                <w:tab w:val="left" w:pos="5529"/>
              </w:tabs>
              <w:spacing w:before="0" w:line="240" w:lineRule="auto"/>
              <w:jc w:val="left"/>
              <w:rPr>
                <w:rFonts w:asciiTheme="majorHAnsi" w:hAnsiTheme="majorHAnsi"/>
                <w:noProof/>
                <w:sz w:val="20"/>
                <w:szCs w:val="20"/>
              </w:rPr>
            </w:pPr>
            <w:r w:rsidRPr="004B2C3C">
              <w:rPr>
                <w:rFonts w:asciiTheme="majorHAnsi" w:hAnsiTheme="majorHAnsi"/>
                <w:noProof/>
                <w:sz w:val="20"/>
                <w:szCs w:val="20"/>
                <w:highlight w:val="darkGray"/>
              </w:rPr>
              <w:t>0</w:t>
            </w:r>
            <w:r w:rsidR="006A601E" w:rsidRPr="004B2C3C">
              <w:rPr>
                <w:rFonts w:asciiTheme="majorHAnsi" w:hAnsiTheme="majorHAnsi"/>
                <w:noProof/>
                <w:sz w:val="20"/>
                <w:szCs w:val="20"/>
                <w:highlight w:val="darkGray"/>
              </w:rPr>
              <w:t>6</w:t>
            </w:r>
            <w:r w:rsidRPr="002E3EF1">
              <w:rPr>
                <w:rFonts w:asciiTheme="majorHAnsi" w:hAnsiTheme="majorHAnsi"/>
                <w:noProof/>
                <w:sz w:val="20"/>
                <w:szCs w:val="20"/>
              </w:rPr>
              <w:t xml:space="preserve"> m</w:t>
            </w:r>
            <w:r w:rsidRPr="002E3EF1">
              <w:rPr>
                <w:rFonts w:asciiTheme="majorHAnsi" w:hAnsiTheme="majorHAnsi"/>
                <w:noProof/>
                <w:sz w:val="20"/>
                <w:szCs w:val="20"/>
                <w:vertAlign w:val="superscript"/>
              </w:rPr>
              <w:t>3</w:t>
            </w:r>
            <w:r w:rsidRPr="003D0FC9">
              <w:rPr>
                <w:rFonts w:asciiTheme="majorHAnsi" w:hAnsiTheme="majorHAnsi"/>
                <w:noProof/>
                <w:sz w:val="20"/>
                <w:szCs w:val="20"/>
              </w:rPr>
              <w:t xml:space="preserve"> COREXIT 9500</w:t>
            </w:r>
          </w:p>
        </w:tc>
      </w:tr>
      <w:tr w:rsidR="000928BA" w:rsidRPr="003D0FC9" w14:paraId="5F9EC417" w14:textId="77777777" w:rsidTr="003158C8">
        <w:trPr>
          <w:cnfStyle w:val="000000010000" w:firstRow="0" w:lastRow="0" w:firstColumn="0" w:lastColumn="0" w:oddVBand="0" w:evenVBand="0" w:oddHBand="0" w:evenHBand="1" w:firstRowFirstColumn="0" w:firstRowLastColumn="0" w:lastRowFirstColumn="0" w:lastRowLastColumn="0"/>
          <w:trHeight w:val="567"/>
        </w:trPr>
        <w:tc>
          <w:tcPr>
            <w:tcW w:w="1609" w:type="pct"/>
          </w:tcPr>
          <w:p w14:paraId="010274C6" w14:textId="77777777" w:rsidR="000928BA" w:rsidRPr="003D0FC9" w:rsidRDefault="000928BA" w:rsidP="000928BA">
            <w:pPr>
              <w:tabs>
                <w:tab w:val="left" w:pos="5529"/>
              </w:tabs>
              <w:spacing w:before="0" w:line="240" w:lineRule="auto"/>
              <w:rPr>
                <w:rFonts w:asciiTheme="majorHAnsi" w:hAnsiTheme="majorHAnsi"/>
                <w:noProof/>
                <w:sz w:val="20"/>
                <w:szCs w:val="20"/>
              </w:rPr>
            </w:pPr>
            <w:r w:rsidRPr="003D0FC9">
              <w:rPr>
                <w:rFonts w:asciiTheme="majorHAnsi" w:hAnsiTheme="majorHAnsi"/>
                <w:noProof/>
                <w:sz w:val="20"/>
                <w:szCs w:val="20"/>
              </w:rPr>
              <w:t xml:space="preserve">Base de Apoio </w:t>
            </w:r>
            <w:r w:rsidRPr="002E3EF1">
              <w:rPr>
                <w:rFonts w:asciiTheme="majorHAnsi" w:hAnsiTheme="majorHAnsi"/>
                <w:noProof/>
                <w:sz w:val="20"/>
                <w:szCs w:val="20"/>
              </w:rPr>
              <w:t>Logístico</w:t>
            </w:r>
            <w:r w:rsidRPr="003D0FC9">
              <w:rPr>
                <w:rFonts w:asciiTheme="majorHAnsi" w:hAnsiTheme="majorHAnsi"/>
                <w:i/>
                <w:noProof/>
                <w:sz w:val="20"/>
                <w:szCs w:val="20"/>
              </w:rPr>
              <w:t xml:space="preserve"> onshore</w:t>
            </w:r>
          </w:p>
        </w:tc>
        <w:tc>
          <w:tcPr>
            <w:tcW w:w="917" w:type="pct"/>
          </w:tcPr>
          <w:p w14:paraId="564683DB" w14:textId="77777777" w:rsidR="000928BA" w:rsidRPr="003D0FC9" w:rsidRDefault="000928BA" w:rsidP="000928BA">
            <w:pPr>
              <w:tabs>
                <w:tab w:val="left" w:pos="5529"/>
              </w:tabs>
              <w:spacing w:before="0" w:line="240" w:lineRule="auto"/>
              <w:jc w:val="center"/>
              <w:rPr>
                <w:rFonts w:asciiTheme="majorHAnsi" w:hAnsiTheme="majorHAnsi"/>
                <w:noProof/>
                <w:sz w:val="20"/>
                <w:szCs w:val="20"/>
              </w:rPr>
            </w:pPr>
            <w:r w:rsidRPr="003D0FC9">
              <w:rPr>
                <w:rFonts w:asciiTheme="majorHAnsi" w:hAnsiTheme="majorHAnsi"/>
                <w:noProof/>
                <w:sz w:val="20"/>
                <w:szCs w:val="20"/>
              </w:rPr>
              <w:t>Belém</w:t>
            </w:r>
          </w:p>
        </w:tc>
        <w:tc>
          <w:tcPr>
            <w:tcW w:w="897" w:type="pct"/>
            <w:shd w:val="clear" w:color="auto" w:fill="92D050"/>
          </w:tcPr>
          <w:p w14:paraId="6A3D3DAD" w14:textId="77777777" w:rsidR="000928BA" w:rsidRPr="003D0FC9" w:rsidRDefault="000928BA" w:rsidP="000928BA">
            <w:pPr>
              <w:tabs>
                <w:tab w:val="left" w:pos="5529"/>
              </w:tabs>
              <w:spacing w:before="0" w:line="240" w:lineRule="auto"/>
              <w:jc w:val="center"/>
              <w:rPr>
                <w:rFonts w:asciiTheme="majorHAnsi" w:hAnsiTheme="majorHAnsi"/>
                <w:noProof/>
                <w:sz w:val="20"/>
                <w:szCs w:val="20"/>
              </w:rPr>
            </w:pPr>
            <w:r w:rsidRPr="003D0FC9">
              <w:rPr>
                <w:rFonts w:asciiTheme="majorHAnsi" w:hAnsiTheme="majorHAnsi"/>
                <w:noProof/>
                <w:sz w:val="20"/>
                <w:szCs w:val="20"/>
              </w:rPr>
              <w:t>60 hs</w:t>
            </w:r>
          </w:p>
        </w:tc>
        <w:tc>
          <w:tcPr>
            <w:tcW w:w="1577" w:type="pct"/>
          </w:tcPr>
          <w:p w14:paraId="76D48588" w14:textId="175FCCC6" w:rsidR="000928BA" w:rsidRDefault="000928BA" w:rsidP="000928BA">
            <w:pPr>
              <w:tabs>
                <w:tab w:val="left" w:pos="5529"/>
              </w:tabs>
              <w:spacing w:before="0" w:line="240" w:lineRule="auto"/>
              <w:jc w:val="left"/>
              <w:rPr>
                <w:rFonts w:asciiTheme="majorHAnsi" w:hAnsiTheme="majorHAnsi"/>
                <w:noProof/>
                <w:sz w:val="20"/>
                <w:szCs w:val="20"/>
              </w:rPr>
            </w:pPr>
            <w:r>
              <w:rPr>
                <w:rFonts w:asciiTheme="majorHAnsi" w:hAnsiTheme="majorHAnsi"/>
                <w:noProof/>
                <w:sz w:val="20"/>
                <w:szCs w:val="20"/>
              </w:rPr>
              <w:t>Sistema Neatsweep</w:t>
            </w:r>
          </w:p>
          <w:p w14:paraId="513F891E" w14:textId="16D0CC2F" w:rsidR="006A601E" w:rsidRDefault="00231C5E" w:rsidP="000928BA">
            <w:pPr>
              <w:tabs>
                <w:tab w:val="left" w:pos="5529"/>
              </w:tabs>
              <w:spacing w:before="0" w:line="240" w:lineRule="auto"/>
              <w:jc w:val="left"/>
              <w:rPr>
                <w:rFonts w:asciiTheme="majorHAnsi" w:hAnsiTheme="majorHAnsi"/>
                <w:noProof/>
                <w:sz w:val="20"/>
                <w:szCs w:val="20"/>
              </w:rPr>
            </w:pPr>
            <w:r w:rsidRPr="004B2C3C">
              <w:rPr>
                <w:rFonts w:asciiTheme="majorHAnsi" w:hAnsiTheme="majorHAnsi"/>
                <w:noProof/>
                <w:sz w:val="20"/>
                <w:szCs w:val="20"/>
                <w:highlight w:val="darkGray"/>
              </w:rPr>
              <w:t>50</w:t>
            </w:r>
            <w:r w:rsidR="006A601E" w:rsidRPr="004B2C3C">
              <w:rPr>
                <w:rFonts w:asciiTheme="majorHAnsi" w:hAnsiTheme="majorHAnsi"/>
                <w:noProof/>
                <w:sz w:val="20"/>
                <w:szCs w:val="20"/>
                <w:highlight w:val="darkGray"/>
              </w:rPr>
              <w:t xml:space="preserve"> m</w:t>
            </w:r>
            <w:r w:rsidR="006A601E" w:rsidRPr="004B2C3C">
              <w:rPr>
                <w:rFonts w:asciiTheme="majorHAnsi" w:hAnsiTheme="majorHAnsi"/>
                <w:noProof/>
                <w:sz w:val="20"/>
                <w:szCs w:val="20"/>
                <w:highlight w:val="darkGray"/>
                <w:vertAlign w:val="superscript"/>
              </w:rPr>
              <w:t>3</w:t>
            </w:r>
            <w:r w:rsidR="006A601E" w:rsidRPr="004B2C3C">
              <w:rPr>
                <w:rFonts w:asciiTheme="majorHAnsi" w:hAnsiTheme="majorHAnsi"/>
                <w:noProof/>
                <w:sz w:val="20"/>
                <w:szCs w:val="20"/>
                <w:highlight w:val="darkGray"/>
              </w:rPr>
              <w:t xml:space="preserve"> COREXIT 9500</w:t>
            </w:r>
          </w:p>
          <w:p w14:paraId="6070BA0F" w14:textId="06A4AEDA" w:rsidR="000928BA" w:rsidRPr="003D0FC9" w:rsidRDefault="000928BA" w:rsidP="000928BA">
            <w:pPr>
              <w:tabs>
                <w:tab w:val="left" w:pos="5529"/>
              </w:tabs>
              <w:spacing w:before="0" w:line="240" w:lineRule="auto"/>
              <w:jc w:val="left"/>
              <w:rPr>
                <w:rFonts w:asciiTheme="majorHAnsi" w:eastAsia="Times New Roman" w:hAnsiTheme="majorHAnsi"/>
                <w:noProof/>
                <w:sz w:val="20"/>
                <w:szCs w:val="20"/>
                <w:lang w:eastAsia="en-US"/>
              </w:rPr>
            </w:pPr>
          </w:p>
        </w:tc>
      </w:tr>
      <w:tr w:rsidR="000928BA" w:rsidRPr="003D0FC9" w14:paraId="3514A606" w14:textId="77777777" w:rsidTr="003158C8">
        <w:trPr>
          <w:cnfStyle w:val="000000100000" w:firstRow="0" w:lastRow="0" w:firstColumn="0" w:lastColumn="0" w:oddVBand="0" w:evenVBand="0" w:oddHBand="1" w:evenHBand="0" w:firstRowFirstColumn="0" w:firstRowLastColumn="0" w:lastRowFirstColumn="0" w:lastRowLastColumn="0"/>
          <w:trHeight w:val="567"/>
        </w:trPr>
        <w:tc>
          <w:tcPr>
            <w:tcW w:w="1609" w:type="pct"/>
          </w:tcPr>
          <w:p w14:paraId="68D57CBF" w14:textId="2EACC48B" w:rsidR="000928BA" w:rsidRPr="003D0FC9" w:rsidRDefault="000928BA" w:rsidP="000928BA">
            <w:pPr>
              <w:tabs>
                <w:tab w:val="left" w:pos="5529"/>
              </w:tabs>
              <w:spacing w:before="0" w:line="240" w:lineRule="auto"/>
              <w:rPr>
                <w:rFonts w:asciiTheme="majorHAnsi" w:hAnsiTheme="majorHAnsi"/>
                <w:noProof/>
                <w:sz w:val="20"/>
                <w:szCs w:val="20"/>
                <w:highlight w:val="yellow"/>
              </w:rPr>
            </w:pPr>
            <w:r w:rsidRPr="003D0FC9">
              <w:rPr>
                <w:rFonts w:asciiTheme="majorHAnsi" w:hAnsiTheme="majorHAnsi"/>
                <w:noProof/>
                <w:sz w:val="20"/>
                <w:szCs w:val="20"/>
              </w:rPr>
              <w:t>Recursos da OSRL (humanos e materia</w:t>
            </w:r>
            <w:r>
              <w:rPr>
                <w:rFonts w:asciiTheme="majorHAnsi" w:hAnsiTheme="majorHAnsi"/>
                <w:noProof/>
                <w:sz w:val="20"/>
                <w:szCs w:val="20"/>
              </w:rPr>
              <w:t>is)</w:t>
            </w:r>
          </w:p>
        </w:tc>
        <w:tc>
          <w:tcPr>
            <w:tcW w:w="917" w:type="pct"/>
          </w:tcPr>
          <w:p w14:paraId="611F95C8" w14:textId="77777777" w:rsidR="000928BA" w:rsidRPr="003D0FC9" w:rsidRDefault="000928BA" w:rsidP="000928BA">
            <w:pPr>
              <w:tabs>
                <w:tab w:val="left" w:pos="5529"/>
              </w:tabs>
              <w:spacing w:before="0" w:line="240" w:lineRule="auto"/>
              <w:jc w:val="center"/>
              <w:rPr>
                <w:rFonts w:asciiTheme="majorHAnsi" w:hAnsiTheme="majorHAnsi"/>
                <w:noProof/>
                <w:sz w:val="20"/>
                <w:szCs w:val="20"/>
              </w:rPr>
            </w:pPr>
            <w:r w:rsidRPr="003D0FC9">
              <w:rPr>
                <w:rFonts w:asciiTheme="majorHAnsi" w:hAnsiTheme="majorHAnsi"/>
                <w:noProof/>
                <w:sz w:val="20"/>
                <w:szCs w:val="20"/>
              </w:rPr>
              <w:t>Variável</w:t>
            </w:r>
          </w:p>
        </w:tc>
        <w:tc>
          <w:tcPr>
            <w:tcW w:w="897" w:type="pct"/>
            <w:shd w:val="clear" w:color="auto" w:fill="92D050"/>
          </w:tcPr>
          <w:p w14:paraId="13C2172A" w14:textId="77777777" w:rsidR="000928BA" w:rsidRPr="003D0FC9" w:rsidRDefault="000928BA" w:rsidP="000928BA">
            <w:pPr>
              <w:tabs>
                <w:tab w:val="left" w:pos="5529"/>
              </w:tabs>
              <w:spacing w:before="0" w:line="240" w:lineRule="auto"/>
              <w:jc w:val="center"/>
              <w:rPr>
                <w:rFonts w:asciiTheme="majorHAnsi" w:hAnsiTheme="majorHAnsi"/>
                <w:noProof/>
                <w:sz w:val="20"/>
                <w:szCs w:val="20"/>
              </w:rPr>
            </w:pPr>
            <w:r w:rsidRPr="003D0FC9">
              <w:rPr>
                <w:rFonts w:asciiTheme="majorHAnsi" w:hAnsiTheme="majorHAnsi"/>
                <w:noProof/>
                <w:sz w:val="20"/>
                <w:szCs w:val="20"/>
              </w:rPr>
              <w:t>Variável</w:t>
            </w:r>
          </w:p>
        </w:tc>
        <w:tc>
          <w:tcPr>
            <w:tcW w:w="1577" w:type="pct"/>
          </w:tcPr>
          <w:p w14:paraId="17FF6341" w14:textId="77777777" w:rsidR="000928BA" w:rsidRPr="003D0FC9" w:rsidRDefault="000928BA" w:rsidP="000928BA">
            <w:pPr>
              <w:tabs>
                <w:tab w:val="left" w:pos="5529"/>
              </w:tabs>
              <w:spacing w:before="0" w:line="240" w:lineRule="auto"/>
              <w:jc w:val="left"/>
              <w:rPr>
                <w:rFonts w:asciiTheme="majorHAnsi" w:hAnsiTheme="majorHAnsi"/>
                <w:noProof/>
                <w:sz w:val="20"/>
                <w:szCs w:val="20"/>
              </w:rPr>
            </w:pPr>
            <w:r w:rsidRPr="003D0FC9">
              <w:rPr>
                <w:rFonts w:asciiTheme="majorHAnsi" w:hAnsiTheme="majorHAnsi"/>
                <w:noProof/>
                <w:sz w:val="20"/>
                <w:szCs w:val="20"/>
              </w:rPr>
              <w:t xml:space="preserve">- </w:t>
            </w:r>
            <w:r>
              <w:rPr>
                <w:rFonts w:asciiTheme="majorHAnsi" w:hAnsiTheme="majorHAnsi"/>
                <w:noProof/>
                <w:sz w:val="20"/>
                <w:szCs w:val="20"/>
              </w:rPr>
              <w:t>S</w:t>
            </w:r>
            <w:r w:rsidRPr="003D0FC9">
              <w:rPr>
                <w:rFonts w:asciiTheme="majorHAnsi" w:hAnsiTheme="majorHAnsi"/>
                <w:noProof/>
                <w:sz w:val="20"/>
                <w:szCs w:val="20"/>
              </w:rPr>
              <w:t>istema para aplicação de dispersantes adaptável em embarcações e aeronaves (asa fixa ou rotativa)</w:t>
            </w:r>
          </w:p>
          <w:p w14:paraId="3B8F628C" w14:textId="77777777" w:rsidR="000928BA" w:rsidRPr="003D0FC9" w:rsidRDefault="000928BA" w:rsidP="000928BA">
            <w:pPr>
              <w:tabs>
                <w:tab w:val="left" w:pos="5529"/>
              </w:tabs>
              <w:spacing w:before="0" w:line="240" w:lineRule="auto"/>
              <w:jc w:val="left"/>
              <w:rPr>
                <w:rFonts w:asciiTheme="majorHAnsi" w:hAnsiTheme="majorHAnsi"/>
                <w:noProof/>
                <w:sz w:val="20"/>
                <w:szCs w:val="20"/>
              </w:rPr>
            </w:pPr>
            <w:r w:rsidRPr="003D0FC9">
              <w:rPr>
                <w:rFonts w:asciiTheme="majorHAnsi" w:hAnsiTheme="majorHAnsi"/>
                <w:noProof/>
                <w:sz w:val="20"/>
                <w:szCs w:val="20"/>
              </w:rPr>
              <w:t xml:space="preserve">- 500 m³ COREXIT 9500 (no </w:t>
            </w:r>
            <w:r w:rsidRPr="003D0FC9">
              <w:rPr>
                <w:rFonts w:asciiTheme="majorHAnsi" w:hAnsiTheme="majorHAnsi"/>
                <w:i/>
                <w:noProof/>
                <w:sz w:val="20"/>
                <w:szCs w:val="20"/>
              </w:rPr>
              <w:t>Global Dispersant Stockpile</w:t>
            </w:r>
            <w:r w:rsidRPr="003D0FC9">
              <w:rPr>
                <w:rFonts w:asciiTheme="majorHAnsi" w:hAnsiTheme="majorHAnsi"/>
                <w:noProof/>
                <w:sz w:val="20"/>
                <w:szCs w:val="20"/>
              </w:rPr>
              <w:t>, GDS, Brasil)</w:t>
            </w:r>
          </w:p>
          <w:p w14:paraId="06C4559A" w14:textId="77777777" w:rsidR="000928BA" w:rsidRPr="003D0FC9" w:rsidRDefault="000928BA" w:rsidP="000928BA">
            <w:pPr>
              <w:tabs>
                <w:tab w:val="left" w:pos="5529"/>
              </w:tabs>
              <w:spacing w:before="0" w:line="240" w:lineRule="auto"/>
              <w:jc w:val="left"/>
              <w:rPr>
                <w:rFonts w:asciiTheme="majorHAnsi" w:hAnsiTheme="majorHAnsi"/>
                <w:noProof/>
                <w:sz w:val="20"/>
                <w:szCs w:val="20"/>
              </w:rPr>
            </w:pPr>
            <w:r w:rsidRPr="003D0FC9">
              <w:rPr>
                <w:rFonts w:asciiTheme="majorHAnsi" w:hAnsiTheme="majorHAnsi"/>
                <w:noProof/>
                <w:sz w:val="20"/>
                <w:szCs w:val="20"/>
              </w:rPr>
              <w:t>- Especialista técnico</w:t>
            </w:r>
          </w:p>
        </w:tc>
      </w:tr>
      <w:tr w:rsidR="002B5B58" w:rsidRPr="003D0FC9" w14:paraId="24AAD496" w14:textId="77777777" w:rsidTr="002B5B58">
        <w:trPr>
          <w:cnfStyle w:val="000000010000" w:firstRow="0" w:lastRow="0" w:firstColumn="0" w:lastColumn="0" w:oddVBand="0" w:evenVBand="0" w:oddHBand="0" w:evenHBand="1" w:firstRowFirstColumn="0" w:firstRowLastColumn="0" w:lastRowFirstColumn="0" w:lastRowLastColumn="0"/>
          <w:trHeight w:val="567"/>
        </w:trPr>
        <w:tc>
          <w:tcPr>
            <w:tcW w:w="5000" w:type="pct"/>
            <w:gridSpan w:val="4"/>
            <w:shd w:val="clear" w:color="auto" w:fill="auto"/>
          </w:tcPr>
          <w:p w14:paraId="1C697CBD" w14:textId="1F6D2FDD" w:rsidR="002B5B58" w:rsidRPr="004B2C3C" w:rsidRDefault="002B5B58" w:rsidP="002B5B58">
            <w:pPr>
              <w:spacing w:before="0" w:line="240" w:lineRule="auto"/>
              <w:jc w:val="left"/>
              <w:rPr>
                <w:rFonts w:asciiTheme="majorHAnsi" w:hAnsiTheme="majorHAnsi"/>
                <w:sz w:val="18"/>
                <w:szCs w:val="20"/>
                <w:highlight w:val="lightGray"/>
              </w:rPr>
            </w:pPr>
            <w:r w:rsidRPr="004B2C3C">
              <w:rPr>
                <w:rFonts w:asciiTheme="majorHAnsi" w:hAnsiTheme="majorHAnsi"/>
                <w:sz w:val="20"/>
                <w:szCs w:val="20"/>
                <w:highlight w:val="lightGray"/>
                <w:vertAlign w:val="superscript"/>
              </w:rPr>
              <w:t>*1</w:t>
            </w:r>
            <w:r w:rsidRPr="004B2C3C">
              <w:rPr>
                <w:rFonts w:asciiTheme="majorHAnsi" w:hAnsiTheme="majorHAnsi"/>
                <w:sz w:val="20"/>
                <w:szCs w:val="20"/>
                <w:highlight w:val="lightGray"/>
              </w:rPr>
              <w:t xml:space="preserve"> </w:t>
            </w:r>
            <w:r w:rsidRPr="004B2C3C">
              <w:rPr>
                <w:rFonts w:asciiTheme="majorHAnsi" w:hAnsiTheme="majorHAnsi"/>
                <w:sz w:val="18"/>
                <w:szCs w:val="20"/>
                <w:highlight w:val="lightGray"/>
              </w:rPr>
              <w:t>Caso a redundância estabelecida pelo Órgão Ambiental seja de 2 hs para toda a atividade ou só na fase de 8 ½”.</w:t>
            </w:r>
          </w:p>
          <w:p w14:paraId="7EFC8E6C" w14:textId="77777777" w:rsidR="002B5B58" w:rsidRDefault="002B5B58" w:rsidP="002B5B58">
            <w:pPr>
              <w:tabs>
                <w:tab w:val="left" w:pos="5529"/>
              </w:tabs>
              <w:spacing w:before="0" w:line="240" w:lineRule="auto"/>
              <w:jc w:val="left"/>
              <w:rPr>
                <w:rFonts w:asciiTheme="majorHAnsi" w:hAnsiTheme="majorHAnsi"/>
                <w:sz w:val="18"/>
                <w:szCs w:val="20"/>
              </w:rPr>
            </w:pPr>
            <w:r w:rsidRPr="004B2C3C">
              <w:rPr>
                <w:rFonts w:asciiTheme="majorHAnsi" w:hAnsiTheme="majorHAnsi"/>
                <w:sz w:val="20"/>
                <w:szCs w:val="20"/>
                <w:highlight w:val="lightGray"/>
                <w:vertAlign w:val="superscript"/>
              </w:rPr>
              <w:t>*2</w:t>
            </w:r>
            <w:r w:rsidRPr="004B2C3C">
              <w:rPr>
                <w:rFonts w:asciiTheme="majorHAnsi" w:hAnsiTheme="majorHAnsi"/>
                <w:sz w:val="20"/>
                <w:szCs w:val="20"/>
                <w:highlight w:val="lightGray"/>
              </w:rPr>
              <w:t xml:space="preserve"> </w:t>
            </w:r>
            <w:r w:rsidRPr="004B2C3C">
              <w:rPr>
                <w:rFonts w:asciiTheme="majorHAnsi" w:hAnsiTheme="majorHAnsi"/>
                <w:sz w:val="18"/>
                <w:szCs w:val="20"/>
                <w:highlight w:val="lightGray"/>
              </w:rPr>
              <w:t>Caso a redundância estabelecida pelo Órgão Ambiental seja de 6 hs nas fases da atividade, à exceção da fase de 8 ½”</w:t>
            </w:r>
          </w:p>
          <w:p w14:paraId="4B1FF946" w14:textId="2F663499" w:rsidR="002B5B58" w:rsidRPr="003D0FC9" w:rsidRDefault="002B5B58" w:rsidP="002B5B58">
            <w:pPr>
              <w:tabs>
                <w:tab w:val="left" w:pos="5529"/>
              </w:tabs>
              <w:spacing w:before="0" w:line="240" w:lineRule="auto"/>
              <w:jc w:val="left"/>
              <w:rPr>
                <w:rFonts w:asciiTheme="majorHAnsi" w:hAnsiTheme="majorHAnsi"/>
                <w:noProof/>
                <w:sz w:val="20"/>
                <w:szCs w:val="20"/>
              </w:rPr>
            </w:pPr>
          </w:p>
        </w:tc>
      </w:tr>
    </w:tbl>
    <w:p w14:paraId="74320D0B" w14:textId="77777777" w:rsidR="00CF77CE" w:rsidRPr="001C6D6D" w:rsidRDefault="00CF77CE" w:rsidP="006F18B8">
      <w:pPr>
        <w:pStyle w:val="Ttulo3"/>
        <w:ind w:left="1224"/>
        <w:rPr>
          <w:lang w:val="pt-BR"/>
        </w:rPr>
      </w:pPr>
      <w:bookmarkStart w:id="248" w:name="_Toc527990435"/>
      <w:r w:rsidRPr="001C6D6D">
        <w:rPr>
          <w:lang w:val="pt-BR"/>
        </w:rPr>
        <w:lastRenderedPageBreak/>
        <w:t>Aplicação de Dispersantes em Profundidade</w:t>
      </w:r>
      <w:bookmarkEnd w:id="248"/>
    </w:p>
    <w:p w14:paraId="3F2B492B" w14:textId="77777777" w:rsidR="007E0169" w:rsidRPr="00EE0E12" w:rsidRDefault="007E0169" w:rsidP="009D76B8">
      <w:pPr>
        <w:pStyle w:val="tier1Itext"/>
      </w:pPr>
      <w:r w:rsidRPr="00EE0E12">
        <w:t xml:space="preserve">Esta seção estabelece os procedimentos e os recursos necessários para as operações de aplicação de dispersantes químicos em profundidade (junto à fonte submarina de vazamento), inseridos no plano operacional específico do Sistema de </w:t>
      </w:r>
      <w:r w:rsidR="0028055D">
        <w:t>Intervenção</w:t>
      </w:r>
      <w:r w:rsidR="0028055D" w:rsidRPr="00EE0E12">
        <w:t xml:space="preserve"> </w:t>
      </w:r>
      <w:r w:rsidRPr="00EE0E12">
        <w:t>e Coleta (CRS). Esta técnica é essencial quando da consideração de ações de médio prazo para o controle da fonte pois reduz os níveis de VOC na superfície, permitindo operações mais seguras.</w:t>
      </w:r>
    </w:p>
    <w:p w14:paraId="7AA2DF4B" w14:textId="77777777" w:rsidR="007E0169" w:rsidRPr="00EE0E12" w:rsidRDefault="007E0169" w:rsidP="009D76B8">
      <w:pPr>
        <w:pStyle w:val="tier1Itext"/>
      </w:pPr>
      <w:r w:rsidRPr="00EE0E12">
        <w:t>Os membros dos Seções de Operação e Planejamento, bem como o Coordenador da Unidade de RC&amp;E e o Oficial de Segurança serão envolvidos quando da consideração desta técnica, a ser gerenciada em um Grupo específico, que ativará todos os procedimentos e recursos no Plano do CRS.</w:t>
      </w:r>
    </w:p>
    <w:p w14:paraId="555D36EE" w14:textId="351F04FF" w:rsidR="007E0169" w:rsidRPr="00EE0E12" w:rsidRDefault="001C6D6D" w:rsidP="009D76B8">
      <w:pPr>
        <w:pStyle w:val="tier1Itext"/>
      </w:pPr>
      <w:r>
        <w:t>O sistema é apresentado no Plano de CRS e será disposto conforme indicação deste plano</w:t>
      </w:r>
      <w:r w:rsidR="007E0169" w:rsidRPr="00EE0E12">
        <w:t>.</w:t>
      </w:r>
    </w:p>
    <w:p w14:paraId="74113DDF" w14:textId="50BC51EC" w:rsidR="007E0169" w:rsidRPr="00EE0E12" w:rsidRDefault="007E0169" w:rsidP="009D76B8">
      <w:pPr>
        <w:pStyle w:val="tier1Itext"/>
      </w:pPr>
      <w:r w:rsidRPr="009D76B8">
        <w:rPr>
          <w:szCs w:val="22"/>
        </w:rPr>
        <w:t>A</w:t>
      </w:r>
      <w:r w:rsidRPr="009D76B8">
        <w:rPr>
          <w:b/>
          <w:szCs w:val="22"/>
        </w:rPr>
        <w:t xml:space="preserve"> </w:t>
      </w:r>
      <w:r w:rsidR="009D76B8" w:rsidRPr="009D76B8">
        <w:rPr>
          <w:b/>
          <w:szCs w:val="22"/>
        </w:rPr>
        <w:fldChar w:fldCharType="begin"/>
      </w:r>
      <w:r w:rsidR="009D76B8" w:rsidRPr="009D76B8">
        <w:rPr>
          <w:b/>
          <w:szCs w:val="22"/>
        </w:rPr>
        <w:instrText xml:space="preserve"> REF _Ref414547300 \h  \* MERGEFORMAT </w:instrText>
      </w:r>
      <w:r w:rsidR="009D76B8" w:rsidRPr="009D76B8">
        <w:rPr>
          <w:b/>
          <w:szCs w:val="22"/>
        </w:rPr>
      </w:r>
      <w:r w:rsidR="009D76B8" w:rsidRPr="009D76B8">
        <w:rPr>
          <w:b/>
          <w:szCs w:val="22"/>
        </w:rPr>
        <w:fldChar w:fldCharType="separate"/>
      </w:r>
      <w:r w:rsidR="00CD1E9E" w:rsidRPr="00CD1E9E">
        <w:rPr>
          <w:b/>
          <w:szCs w:val="22"/>
        </w:rPr>
        <w:t xml:space="preserve">Tabela </w:t>
      </w:r>
      <w:r w:rsidR="00CD1E9E" w:rsidRPr="004B2C3C">
        <w:rPr>
          <w:b/>
          <w:noProof/>
          <w:szCs w:val="22"/>
          <w:highlight w:val="lightGray"/>
        </w:rPr>
        <w:t>19</w:t>
      </w:r>
      <w:r w:rsidR="009D76B8" w:rsidRPr="009D76B8">
        <w:rPr>
          <w:b/>
          <w:szCs w:val="22"/>
        </w:rPr>
        <w:fldChar w:fldCharType="end"/>
      </w:r>
      <w:r w:rsidRPr="009D76B8">
        <w:rPr>
          <w:b/>
          <w:szCs w:val="22"/>
        </w:rPr>
        <w:t>,</w:t>
      </w:r>
      <w:r w:rsidRPr="009D76B8">
        <w:rPr>
          <w:szCs w:val="22"/>
        </w:rPr>
        <w:t xml:space="preserve"> a seguir, apresenta</w:t>
      </w:r>
      <w:r w:rsidR="001C6D6D">
        <w:rPr>
          <w:szCs w:val="22"/>
        </w:rPr>
        <w:t xml:space="preserve"> </w:t>
      </w:r>
      <w:r w:rsidRPr="009D76B8">
        <w:rPr>
          <w:szCs w:val="22"/>
        </w:rPr>
        <w:t>a descrição dos requisitos específicos</w:t>
      </w:r>
      <w:r w:rsidRPr="00EE0E12">
        <w:t xml:space="preserve"> da embarcação selecionada para a operação de aplicação.</w:t>
      </w: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Look w:val="00A0" w:firstRow="1" w:lastRow="0" w:firstColumn="1" w:lastColumn="0" w:noHBand="0" w:noVBand="0"/>
      </w:tblPr>
      <w:tblGrid>
        <w:gridCol w:w="1349"/>
        <w:gridCol w:w="2068"/>
        <w:gridCol w:w="5623"/>
      </w:tblGrid>
      <w:tr w:rsidR="007E0169" w:rsidRPr="009D76B8" w14:paraId="1FAA2417" w14:textId="77777777" w:rsidTr="009D76B8">
        <w:trPr>
          <w:trHeight w:val="397"/>
        </w:trPr>
        <w:tc>
          <w:tcPr>
            <w:tcW w:w="5000" w:type="pct"/>
            <w:gridSpan w:val="3"/>
            <w:shd w:val="clear" w:color="auto" w:fill="FFFFFF" w:themeFill="background1"/>
            <w:vAlign w:val="bottom"/>
          </w:tcPr>
          <w:p w14:paraId="11A26FDD" w14:textId="3772BEE5" w:rsidR="007E0169" w:rsidRPr="009D76B8" w:rsidRDefault="007E0169" w:rsidP="00AB7C0D">
            <w:pPr>
              <w:pStyle w:val="Legenda"/>
              <w:spacing w:before="0" w:after="0" w:line="240" w:lineRule="auto"/>
              <w:jc w:val="left"/>
              <w:rPr>
                <w:color w:val="FFFFFF"/>
                <w:szCs w:val="20"/>
              </w:rPr>
            </w:pPr>
            <w:bookmarkStart w:id="249" w:name="_Ref414547300"/>
            <w:bookmarkStart w:id="250" w:name="_Toc412812278"/>
            <w:bookmarkStart w:id="251" w:name="_Toc527990494"/>
            <w:r w:rsidRPr="009D76B8">
              <w:rPr>
                <w:szCs w:val="20"/>
              </w:rPr>
              <w:t xml:space="preserve">Tabela </w:t>
            </w:r>
            <w:r w:rsidR="0036087F" w:rsidRPr="004B2C3C">
              <w:rPr>
                <w:szCs w:val="20"/>
                <w:highlight w:val="lightGray"/>
              </w:rPr>
              <w:fldChar w:fldCharType="begin"/>
            </w:r>
            <w:r w:rsidR="0036087F" w:rsidRPr="004B2C3C">
              <w:rPr>
                <w:szCs w:val="20"/>
                <w:highlight w:val="lightGray"/>
              </w:rPr>
              <w:instrText xml:space="preserve"> SEQ Tabela \* ARABIC </w:instrText>
            </w:r>
            <w:r w:rsidR="0036087F" w:rsidRPr="004B2C3C">
              <w:rPr>
                <w:szCs w:val="20"/>
                <w:highlight w:val="lightGray"/>
              </w:rPr>
              <w:fldChar w:fldCharType="separate"/>
            </w:r>
            <w:r w:rsidR="00CD1E9E" w:rsidRPr="004B2C3C">
              <w:rPr>
                <w:noProof/>
                <w:szCs w:val="20"/>
                <w:highlight w:val="lightGray"/>
              </w:rPr>
              <w:t>19</w:t>
            </w:r>
            <w:r w:rsidR="0036087F" w:rsidRPr="004B2C3C">
              <w:rPr>
                <w:noProof/>
                <w:szCs w:val="20"/>
                <w:highlight w:val="lightGray"/>
              </w:rPr>
              <w:fldChar w:fldCharType="end"/>
            </w:r>
            <w:bookmarkEnd w:id="249"/>
            <w:r w:rsidRPr="009D76B8">
              <w:rPr>
                <w:szCs w:val="20"/>
              </w:rPr>
              <w:t xml:space="preserve">: Descrição dos requisitos da embarcação </w:t>
            </w:r>
            <w:r w:rsidR="00AB7C0D">
              <w:rPr>
                <w:szCs w:val="20"/>
              </w:rPr>
              <w:t xml:space="preserve">utilizada na </w:t>
            </w:r>
            <w:r w:rsidRPr="009D76B8">
              <w:rPr>
                <w:szCs w:val="20"/>
              </w:rPr>
              <w:t>aplicação submarina de dispersantes (com recursos de monitoramento)</w:t>
            </w:r>
            <w:bookmarkEnd w:id="250"/>
            <w:r w:rsidR="009D76B8">
              <w:rPr>
                <w:szCs w:val="20"/>
              </w:rPr>
              <w:t>.</w:t>
            </w:r>
            <w:bookmarkEnd w:id="251"/>
          </w:p>
        </w:tc>
      </w:tr>
      <w:tr w:rsidR="007E0169" w:rsidRPr="009D76B8" w14:paraId="753F3493" w14:textId="77777777" w:rsidTr="007E0169">
        <w:tc>
          <w:tcPr>
            <w:tcW w:w="746" w:type="pct"/>
            <w:shd w:val="clear" w:color="auto" w:fill="1F497D"/>
            <w:vAlign w:val="center"/>
          </w:tcPr>
          <w:p w14:paraId="5D373FAD" w14:textId="77777777" w:rsidR="007E0169" w:rsidRPr="009D76B8" w:rsidRDefault="007E0169" w:rsidP="009D76B8">
            <w:pPr>
              <w:spacing w:before="0" w:line="240" w:lineRule="auto"/>
              <w:jc w:val="center"/>
              <w:rPr>
                <w:rFonts w:asciiTheme="majorHAnsi" w:hAnsiTheme="majorHAnsi"/>
                <w:sz w:val="20"/>
                <w:szCs w:val="20"/>
              </w:rPr>
            </w:pPr>
            <w:r w:rsidRPr="009D76B8">
              <w:rPr>
                <w:rFonts w:asciiTheme="majorHAnsi" w:hAnsiTheme="majorHAnsi"/>
                <w:b/>
                <w:color w:val="FFFFFF"/>
                <w:sz w:val="20"/>
                <w:szCs w:val="20"/>
              </w:rPr>
              <w:t>Quantidade</w:t>
            </w:r>
          </w:p>
        </w:tc>
        <w:tc>
          <w:tcPr>
            <w:tcW w:w="1144" w:type="pct"/>
            <w:shd w:val="clear" w:color="auto" w:fill="1F497D"/>
            <w:vAlign w:val="center"/>
          </w:tcPr>
          <w:p w14:paraId="2B92A7F7" w14:textId="77777777" w:rsidR="007E0169" w:rsidRPr="009D76B8" w:rsidRDefault="007E0169" w:rsidP="009D76B8">
            <w:pPr>
              <w:spacing w:before="0" w:line="240" w:lineRule="auto"/>
              <w:jc w:val="center"/>
              <w:rPr>
                <w:rFonts w:asciiTheme="majorHAnsi" w:hAnsiTheme="majorHAnsi"/>
                <w:sz w:val="20"/>
                <w:szCs w:val="20"/>
              </w:rPr>
            </w:pPr>
            <w:r w:rsidRPr="009D76B8">
              <w:rPr>
                <w:rFonts w:asciiTheme="majorHAnsi" w:hAnsiTheme="majorHAnsi"/>
                <w:b/>
                <w:color w:val="FFFFFF"/>
                <w:sz w:val="20"/>
                <w:szCs w:val="20"/>
              </w:rPr>
              <w:t>Resumo da Descrição</w:t>
            </w:r>
          </w:p>
        </w:tc>
        <w:tc>
          <w:tcPr>
            <w:tcW w:w="3110" w:type="pct"/>
            <w:shd w:val="clear" w:color="auto" w:fill="1F497D"/>
            <w:vAlign w:val="center"/>
          </w:tcPr>
          <w:p w14:paraId="34427996" w14:textId="77777777" w:rsidR="007E0169" w:rsidRPr="009D76B8" w:rsidRDefault="007E0169" w:rsidP="009D76B8">
            <w:pPr>
              <w:spacing w:before="0" w:line="240" w:lineRule="auto"/>
              <w:jc w:val="center"/>
              <w:rPr>
                <w:rFonts w:asciiTheme="majorHAnsi" w:hAnsiTheme="majorHAnsi"/>
                <w:sz w:val="20"/>
                <w:szCs w:val="20"/>
              </w:rPr>
            </w:pPr>
            <w:r w:rsidRPr="009D76B8">
              <w:rPr>
                <w:rFonts w:asciiTheme="majorHAnsi" w:hAnsiTheme="majorHAnsi"/>
                <w:b/>
                <w:color w:val="FFFFFF"/>
                <w:sz w:val="20"/>
                <w:szCs w:val="20"/>
              </w:rPr>
              <w:t>Requisitos</w:t>
            </w:r>
          </w:p>
        </w:tc>
      </w:tr>
      <w:tr w:rsidR="007E0169" w:rsidRPr="009D76B8" w14:paraId="1B30FAC2" w14:textId="77777777" w:rsidTr="007E0169">
        <w:tc>
          <w:tcPr>
            <w:tcW w:w="746" w:type="pct"/>
            <w:shd w:val="clear" w:color="auto" w:fill="D9D9D9" w:themeFill="background1" w:themeFillShade="D9"/>
            <w:vAlign w:val="center"/>
          </w:tcPr>
          <w:p w14:paraId="14D0D761" w14:textId="77777777" w:rsidR="007E0169" w:rsidRPr="009D76B8" w:rsidRDefault="007E0169" w:rsidP="009D76B8">
            <w:pPr>
              <w:spacing w:before="0" w:line="240" w:lineRule="auto"/>
              <w:rPr>
                <w:rFonts w:asciiTheme="majorHAnsi" w:hAnsiTheme="majorHAnsi"/>
                <w:sz w:val="20"/>
                <w:szCs w:val="20"/>
              </w:rPr>
            </w:pPr>
            <w:r w:rsidRPr="009D76B8">
              <w:rPr>
                <w:rFonts w:asciiTheme="majorHAnsi" w:hAnsiTheme="majorHAnsi"/>
                <w:sz w:val="20"/>
                <w:szCs w:val="20"/>
              </w:rPr>
              <w:t>1 unid.</w:t>
            </w:r>
          </w:p>
        </w:tc>
        <w:tc>
          <w:tcPr>
            <w:tcW w:w="1144" w:type="pct"/>
            <w:shd w:val="clear" w:color="auto" w:fill="D9D9D9" w:themeFill="background1" w:themeFillShade="D9"/>
            <w:vAlign w:val="center"/>
          </w:tcPr>
          <w:p w14:paraId="2AE34DFA" w14:textId="77777777" w:rsidR="007E0169" w:rsidRPr="009D76B8" w:rsidRDefault="007E0169" w:rsidP="009D76B8">
            <w:pPr>
              <w:spacing w:before="0" w:line="240" w:lineRule="auto"/>
              <w:jc w:val="center"/>
              <w:rPr>
                <w:rFonts w:asciiTheme="majorHAnsi" w:hAnsiTheme="majorHAnsi"/>
                <w:sz w:val="20"/>
                <w:szCs w:val="20"/>
              </w:rPr>
            </w:pPr>
            <w:r w:rsidRPr="009D76B8">
              <w:rPr>
                <w:rFonts w:asciiTheme="majorHAnsi" w:hAnsiTheme="majorHAnsi"/>
                <w:sz w:val="20"/>
                <w:szCs w:val="20"/>
              </w:rPr>
              <w:t>Embarcação equipada com sistema de aplicação e dispositivos de monitoramento (fluorímetro e/ou equ</w:t>
            </w:r>
            <w:r w:rsidR="009D76B8">
              <w:rPr>
                <w:rFonts w:asciiTheme="majorHAnsi" w:hAnsiTheme="majorHAnsi"/>
                <w:sz w:val="20"/>
                <w:szCs w:val="20"/>
              </w:rPr>
              <w:t>ipamento de amostragem de água)</w:t>
            </w:r>
          </w:p>
        </w:tc>
        <w:tc>
          <w:tcPr>
            <w:tcW w:w="3110" w:type="pct"/>
            <w:shd w:val="clear" w:color="auto" w:fill="D9D9D9" w:themeFill="background1" w:themeFillShade="D9"/>
            <w:vAlign w:val="center"/>
          </w:tcPr>
          <w:p w14:paraId="6D3329F6" w14:textId="77777777" w:rsidR="007E0169" w:rsidRPr="009D76B8" w:rsidRDefault="007E0169" w:rsidP="009D76B8">
            <w:pPr>
              <w:spacing w:before="0" w:line="240" w:lineRule="auto"/>
              <w:rPr>
                <w:rFonts w:asciiTheme="majorHAnsi" w:hAnsiTheme="majorHAnsi"/>
                <w:sz w:val="20"/>
                <w:szCs w:val="20"/>
              </w:rPr>
            </w:pPr>
            <w:r w:rsidRPr="009D76B8">
              <w:rPr>
                <w:rFonts w:asciiTheme="majorHAnsi" w:hAnsiTheme="majorHAnsi"/>
                <w:sz w:val="20"/>
                <w:szCs w:val="20"/>
              </w:rPr>
              <w:t>Embarcação de aplicação e monitoramento</w:t>
            </w:r>
          </w:p>
          <w:p w14:paraId="5EDDC0C5" w14:textId="77777777" w:rsidR="007E0169" w:rsidRPr="009D76B8" w:rsidRDefault="007E0169" w:rsidP="00EA2A77">
            <w:pPr>
              <w:pStyle w:val="ListParagraph1"/>
              <w:numPr>
                <w:ilvl w:val="0"/>
                <w:numId w:val="23"/>
              </w:numPr>
              <w:spacing w:before="0" w:after="0" w:line="240" w:lineRule="auto"/>
              <w:ind w:left="332" w:hanging="284"/>
              <w:jc w:val="both"/>
              <w:rPr>
                <w:rFonts w:asciiTheme="majorHAnsi" w:hAnsiTheme="majorHAnsi"/>
              </w:rPr>
            </w:pPr>
            <w:r w:rsidRPr="009D76B8">
              <w:rPr>
                <w:rFonts w:asciiTheme="majorHAnsi" w:hAnsiTheme="majorHAnsi"/>
                <w:lang w:val="pt-BR"/>
              </w:rPr>
              <w:t>Acomodações para 6 operadores do sistema</w:t>
            </w:r>
          </w:p>
          <w:p w14:paraId="7C392FE3" w14:textId="77777777" w:rsidR="007E0169" w:rsidRPr="009D76B8" w:rsidRDefault="007E0169" w:rsidP="00EA2A77">
            <w:pPr>
              <w:pStyle w:val="ListParagraph1"/>
              <w:numPr>
                <w:ilvl w:val="0"/>
                <w:numId w:val="23"/>
              </w:numPr>
              <w:spacing w:before="0" w:after="0" w:line="240" w:lineRule="auto"/>
              <w:ind w:left="332" w:hanging="284"/>
              <w:jc w:val="both"/>
              <w:rPr>
                <w:rFonts w:asciiTheme="majorHAnsi" w:hAnsiTheme="majorHAnsi"/>
                <w:lang w:val="pt-BR"/>
              </w:rPr>
            </w:pPr>
            <w:r w:rsidRPr="009D76B8">
              <w:rPr>
                <w:rFonts w:asciiTheme="majorHAnsi" w:hAnsiTheme="majorHAnsi"/>
                <w:lang w:val="pt-BR"/>
              </w:rPr>
              <w:t xml:space="preserve">Guindaste de 5 toneladas ou equivalente </w:t>
            </w:r>
          </w:p>
          <w:p w14:paraId="38EF0E01" w14:textId="77777777" w:rsidR="007E0169" w:rsidRPr="009D76B8" w:rsidRDefault="007E0169" w:rsidP="00EA2A77">
            <w:pPr>
              <w:pStyle w:val="ListParagraph1"/>
              <w:numPr>
                <w:ilvl w:val="0"/>
                <w:numId w:val="23"/>
              </w:numPr>
              <w:spacing w:before="0" w:after="0" w:line="240" w:lineRule="auto"/>
              <w:ind w:left="332" w:hanging="284"/>
              <w:jc w:val="both"/>
              <w:rPr>
                <w:rFonts w:asciiTheme="majorHAnsi" w:hAnsiTheme="majorHAnsi"/>
                <w:lang w:val="pt-BR"/>
              </w:rPr>
            </w:pPr>
            <w:r w:rsidRPr="009D76B8">
              <w:rPr>
                <w:rFonts w:asciiTheme="majorHAnsi" w:hAnsiTheme="majorHAnsi"/>
                <w:lang w:val="pt-BR"/>
              </w:rPr>
              <w:t>Área de estocagem para 5 a 10 containers de dispersante, cada um com capacidade para 1,25 m</w:t>
            </w:r>
            <w:r w:rsidRPr="009D76B8">
              <w:rPr>
                <w:rFonts w:asciiTheme="majorHAnsi" w:hAnsiTheme="majorHAnsi"/>
                <w:vertAlign w:val="superscript"/>
                <w:lang w:val="pt-BR"/>
              </w:rPr>
              <w:t>3</w:t>
            </w:r>
            <w:r w:rsidRPr="009D76B8">
              <w:rPr>
                <w:rFonts w:asciiTheme="majorHAnsi" w:hAnsiTheme="majorHAnsi"/>
                <w:lang w:val="pt-BR"/>
              </w:rPr>
              <w:t xml:space="preserve"> [330 gals] com dimensões de base de [1,2 m x 1,2 m] e 1.360 Kg [3000 lbs] cada.</w:t>
            </w:r>
            <w:r w:rsidR="00D913B3">
              <w:rPr>
                <w:rFonts w:asciiTheme="majorHAnsi" w:hAnsiTheme="majorHAnsi"/>
                <w:lang w:val="pt-BR"/>
              </w:rPr>
              <w:t xml:space="preserve"> </w:t>
            </w:r>
          </w:p>
          <w:p w14:paraId="45F8FDA0" w14:textId="77777777" w:rsidR="007E0169" w:rsidRPr="009D76B8" w:rsidRDefault="007E0169" w:rsidP="00EA2A77">
            <w:pPr>
              <w:pStyle w:val="ListParagraph1"/>
              <w:numPr>
                <w:ilvl w:val="0"/>
                <w:numId w:val="23"/>
              </w:numPr>
              <w:spacing w:before="0" w:after="0" w:line="240" w:lineRule="auto"/>
              <w:ind w:left="332" w:hanging="284"/>
              <w:jc w:val="both"/>
              <w:rPr>
                <w:rFonts w:asciiTheme="majorHAnsi" w:hAnsiTheme="majorHAnsi"/>
                <w:lang w:val="pt-BR"/>
              </w:rPr>
            </w:pPr>
            <w:r w:rsidRPr="009D76B8">
              <w:rPr>
                <w:rFonts w:asciiTheme="majorHAnsi" w:hAnsiTheme="majorHAnsi"/>
                <w:lang w:val="pt-BR"/>
              </w:rPr>
              <w:t xml:space="preserve">Passadiço equipado com dispositivos eletrônicos capazes de suportar a operação de aplicação e monitoramento. </w:t>
            </w:r>
          </w:p>
          <w:p w14:paraId="7C26C4FA" w14:textId="77777777" w:rsidR="007E0169" w:rsidRPr="009D76B8" w:rsidRDefault="007E0169" w:rsidP="00EA2A77">
            <w:pPr>
              <w:pStyle w:val="ListParagraph1"/>
              <w:numPr>
                <w:ilvl w:val="0"/>
                <w:numId w:val="23"/>
              </w:numPr>
              <w:spacing w:before="0" w:after="0" w:line="240" w:lineRule="auto"/>
              <w:ind w:left="332" w:hanging="284"/>
              <w:jc w:val="both"/>
              <w:rPr>
                <w:rFonts w:asciiTheme="majorHAnsi" w:hAnsiTheme="majorHAnsi"/>
                <w:lang w:val="pt-BR"/>
              </w:rPr>
            </w:pPr>
            <w:r w:rsidRPr="009D76B8">
              <w:rPr>
                <w:rFonts w:asciiTheme="majorHAnsi" w:hAnsiTheme="majorHAnsi"/>
                <w:lang w:val="pt-BR"/>
              </w:rPr>
              <w:t xml:space="preserve">Capacidade de operar a velocidades de 0,5 a 1,0 nó. </w:t>
            </w:r>
          </w:p>
          <w:p w14:paraId="765FB390" w14:textId="77777777" w:rsidR="007E0169" w:rsidRPr="009D76B8" w:rsidRDefault="007E0169" w:rsidP="00EA2A77">
            <w:pPr>
              <w:pStyle w:val="ListParagraph1"/>
              <w:numPr>
                <w:ilvl w:val="0"/>
                <w:numId w:val="23"/>
              </w:numPr>
              <w:spacing w:before="0" w:after="0" w:line="240" w:lineRule="auto"/>
              <w:ind w:left="332" w:hanging="284"/>
              <w:jc w:val="both"/>
              <w:rPr>
                <w:rFonts w:asciiTheme="majorHAnsi" w:hAnsiTheme="majorHAnsi"/>
                <w:lang w:val="pt-BR"/>
              </w:rPr>
            </w:pPr>
            <w:r w:rsidRPr="009D76B8">
              <w:rPr>
                <w:rFonts w:asciiTheme="majorHAnsi" w:hAnsiTheme="majorHAnsi"/>
                <w:lang w:val="pt-BR"/>
              </w:rPr>
              <w:t>Capacidade de instalar sistema convencional de aspersão de dispersante superficial a ser instalado próximo à proa da embarcação, com braços de aplicação com bicos de aspersão aproximadamente 1,0 m [3 pés] fora da água.</w:t>
            </w:r>
            <w:r w:rsidRPr="009D76B8">
              <w:rPr>
                <w:rFonts w:asciiTheme="majorHAnsi" w:hAnsiTheme="majorHAnsi" w:cs="Arial"/>
                <w:lang w:val="pt-BR"/>
              </w:rPr>
              <w:t xml:space="preserve"> </w:t>
            </w:r>
          </w:p>
          <w:p w14:paraId="5078882F" w14:textId="77777777" w:rsidR="007E0169" w:rsidRPr="009D76B8" w:rsidRDefault="007E0169" w:rsidP="00EA2A77">
            <w:pPr>
              <w:pStyle w:val="ListParagraph1"/>
              <w:numPr>
                <w:ilvl w:val="0"/>
                <w:numId w:val="23"/>
              </w:numPr>
              <w:spacing w:before="0" w:after="0" w:line="240" w:lineRule="auto"/>
              <w:ind w:left="332" w:hanging="284"/>
              <w:jc w:val="both"/>
              <w:rPr>
                <w:rFonts w:asciiTheme="majorHAnsi" w:hAnsiTheme="majorHAnsi"/>
                <w:lang w:val="pt-BR"/>
              </w:rPr>
            </w:pPr>
            <w:r w:rsidRPr="009D76B8">
              <w:rPr>
                <w:rFonts w:asciiTheme="majorHAnsi" w:hAnsiTheme="majorHAnsi"/>
                <w:lang w:val="pt-BR"/>
              </w:rPr>
              <w:t xml:space="preserve">Capacidade de manter posição (em inglês, </w:t>
            </w:r>
            <w:r w:rsidRPr="009D76B8">
              <w:rPr>
                <w:rFonts w:asciiTheme="majorHAnsi" w:hAnsiTheme="majorHAnsi"/>
                <w:i/>
                <w:lang w:val="pt-BR"/>
              </w:rPr>
              <w:t>Dynamic Position</w:t>
            </w:r>
            <w:r w:rsidRPr="009D76B8">
              <w:rPr>
                <w:rFonts w:asciiTheme="majorHAnsi" w:hAnsiTheme="majorHAnsi"/>
                <w:lang w:val="pt-BR"/>
              </w:rPr>
              <w:t xml:space="preserve"> - DP) e autonomia de, no mínimo, 07 dias no mar.</w:t>
            </w:r>
          </w:p>
          <w:p w14:paraId="3B0D4A11" w14:textId="77777777" w:rsidR="007E0169" w:rsidRPr="009D76B8" w:rsidRDefault="007E0169" w:rsidP="00EA2A77">
            <w:pPr>
              <w:pStyle w:val="ListParagraph1"/>
              <w:numPr>
                <w:ilvl w:val="0"/>
                <w:numId w:val="23"/>
              </w:numPr>
              <w:spacing w:before="0" w:after="0" w:line="240" w:lineRule="auto"/>
              <w:ind w:left="332" w:hanging="284"/>
              <w:jc w:val="both"/>
              <w:rPr>
                <w:rFonts w:asciiTheme="majorHAnsi" w:hAnsiTheme="majorHAnsi"/>
                <w:lang w:val="pt-BR"/>
              </w:rPr>
            </w:pPr>
            <w:r w:rsidRPr="009D76B8">
              <w:rPr>
                <w:rFonts w:asciiTheme="majorHAnsi" w:hAnsiTheme="majorHAnsi"/>
                <w:lang w:val="pt-BR"/>
              </w:rPr>
              <w:t>Espaço disponível de convés para mobilização do sistema de aplicação e dos quantitativos de dispersantes</w:t>
            </w:r>
          </w:p>
          <w:p w14:paraId="07DF4399" w14:textId="77777777" w:rsidR="007E0169" w:rsidRPr="009D76B8" w:rsidRDefault="007E0169" w:rsidP="00EA2A77">
            <w:pPr>
              <w:numPr>
                <w:ilvl w:val="0"/>
                <w:numId w:val="23"/>
              </w:numPr>
              <w:spacing w:before="0" w:line="240" w:lineRule="auto"/>
              <w:ind w:left="332" w:hanging="284"/>
              <w:jc w:val="left"/>
              <w:rPr>
                <w:rFonts w:asciiTheme="majorHAnsi" w:hAnsiTheme="majorHAnsi"/>
                <w:sz w:val="20"/>
                <w:szCs w:val="20"/>
              </w:rPr>
            </w:pPr>
            <w:r w:rsidRPr="009D76B8">
              <w:rPr>
                <w:rFonts w:asciiTheme="majorHAnsi" w:hAnsiTheme="majorHAnsi"/>
                <w:sz w:val="20"/>
                <w:szCs w:val="20"/>
              </w:rPr>
              <w:t xml:space="preserve">Sistemas de rádio VHF (marítimo) e SSB. Conexão por satélite (INMARSAT), alinhados com sistema de comunicação da base de operações. </w:t>
            </w:r>
          </w:p>
        </w:tc>
      </w:tr>
      <w:tr w:rsidR="007E0169" w:rsidRPr="009D76B8" w14:paraId="671B253A" w14:textId="77777777" w:rsidTr="007E0169">
        <w:tc>
          <w:tcPr>
            <w:tcW w:w="746" w:type="pct"/>
            <w:shd w:val="clear" w:color="auto" w:fill="D9D9D9" w:themeFill="background1" w:themeFillShade="D9"/>
            <w:vAlign w:val="center"/>
          </w:tcPr>
          <w:p w14:paraId="4110A477" w14:textId="74F9130D" w:rsidR="007E0169" w:rsidRPr="009D76B8" w:rsidRDefault="001C6D6D" w:rsidP="001C6D6D">
            <w:pPr>
              <w:spacing w:before="0" w:line="240" w:lineRule="auto"/>
              <w:rPr>
                <w:rFonts w:asciiTheme="majorHAnsi" w:hAnsiTheme="majorHAnsi"/>
                <w:sz w:val="20"/>
                <w:szCs w:val="20"/>
              </w:rPr>
            </w:pPr>
            <w:r>
              <w:rPr>
                <w:rFonts w:asciiTheme="majorHAnsi" w:hAnsiTheme="majorHAnsi"/>
                <w:sz w:val="20"/>
                <w:szCs w:val="20"/>
              </w:rPr>
              <w:t>1</w:t>
            </w:r>
            <w:r w:rsidR="007E0169" w:rsidRPr="009D76B8">
              <w:rPr>
                <w:rFonts w:asciiTheme="majorHAnsi" w:hAnsiTheme="majorHAnsi"/>
                <w:sz w:val="20"/>
                <w:szCs w:val="20"/>
              </w:rPr>
              <w:t xml:space="preserve"> unid</w:t>
            </w:r>
          </w:p>
        </w:tc>
        <w:tc>
          <w:tcPr>
            <w:tcW w:w="1144" w:type="pct"/>
            <w:shd w:val="clear" w:color="auto" w:fill="D9D9D9" w:themeFill="background1" w:themeFillShade="D9"/>
            <w:vAlign w:val="center"/>
          </w:tcPr>
          <w:p w14:paraId="368247B7" w14:textId="77777777" w:rsidR="007E0169" w:rsidRPr="009D76B8" w:rsidRDefault="007E0169" w:rsidP="009D76B8">
            <w:pPr>
              <w:spacing w:before="0" w:line="240" w:lineRule="auto"/>
              <w:jc w:val="center"/>
              <w:rPr>
                <w:rFonts w:asciiTheme="majorHAnsi" w:hAnsiTheme="majorHAnsi"/>
                <w:sz w:val="20"/>
                <w:szCs w:val="20"/>
              </w:rPr>
            </w:pPr>
            <w:r w:rsidRPr="009D76B8">
              <w:rPr>
                <w:rFonts w:asciiTheme="majorHAnsi" w:hAnsiTheme="majorHAnsi"/>
                <w:sz w:val="20"/>
                <w:szCs w:val="20"/>
              </w:rPr>
              <w:t>ROV</w:t>
            </w:r>
          </w:p>
        </w:tc>
        <w:tc>
          <w:tcPr>
            <w:tcW w:w="3110" w:type="pct"/>
            <w:shd w:val="clear" w:color="auto" w:fill="D9D9D9" w:themeFill="background1" w:themeFillShade="D9"/>
            <w:vAlign w:val="center"/>
          </w:tcPr>
          <w:p w14:paraId="3F061331" w14:textId="5B23D6E5" w:rsidR="007E0169" w:rsidRPr="009D76B8" w:rsidRDefault="007E0169" w:rsidP="009D76B8">
            <w:pPr>
              <w:keepNext/>
              <w:spacing w:before="0" w:line="240" w:lineRule="auto"/>
              <w:rPr>
                <w:rFonts w:asciiTheme="majorHAnsi" w:hAnsiTheme="majorHAnsi"/>
                <w:sz w:val="20"/>
                <w:szCs w:val="20"/>
              </w:rPr>
            </w:pPr>
            <w:r w:rsidRPr="009D76B8">
              <w:rPr>
                <w:rFonts w:asciiTheme="majorHAnsi" w:hAnsiTheme="majorHAnsi"/>
                <w:sz w:val="20"/>
                <w:szCs w:val="20"/>
              </w:rPr>
              <w:t>Capacidade de mergulho da lâmina d’água local do incidente e afastamento lateral de</w:t>
            </w:r>
            <w:r w:rsidR="00AB7C0D">
              <w:rPr>
                <w:rFonts w:asciiTheme="majorHAnsi" w:hAnsiTheme="majorHAnsi"/>
                <w:sz w:val="20"/>
                <w:szCs w:val="20"/>
              </w:rPr>
              <w:t>,</w:t>
            </w:r>
            <w:r w:rsidRPr="009D76B8">
              <w:rPr>
                <w:rFonts w:asciiTheme="majorHAnsi" w:hAnsiTheme="majorHAnsi"/>
                <w:sz w:val="20"/>
                <w:szCs w:val="20"/>
              </w:rPr>
              <w:t xml:space="preserve"> no mínimo</w:t>
            </w:r>
            <w:r w:rsidR="00AB7C0D">
              <w:rPr>
                <w:rFonts w:asciiTheme="majorHAnsi" w:hAnsiTheme="majorHAnsi"/>
                <w:sz w:val="20"/>
                <w:szCs w:val="20"/>
              </w:rPr>
              <w:t>,</w:t>
            </w:r>
            <w:r w:rsidRPr="009D76B8">
              <w:rPr>
                <w:rFonts w:asciiTheme="majorHAnsi" w:hAnsiTheme="majorHAnsi"/>
                <w:sz w:val="20"/>
                <w:szCs w:val="20"/>
              </w:rPr>
              <w:t xml:space="preserve"> 100</w:t>
            </w:r>
            <w:r w:rsidR="00AB7C0D">
              <w:rPr>
                <w:rFonts w:asciiTheme="majorHAnsi" w:hAnsiTheme="majorHAnsi"/>
                <w:sz w:val="20"/>
                <w:szCs w:val="20"/>
              </w:rPr>
              <w:t xml:space="preserve"> m</w:t>
            </w:r>
            <w:r w:rsidR="00656D39">
              <w:rPr>
                <w:rFonts w:asciiTheme="majorHAnsi" w:hAnsiTheme="majorHAnsi"/>
                <w:sz w:val="20"/>
                <w:szCs w:val="20"/>
              </w:rPr>
              <w:t xml:space="preserve"> </w:t>
            </w:r>
            <w:r w:rsidRPr="009D76B8">
              <w:rPr>
                <w:rFonts w:asciiTheme="majorHAnsi" w:hAnsiTheme="majorHAnsi"/>
                <w:sz w:val="20"/>
                <w:szCs w:val="20"/>
              </w:rPr>
              <w:t>da gaiola, para melhor observação das operações.</w:t>
            </w:r>
          </w:p>
        </w:tc>
      </w:tr>
    </w:tbl>
    <w:p w14:paraId="17700787" w14:textId="77777777" w:rsidR="00290F16" w:rsidRPr="009D01BE" w:rsidRDefault="00290F16" w:rsidP="009D01BE">
      <w:pPr>
        <w:pStyle w:val="Ttulo2"/>
      </w:pPr>
      <w:bookmarkStart w:id="252" w:name="_Ref414612700"/>
      <w:bookmarkStart w:id="253" w:name="_Ref414612974"/>
      <w:bookmarkStart w:id="254" w:name="_Toc527990436"/>
      <w:r w:rsidRPr="009D01BE">
        <w:lastRenderedPageBreak/>
        <w:t>Procedimentos para Proteção das Populações</w:t>
      </w:r>
      <w:bookmarkEnd w:id="252"/>
      <w:bookmarkEnd w:id="253"/>
      <w:bookmarkEnd w:id="254"/>
    </w:p>
    <w:p w14:paraId="3FDD7745" w14:textId="77777777" w:rsidR="007E0169" w:rsidRPr="00EE0E12" w:rsidRDefault="007E0169" w:rsidP="004758AB">
      <w:pPr>
        <w:pStyle w:val="tier1Itext"/>
      </w:pPr>
      <w:r w:rsidRPr="00EE0E12">
        <w:t>Nos casos em que a análise da situação do incidente identificar potencial impacto sobre populações humanas, a BP Energy deverá adotar ações para a proteção da sua saúde e segurança. Essas ações deverão ser planejadas considerando não só às populações localizadas ao longo da costa da área de influência do projeto, mas também nas atividades socioeconômicas existentes na região, como por exemplo, a pesca e o turismo. É válido relembrar que para o pessoal envolvido na resposta, serão elaborados Planos de Segurança (ICS 208) para cada localidade onde haja alguma ação planejada.</w:t>
      </w:r>
    </w:p>
    <w:p w14:paraId="2E3578DF" w14:textId="77777777" w:rsidR="007E0169" w:rsidRPr="00EE0E12" w:rsidRDefault="007E0169" w:rsidP="004758AB">
      <w:pPr>
        <w:pStyle w:val="tier1Itext"/>
      </w:pPr>
      <w:r w:rsidRPr="00EE0E12">
        <w:t>Sendo assim, as embarcações não envolvidas nas ações de resposta que por ventura estiverem atuando próximo ao local do incidente deverão ser notificadas via rádio e orientadas a se afastar e a evitar atividades nos locais impactados, ou com potencial de serem impactados (conforme análise da deriva da mancha). Essas orientações deverão ainda ser transmitidas à Marinha do Brasil - Capitania dos Portos de Macapá para que possam ser incorporadas ao sistema de Aviso aos Navegantes, principalmente nos casos em que forem determinadas áreas de restrição de navegação.</w:t>
      </w:r>
    </w:p>
    <w:p w14:paraId="546ABE94" w14:textId="77777777" w:rsidR="007E0169" w:rsidRPr="00EE0E12" w:rsidRDefault="007E0169" w:rsidP="004758AB">
      <w:pPr>
        <w:pStyle w:val="tier1Itext"/>
      </w:pPr>
      <w:r w:rsidRPr="00EE0E12">
        <w:t xml:space="preserve">A BP Energy também poderá utilizar a mídia (jornal, rádio e/ou TV), quando pertinente, para manter a população informada sobre as áreas de risco, protocolos de prevenção e alerta, bem como sobre as ações emergenciais durante o incidente. Tais comunicados serão elaborados pelos Oficiais de Informações Públicas e aprovados pelo IC ou delegado antes de liberados para divulgação. As informações podem incluir, mas não </w:t>
      </w:r>
      <w:r w:rsidR="00AB7C0D">
        <w:t xml:space="preserve">estão </w:t>
      </w:r>
      <w:r w:rsidRPr="00EE0E12">
        <w:t>limitadas a:</w:t>
      </w:r>
    </w:p>
    <w:p w14:paraId="1E1E1D1E"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EE0E12">
        <w:rPr>
          <w:rFonts w:asciiTheme="majorHAnsi" w:hAnsiTheme="majorHAnsi"/>
        </w:rPr>
        <w:t>Evitar o contato com água e sedimentos (por exemplo: areia, lama) contaminados com óleo;</w:t>
      </w:r>
    </w:p>
    <w:p w14:paraId="044FCA37"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Evitar a pesca e captura de moluscos (por exemplo marisco) e crustáceos (por exemplo: caranguejos) em locais contaminados com óleo, e</w:t>
      </w:r>
    </w:p>
    <w:p w14:paraId="040D49F2"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EE0E12">
        <w:rPr>
          <w:rFonts w:asciiTheme="majorHAnsi" w:hAnsiTheme="majorHAnsi"/>
        </w:rPr>
        <w:t>Evitar o consumo de peixes mortos recolhido nas praias.</w:t>
      </w:r>
    </w:p>
    <w:p w14:paraId="0CDA719B" w14:textId="77777777" w:rsidR="007E0169" w:rsidRPr="00EE0E12" w:rsidRDefault="007E0169" w:rsidP="004758AB">
      <w:pPr>
        <w:pStyle w:val="tier1Itext"/>
      </w:pPr>
      <w:r w:rsidRPr="00EE0E12">
        <w:t>É importante ressaltar que os procedimentos para proteção da população deverão ser estabelecidos em consonância com as diretrizes estabelecidas pelo Sistema Nacional de Proteção e Defesa Civil (SINPDEC). Este sistema deverá contribuir com o processo de planejamento, articulação, coordenação e execução de ações de proteção e defesa civil, conforme previsto pela Política Nacional de Proteção e Defesa Civil, institu</w:t>
      </w:r>
      <w:r w:rsidR="004758AB">
        <w:t>ída pela Lei n° 12.608 de 2012.</w:t>
      </w:r>
    </w:p>
    <w:p w14:paraId="3344ECA0" w14:textId="51681F9E" w:rsidR="007E0169" w:rsidRPr="00EE0E12" w:rsidRDefault="007E0169" w:rsidP="004758AB">
      <w:pPr>
        <w:pStyle w:val="tier1Itext"/>
      </w:pPr>
      <w:r w:rsidRPr="00EE0E12">
        <w:lastRenderedPageBreak/>
        <w:t>Para tanto, os órgãos regionais municipais de proteção e defesa civil, constituintes da gestão do SINPDEC, deverão ser notificados nas diferentes jurisdições, de acordo com a abrangência do incidente de derramamento de óleo no mar</w:t>
      </w:r>
      <w:r w:rsidR="00AB7C0D">
        <w:t>, quando estes apresentarem potenci</w:t>
      </w:r>
      <w:r w:rsidR="006751B7">
        <w:t>al</w:t>
      </w:r>
      <w:r w:rsidR="00AB7C0D">
        <w:t xml:space="preserve"> para toque na costa, o que não é o caso para as operações da BP Energy na Foz do Amazonas</w:t>
      </w:r>
      <w:r w:rsidRPr="00EE0E12">
        <w:t>. Uma vez notificado, o poder executivo do município irá classificar a ocorrência e, se necessário e cabível, poderá requerer auxílio das demais esferas de atuação do SINPDEC.</w:t>
      </w:r>
    </w:p>
    <w:p w14:paraId="76367B22" w14:textId="77777777" w:rsidR="007E0169" w:rsidRPr="00EE0E12" w:rsidRDefault="007E0169" w:rsidP="004758AB">
      <w:pPr>
        <w:pStyle w:val="tier1Itext"/>
      </w:pPr>
      <w:r w:rsidRPr="00EE0E12">
        <w:t>A fim de facilitar a avaliação e classificação do incidente por estes órgãos, as seguintes informações poderão ser compartilhadas pela BP</w:t>
      </w:r>
      <w:r w:rsidR="00AB7C0D">
        <w:t xml:space="preserve"> Energy</w:t>
      </w:r>
      <w:r w:rsidRPr="00EE0E12">
        <w:t>:</w:t>
      </w:r>
    </w:p>
    <w:p w14:paraId="231EAC5B" w14:textId="77777777" w:rsidR="007E0169" w:rsidRPr="00EE0E12" w:rsidRDefault="007E0169" w:rsidP="00EA2A77">
      <w:pPr>
        <w:pStyle w:val="OCEBullet"/>
        <w:keepNex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tabs>
          <w:tab w:val="left" w:pos="5529"/>
        </w:tabs>
        <w:spacing w:after="0" w:line="360" w:lineRule="auto"/>
        <w:ind w:left="714" w:hanging="357"/>
        <w:rPr>
          <w:rFonts w:asciiTheme="majorHAnsi" w:hAnsiTheme="majorHAnsi"/>
        </w:rPr>
      </w:pPr>
      <w:r w:rsidRPr="00EE0E12">
        <w:rPr>
          <w:rFonts w:asciiTheme="majorHAnsi" w:hAnsiTheme="majorHAnsi"/>
        </w:rPr>
        <w:t>Data, hora e local do incidente;</w:t>
      </w:r>
    </w:p>
    <w:p w14:paraId="6AC6F333"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tabs>
          <w:tab w:val="left" w:pos="5529"/>
        </w:tabs>
        <w:spacing w:before="0" w:after="0" w:line="360" w:lineRule="auto"/>
        <w:ind w:left="714" w:hanging="357"/>
        <w:rPr>
          <w:rFonts w:asciiTheme="majorHAnsi" w:hAnsiTheme="majorHAnsi"/>
        </w:rPr>
      </w:pPr>
      <w:r w:rsidRPr="00EE0E12">
        <w:rPr>
          <w:rFonts w:asciiTheme="majorHAnsi" w:hAnsiTheme="majorHAnsi"/>
        </w:rPr>
        <w:t>Descrição da(s) área(s) afetada(s) e em risco de ser(em) atingida(s), acompanhada de mapa ou croqui ilustrativo, quando possível;</w:t>
      </w:r>
    </w:p>
    <w:p w14:paraId="6D6CEB0E"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tabs>
          <w:tab w:val="left" w:pos="5529"/>
        </w:tabs>
        <w:spacing w:before="0" w:after="0" w:line="360" w:lineRule="auto"/>
        <w:ind w:left="714" w:hanging="357"/>
        <w:rPr>
          <w:rFonts w:asciiTheme="majorHAnsi" w:hAnsiTheme="majorHAnsi"/>
        </w:rPr>
      </w:pPr>
      <w:r w:rsidRPr="00EE0E12">
        <w:rPr>
          <w:rFonts w:asciiTheme="majorHAnsi" w:hAnsiTheme="majorHAnsi"/>
        </w:rPr>
        <w:t>Descrição das possíveis causas e efeitos do incidente;</w:t>
      </w:r>
    </w:p>
    <w:p w14:paraId="068257EC"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tabs>
          <w:tab w:val="left" w:pos="5529"/>
        </w:tabs>
        <w:spacing w:before="0" w:after="240" w:line="360" w:lineRule="auto"/>
        <w:ind w:left="714" w:hanging="357"/>
        <w:rPr>
          <w:rFonts w:asciiTheme="majorHAnsi" w:hAnsiTheme="majorHAnsi"/>
        </w:rPr>
      </w:pPr>
      <w:r w:rsidRPr="00EE0E12">
        <w:rPr>
          <w:rFonts w:asciiTheme="majorHAnsi" w:hAnsiTheme="majorHAnsi"/>
        </w:rPr>
        <w:t>Outras informações consideradas relevantes (ex: período e locais com restrição de acesso devido a atividades de limpeza).</w:t>
      </w:r>
    </w:p>
    <w:p w14:paraId="5173B87F" w14:textId="77777777" w:rsidR="007E0169" w:rsidRPr="00EE0E12" w:rsidRDefault="007E0169" w:rsidP="004758AB">
      <w:pPr>
        <w:pStyle w:val="tier1Itext"/>
      </w:pPr>
      <w:r w:rsidRPr="00EE0E12">
        <w:t>Adicionalmente, de acordo com o Decreto nº 8.127 de 2013, que institui o Plano Nacional de Contingência (PNC) para Incidentes de Poluição por Óleo em Águas sob Jurisdição Nacional, em incidentes de significância nacional, caberá ao Coordenador Operacional do PNC, em conjunto com os demais integrantes do Grupo de Acompanhamento e Avaliação (GAA), acionar a Defesa Civil, quando necessário, para a retirada de populações atingidas ou em risco iminente de serem atingidas.</w:t>
      </w:r>
    </w:p>
    <w:p w14:paraId="5F79D014" w14:textId="7B718DF4" w:rsidR="007E0169" w:rsidRPr="00EE0E12" w:rsidRDefault="007E0169" w:rsidP="004758AB">
      <w:pPr>
        <w:pStyle w:val="tier1Itext"/>
      </w:pPr>
      <w:r w:rsidRPr="00EE0E12">
        <w:t xml:space="preserve">Novamente é válido relembrar que os estudos de modelagem feitos não indicaram a probabilidade de chegada de óleo em pontos da costa brasileira, e probabilidades significativamente reduzidas </w:t>
      </w:r>
      <w:r w:rsidRPr="00DE6296">
        <w:t xml:space="preserve">(&lt; </w:t>
      </w:r>
      <w:r w:rsidR="00AB7C0D" w:rsidRPr="00DE6296">
        <w:t>1</w:t>
      </w:r>
      <w:r w:rsidR="00AB7C0D">
        <w:t>,5</w:t>
      </w:r>
      <w:r w:rsidRPr="00DE6296">
        <w:t>%)</w:t>
      </w:r>
      <w:r w:rsidRPr="00AB7C0D">
        <w:t xml:space="preserve"> de</w:t>
      </w:r>
      <w:r w:rsidRPr="00EE0E12">
        <w:t xml:space="preserve"> chegada em pontos em terra </w:t>
      </w:r>
      <w:r w:rsidR="00DE6296">
        <w:t>ou nas adjacências de</w:t>
      </w:r>
      <w:r w:rsidR="00DE6296" w:rsidRPr="00EE0E12">
        <w:t xml:space="preserve"> </w:t>
      </w:r>
      <w:r w:rsidR="009806FD" w:rsidRPr="00EE0E12">
        <w:t>países</w:t>
      </w:r>
      <w:r w:rsidRPr="00EE0E12">
        <w:t xml:space="preserve"> caribenhos</w:t>
      </w:r>
      <w:r w:rsidRPr="00EE0E12">
        <w:rPr>
          <w:rStyle w:val="Refdenotaderodap"/>
        </w:rPr>
        <w:footnoteReference w:id="52"/>
      </w:r>
      <w:r w:rsidRPr="00EE0E12">
        <w:t>, ainda assim após um grande período de tempo (mais de 40 dias).</w:t>
      </w:r>
    </w:p>
    <w:p w14:paraId="5F307757" w14:textId="77777777" w:rsidR="00290F16" w:rsidRPr="009E316F" w:rsidRDefault="00290F16" w:rsidP="009D01BE">
      <w:pPr>
        <w:pStyle w:val="Ttulo2"/>
        <w:rPr>
          <w:lang w:val="pt-BR"/>
        </w:rPr>
      </w:pPr>
      <w:bookmarkStart w:id="255" w:name="_Ref414612607"/>
      <w:bookmarkStart w:id="256" w:name="_Ref414612651"/>
      <w:bookmarkStart w:id="257" w:name="_Ref414612894"/>
      <w:bookmarkStart w:id="258" w:name="_Ref414612936"/>
      <w:bookmarkStart w:id="259" w:name="_Toc527990437"/>
      <w:r w:rsidRPr="009E316F">
        <w:rPr>
          <w:lang w:val="pt-BR"/>
        </w:rPr>
        <w:lastRenderedPageBreak/>
        <w:t>Procedimentos para a Proteção de Áreas Vulneráveis e Limpeza de Áreas Atingidas</w:t>
      </w:r>
      <w:bookmarkEnd w:id="255"/>
      <w:bookmarkEnd w:id="256"/>
      <w:bookmarkEnd w:id="257"/>
      <w:bookmarkEnd w:id="258"/>
      <w:bookmarkEnd w:id="259"/>
    </w:p>
    <w:p w14:paraId="615F29E8" w14:textId="77777777" w:rsidR="007E0169" w:rsidRPr="00EE0E12" w:rsidRDefault="007E0169" w:rsidP="004758AB">
      <w:pPr>
        <w:pStyle w:val="tier1Itext"/>
      </w:pPr>
      <w:r w:rsidRPr="00EE0E12">
        <w:t>A definição das estratégias para proteção de áreas vulneráveis deverá ser feita com base nas informações provenientes de monitoramento e avaliação da dispersão e deriva do óleo no mar e obtenção e atualização de informações relevantes. Tais estratégias deverão considerar o deslocamento previsto da mancha, identificação de áreas vulneráveis, acionamento dos recursos de resposta necessário</w:t>
      </w:r>
      <w:r w:rsidR="004758AB">
        <w:t>s e o devido suporte logístico.</w:t>
      </w:r>
    </w:p>
    <w:p w14:paraId="1AD7994D" w14:textId="77777777" w:rsidR="007E0169" w:rsidRPr="00EE0E12" w:rsidRDefault="007E0169" w:rsidP="004758AB">
      <w:pPr>
        <w:pStyle w:val="tier1Itext"/>
      </w:pPr>
      <w:r w:rsidRPr="00EE0E12">
        <w:t>A definição das áreas vulneráveis a serem protegidas e de áreas de recolhimento para onde poderá ser direcionada a mancha de óleo deverá considerar aspectos sociais, econômicos e ambientais do Mapa de Vulnerabilidade, apresentado no</w:t>
      </w:r>
      <w:r w:rsidR="0099172E">
        <w:t xml:space="preserve"> </w:t>
      </w:r>
      <w:r w:rsidR="0099172E" w:rsidRPr="0099172E">
        <w:rPr>
          <w:b/>
        </w:rPr>
        <w:t>ANEXO C</w:t>
      </w:r>
      <w:r w:rsidR="004758AB">
        <w:t>.</w:t>
      </w:r>
    </w:p>
    <w:p w14:paraId="5C20E7A7" w14:textId="77777777" w:rsidR="007E0169" w:rsidRPr="00EE0E12" w:rsidRDefault="007E0169" w:rsidP="0099172E">
      <w:pPr>
        <w:pStyle w:val="tier1Itext"/>
      </w:pPr>
      <w:r w:rsidRPr="00EE0E12">
        <w:t>Os procedimentos de proteção de ambientes ecologicamente sensíveis ao óleo poderão ser realizados de diferentes formas, como através do uso de barreiras de contenção ou absorventes (estratégia de isolamento) ou o desvio do óleo para áreas aonde o impacto não será tão significativo para que seja efetuado o seu posterior recolhimento ou li</w:t>
      </w:r>
      <w:r w:rsidR="0099172E">
        <w:t>mpeza (estratégia de deflexão).</w:t>
      </w:r>
    </w:p>
    <w:p w14:paraId="7563D2D9" w14:textId="77777777" w:rsidR="007E0169" w:rsidRPr="00EE0E12" w:rsidRDefault="007E0169" w:rsidP="0099172E">
      <w:pPr>
        <w:pStyle w:val="tier1Itext"/>
      </w:pPr>
      <w:r w:rsidRPr="00EE0E12">
        <w:t>Conforme estabelecido na Nota Técnica n° 03 de 2013</w:t>
      </w:r>
      <w:r w:rsidRPr="00EE0E12">
        <w:rPr>
          <w:color w:val="1F497D"/>
        </w:rPr>
        <w:t xml:space="preserve"> </w:t>
      </w:r>
      <w:r w:rsidRPr="00EE0E12">
        <w:t>CGPEG/DILIC/IBAMA, o detalhamento das estratégias de proteção à costa e áreas sensíveis, incluindo descrição dos equipamentos necessários e análise dos tempos efetivos de resposta, é requerido para áreas que apresentem probabilidade de to</w:t>
      </w:r>
      <w:r w:rsidR="0099172E">
        <w:t>que de óleo acima de 30%.</w:t>
      </w:r>
    </w:p>
    <w:p w14:paraId="119CBF3A" w14:textId="60D3FA51" w:rsidR="007E0169" w:rsidRPr="00EE0E12" w:rsidRDefault="007E0169" w:rsidP="002F3179">
      <w:pPr>
        <w:pStyle w:val="tier1Itext"/>
      </w:pPr>
      <w:r w:rsidRPr="002F3179">
        <w:t>Conforme descrito</w:t>
      </w:r>
      <w:r w:rsidRPr="00EE0E12">
        <w:t xml:space="preserve"> no item </w:t>
      </w:r>
      <w:r w:rsidR="002F3179">
        <w:fldChar w:fldCharType="begin"/>
      </w:r>
      <w:r w:rsidR="002F3179">
        <w:instrText xml:space="preserve"> REF _Ref414547727 \r \h </w:instrText>
      </w:r>
      <w:r w:rsidR="002F3179">
        <w:fldChar w:fldCharType="separate"/>
      </w:r>
      <w:r w:rsidR="00A50E67">
        <w:t>4</w:t>
      </w:r>
      <w:r w:rsidR="002F3179">
        <w:fldChar w:fldCharType="end"/>
      </w:r>
      <w:r w:rsidRPr="00EE0E12">
        <w:t>, o Relatório Técnico de Modelagem Hidrodinâmica e Dispersão de Óleo, Bacia da Foz do Amazonas (BP; PROOCEANO, 2015) indicou que não há probabilidade de toque na costa brasileira para nenhum dos cenários estudados, sendo a probabilidade máxima de toque de 1,3% em São Vicente e Granadinas em um tempo mínimo de aproximadamente 42 dias. Dessa forma, o detalhamento de estratégias de proteção, caso necessário, se dará durante o incidente, conforme o andamento das ações de resposta e em acordo com as instituições e órgãos competentes. Destaca-se que a elaboração deste detalhamento de estratégias, denominado Plano Tático de Resposta para uma localidade (em inglês</w:t>
      </w:r>
      <w:r w:rsidR="009806FD">
        <w:t>,</w:t>
      </w:r>
      <w:r w:rsidRPr="00EE0E12">
        <w:t xml:space="preserve"> </w:t>
      </w:r>
      <w:r w:rsidRPr="00EE0E12">
        <w:rPr>
          <w:i/>
        </w:rPr>
        <w:t>Tactical Response Plan</w:t>
      </w:r>
      <w:r w:rsidR="009806FD">
        <w:t>- TRT</w:t>
      </w:r>
      <w:r w:rsidRPr="00EE0E12">
        <w:t xml:space="preserve">) pode ser feito em até </w:t>
      </w:r>
      <w:r w:rsidR="00236499">
        <w:t>cinco dias</w:t>
      </w:r>
      <w:r w:rsidRPr="00EE0E12">
        <w:t>, tempo consideravelmente inferior aos indicados para o toque na co</w:t>
      </w:r>
      <w:r w:rsidR="002F3179">
        <w:t>sta pelos estudos de modelagem.</w:t>
      </w:r>
    </w:p>
    <w:p w14:paraId="5FB47130" w14:textId="15837F53" w:rsidR="007E0169" w:rsidRDefault="007E0169" w:rsidP="002F3179">
      <w:pPr>
        <w:pStyle w:val="tier1Itext"/>
      </w:pPr>
      <w:r w:rsidRPr="00EE0E12">
        <w:lastRenderedPageBreak/>
        <w:t xml:space="preserve">A BP Energy, como signatária do IBP, tem acesso ao banco de dados georreferenciados </w:t>
      </w:r>
      <w:r w:rsidR="00EC0293">
        <w:t xml:space="preserve">do MAREM Brasil, </w:t>
      </w:r>
      <w:r w:rsidRPr="00EE0E12">
        <w:t>de todo o litoral brasileiro</w:t>
      </w:r>
      <w:r w:rsidR="00EC0293">
        <w:t>,</w:t>
      </w:r>
      <w:r w:rsidRPr="00EE0E12">
        <w:t xml:space="preserve"> desenvolvido durante o PPLC, que servirá de suporte para o planejamento estratégico e tático, e para gestão da operação de resposta em um eventual acidente envolvendo derramamento de óleo no mar.</w:t>
      </w:r>
    </w:p>
    <w:p w14:paraId="15ED2F89" w14:textId="4FDF3AE4" w:rsidR="00290F16" w:rsidRPr="001B401C" w:rsidRDefault="00290F16" w:rsidP="009D01BE">
      <w:pPr>
        <w:pStyle w:val="Ttulo2"/>
        <w:rPr>
          <w:lang w:val="pt-BR"/>
        </w:rPr>
      </w:pPr>
      <w:bookmarkStart w:id="260" w:name="_Ref414612706"/>
      <w:bookmarkStart w:id="261" w:name="_Ref414612979"/>
      <w:bookmarkStart w:id="262" w:name="_Toc527990438"/>
      <w:r w:rsidRPr="001B401C">
        <w:rPr>
          <w:lang w:val="pt-BR"/>
        </w:rPr>
        <w:t>Procedimentos para a Proteção</w:t>
      </w:r>
      <w:r w:rsidR="001B401C">
        <w:rPr>
          <w:lang w:val="pt-BR"/>
        </w:rPr>
        <w:t xml:space="preserve"> à</w:t>
      </w:r>
      <w:r w:rsidRPr="001B401C">
        <w:rPr>
          <w:lang w:val="pt-BR"/>
        </w:rPr>
        <w:t xml:space="preserve"> Fauna</w:t>
      </w:r>
      <w:bookmarkEnd w:id="260"/>
      <w:bookmarkEnd w:id="261"/>
      <w:bookmarkEnd w:id="262"/>
    </w:p>
    <w:p w14:paraId="3B0D3961" w14:textId="199BF67B" w:rsidR="00B152D4" w:rsidRDefault="000B00FA" w:rsidP="00B152D4">
      <w:pPr>
        <w:pStyle w:val="tier1Itext"/>
      </w:pPr>
      <w:bookmarkStart w:id="263" w:name="_Ref414456364"/>
      <w:bookmarkStart w:id="264" w:name="_Ref414456373"/>
      <w:bookmarkStart w:id="265" w:name="_Ref414536677"/>
      <w:bookmarkStart w:id="266" w:name="_Ref414537484"/>
      <w:r>
        <w:t>Para desenvolvimento de um Plano de Proteção à Fauna operacional, com informações relevantes para tomadas de decisão durante um eventual derramamento de óleo no mar, é de suma importância ampliar o conhecimento das espécies e das áreas prioritárias de preservação presentes na região vulnerável ao óleo derramado. Com essas informações é possível realizar um planejamento eficaz sobre a organização geográfica das instalações de atendimento à fauna e sobre seleção das estratégias de proteção a serem consideradas.</w:t>
      </w:r>
    </w:p>
    <w:p w14:paraId="70B8602D" w14:textId="66C029EA" w:rsidR="00EC0293" w:rsidRPr="00C178FE" w:rsidRDefault="00EC0293" w:rsidP="00B152D4">
      <w:pPr>
        <w:pStyle w:val="tier1Itext"/>
      </w:pPr>
      <w:r>
        <w:t xml:space="preserve">Assim sendo, os procedimentos para proteção e rehabilitação de fauna impactadas em caso de vazamento de óleo são apresentados no “Plano de Proteção à Fauna”. </w:t>
      </w:r>
    </w:p>
    <w:p w14:paraId="6C917BBA" w14:textId="77777777" w:rsidR="00290F16" w:rsidRPr="0023676B" w:rsidRDefault="00290F16" w:rsidP="009D01BE">
      <w:pPr>
        <w:pStyle w:val="Ttulo2"/>
        <w:rPr>
          <w:lang w:val="pt-BR"/>
        </w:rPr>
      </w:pPr>
      <w:bookmarkStart w:id="267" w:name="_Ref415230275"/>
      <w:bookmarkStart w:id="268" w:name="_Ref415230290"/>
      <w:bookmarkStart w:id="269" w:name="_Ref415472108"/>
      <w:bookmarkStart w:id="270" w:name="_Ref415472126"/>
      <w:bookmarkStart w:id="271" w:name="_Toc527990439"/>
      <w:r w:rsidRPr="0023676B">
        <w:rPr>
          <w:lang w:val="pt-BR"/>
        </w:rPr>
        <w:t>Procedimento para Coleta e Destinação Final dos Resíduos Gerados</w:t>
      </w:r>
      <w:bookmarkEnd w:id="263"/>
      <w:bookmarkEnd w:id="264"/>
      <w:bookmarkEnd w:id="265"/>
      <w:bookmarkEnd w:id="266"/>
      <w:bookmarkEnd w:id="267"/>
      <w:bookmarkEnd w:id="268"/>
      <w:bookmarkEnd w:id="269"/>
      <w:bookmarkEnd w:id="270"/>
      <w:bookmarkEnd w:id="271"/>
    </w:p>
    <w:p w14:paraId="24448E67" w14:textId="77777777" w:rsidR="007E0169" w:rsidRPr="00EE0E12" w:rsidRDefault="007E0169" w:rsidP="00396C58">
      <w:pPr>
        <w:pStyle w:val="tier1Itext"/>
      </w:pPr>
      <w:r w:rsidRPr="00EE0E12">
        <w:t>Conforme definido pela Resolução CONAMA n° 398 de 2008, a gestão dos resíduos gerados durante as ações de resposta a incidentes envolvendo o derramamento de óleo no mar (do seu início à desmobilização final de recursos) deverá considerar todas as etapas compreendidas entre a sua geração e a destinação final ambientalmente adequada.</w:t>
      </w:r>
    </w:p>
    <w:p w14:paraId="7517CB53" w14:textId="77777777" w:rsidR="007E0169" w:rsidRPr="00EE0E12" w:rsidRDefault="007E0169" w:rsidP="00396C58">
      <w:pPr>
        <w:pStyle w:val="tier1Itext"/>
      </w:pPr>
      <w:r w:rsidRPr="00EE0E12">
        <w:t>Para alinhar as formas de segregação e acondicionamento dos resíduos é necessário que estes sejam classificados conforme a Norma ABNT NBR 10004:2004, e segundo as orientações previstas pela Resolução CONAMA n° 275/2001 e pela Nota Técnica CGPEG/DILIC/IBAMA n° 01 de 2011 (NT 01/2011)</w:t>
      </w:r>
      <w:r w:rsidR="00396C58">
        <w:t>.</w:t>
      </w:r>
    </w:p>
    <w:p w14:paraId="2CE01B0D" w14:textId="77777777" w:rsidR="007E0169" w:rsidRPr="00EE0E12" w:rsidRDefault="007E0169" w:rsidP="00396C58">
      <w:pPr>
        <w:pStyle w:val="tier1Itext"/>
      </w:pPr>
      <w:r w:rsidRPr="00EE0E12">
        <w:t xml:space="preserve">Os procedimentos rotineiros de quantificação, registro, manifestação para transporte e certificação de destinação final, definidos no Plano de Controle da Poluição (PCP), devem ser utilizados, lembrando que de acordo com a legislação ambiental brasileira, todos os resíduos contaminados por óleo são classificados como perigosos (Classe I) e, portanto, necessitam de procedimentos apropriados para estas atividades. Maiores detalhes a respeito da gestão dos resíduos gerados deverão ser consultadas no Plano de Gestão de Resíduos, a ser elaborado no âmbito do Projeto de Controle da Poluição (PCP) das atividades da BP </w:t>
      </w:r>
      <w:r w:rsidR="00236499">
        <w:t xml:space="preserve">Energy </w:t>
      </w:r>
      <w:r w:rsidRPr="00EE0E12">
        <w:t>no Bloco FZA-M-59.</w:t>
      </w:r>
    </w:p>
    <w:p w14:paraId="2C7A8AC7" w14:textId="77777777" w:rsidR="007E0169" w:rsidRPr="00EE0E12" w:rsidRDefault="007E0169" w:rsidP="00396C58">
      <w:pPr>
        <w:pStyle w:val="tier1Itext"/>
      </w:pPr>
      <w:r w:rsidRPr="00EE0E12">
        <w:lastRenderedPageBreak/>
        <w:t>Operações de gestão de resíduos serão conduzidas em concordância com os objetivos da operação de resposta geral, como estabelecida pelo IC e serão gerenciados por membros designados da Seção de Planejamento.</w:t>
      </w:r>
    </w:p>
    <w:p w14:paraId="742AD1F3" w14:textId="77777777" w:rsidR="007E0169" w:rsidRPr="00EE0E12" w:rsidRDefault="007E0169" w:rsidP="00396C58">
      <w:pPr>
        <w:pStyle w:val="tier1Itext"/>
      </w:pPr>
      <w:r w:rsidRPr="00EE0E12">
        <w:t xml:space="preserve">No caso de um derramamento de óleo, a medida que este aumenta em magnitude, também cresce a previsão da quantidade de resíduos contaminados gerados, decorrentes das várias </w:t>
      </w:r>
      <w:r w:rsidR="00396C58">
        <w:t>frentes potenciais de resposta.</w:t>
      </w:r>
    </w:p>
    <w:p w14:paraId="29C5596E" w14:textId="77777777" w:rsidR="007E0169" w:rsidRPr="00EE0E12" w:rsidRDefault="007E0169" w:rsidP="00396C58">
      <w:pPr>
        <w:pStyle w:val="tier1Itext"/>
      </w:pPr>
      <w:r w:rsidRPr="00EE0E12">
        <w:t>No entanto, de acordo com as boas práticas de gerenciamento de resíduos, deve ser evitada ao máximo a contaminação de áreas ou resíduos também envolvidos nas ações do combate ao vazamento</w:t>
      </w:r>
      <w:r w:rsidR="00B97D63">
        <w:t>,</w:t>
      </w:r>
      <w:r w:rsidRPr="00EE0E12">
        <w:t xml:space="preserve"> mas não relacionados ao óleo recuperado. Dentre estes esforços podem ser listados, </w:t>
      </w:r>
      <w:r w:rsidR="00236499">
        <w:t xml:space="preserve">mas </w:t>
      </w:r>
      <w:r w:rsidRPr="00EE0E12">
        <w:t>sem se limitarem a estes:</w:t>
      </w:r>
    </w:p>
    <w:p w14:paraId="13049812"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EE0E12">
        <w:rPr>
          <w:rFonts w:asciiTheme="majorHAnsi" w:hAnsiTheme="majorHAnsi"/>
        </w:rPr>
        <w:t>Priorização de esforços para recuperar o máx</w:t>
      </w:r>
      <w:r w:rsidR="00396C58">
        <w:rPr>
          <w:rFonts w:asciiTheme="majorHAnsi" w:hAnsiTheme="majorHAnsi"/>
        </w:rPr>
        <w:t>imo de óleo derramado possível;</w:t>
      </w:r>
    </w:p>
    <w:p w14:paraId="324AAC7A"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 xml:space="preserve">Priorização das respostas que minimizem as quantidades de óleo que chegam à região costeira (estratégias de combate </w:t>
      </w:r>
      <w:r w:rsidRPr="00EE0E12">
        <w:rPr>
          <w:rFonts w:asciiTheme="majorHAnsi" w:eastAsiaTheme="minorHAnsi" w:hAnsiTheme="majorHAnsi"/>
          <w:i/>
        </w:rPr>
        <w:t>offshore</w:t>
      </w:r>
      <w:r w:rsidRPr="00EE0E12">
        <w:rPr>
          <w:rFonts w:asciiTheme="majorHAnsi" w:hAnsiTheme="majorHAnsi"/>
        </w:rPr>
        <w:t xml:space="preserve"> e </w:t>
      </w:r>
      <w:r w:rsidRPr="00EE0E12">
        <w:rPr>
          <w:rFonts w:asciiTheme="majorHAnsi" w:eastAsiaTheme="minorHAnsi" w:hAnsiTheme="majorHAnsi"/>
          <w:i/>
        </w:rPr>
        <w:t>nearshore</w:t>
      </w:r>
      <w:r w:rsidRPr="00EE0E12">
        <w:rPr>
          <w:rFonts w:asciiTheme="majorHAnsi" w:hAnsiTheme="majorHAnsi"/>
        </w:rPr>
        <w:t>);</w:t>
      </w:r>
    </w:p>
    <w:p w14:paraId="75C7982A"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 xml:space="preserve">Preservação de resíduos gerados nas áreas internas das embarcações envolvidas nas ações de combate, dos resíduos operacionais da base de apoio </w:t>
      </w:r>
      <w:r w:rsidRPr="00EE0E12">
        <w:rPr>
          <w:rFonts w:asciiTheme="majorHAnsi" w:hAnsiTheme="majorHAnsi"/>
          <w:i/>
        </w:rPr>
        <w:t>onshore</w:t>
      </w:r>
      <w:r w:rsidRPr="00EE0E12">
        <w:rPr>
          <w:rFonts w:asciiTheme="majorHAnsi" w:hAnsiTheme="majorHAnsi"/>
        </w:rPr>
        <w:t>, que não gerados no suporte às atividades de resposta e de resíduos de embalagens e materiais de suporte de estações de reabilitação de fauna impactada por óleo contra contaminação;</w:t>
      </w:r>
    </w:p>
    <w:p w14:paraId="052566EB"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Preservação de resíduos das operação de pré-SCAT realizadas antes da chegada de óleo a um ponto da costa;</w:t>
      </w:r>
    </w:p>
    <w:p w14:paraId="06E9E8F7"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Criação de áreas prioritárias de acesso a zonas de limpeza de costa, com restrição ao acesso por fora destas áreas, sempre que possível, e que aí existam procedimentos específicos de limpeza e descontaminação, quando na saída</w:t>
      </w:r>
      <w:r w:rsidR="00985924">
        <w:rPr>
          <w:rFonts w:asciiTheme="majorHAnsi" w:hAnsiTheme="majorHAnsi"/>
        </w:rPr>
        <w:t xml:space="preserve"> de pessoal, materiais e equipamentos</w:t>
      </w:r>
      <w:r w:rsidRPr="00EE0E12">
        <w:rPr>
          <w:rFonts w:asciiTheme="majorHAnsi" w:hAnsiTheme="majorHAnsi"/>
        </w:rPr>
        <w:t>;</w:t>
      </w:r>
    </w:p>
    <w:p w14:paraId="569B09EB"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 xml:space="preserve">Gerenciamento específico para áreas de descontaminação, para evitar que qualquer forma de resíduos desta atividade saia dos limites </w:t>
      </w:r>
      <w:r w:rsidR="00985924" w:rsidRPr="00EE0E12">
        <w:rPr>
          <w:rFonts w:asciiTheme="majorHAnsi" w:hAnsiTheme="majorHAnsi"/>
        </w:rPr>
        <w:t>d</w:t>
      </w:r>
      <w:r w:rsidR="00985924">
        <w:rPr>
          <w:rFonts w:asciiTheme="majorHAnsi" w:hAnsiTheme="majorHAnsi"/>
        </w:rPr>
        <w:t>e sua</w:t>
      </w:r>
      <w:r w:rsidR="00985924" w:rsidRPr="00EE0E12">
        <w:rPr>
          <w:rFonts w:asciiTheme="majorHAnsi" w:hAnsiTheme="majorHAnsi"/>
        </w:rPr>
        <w:t xml:space="preserve"> </w:t>
      </w:r>
      <w:r w:rsidRPr="00EE0E12">
        <w:rPr>
          <w:rFonts w:asciiTheme="majorHAnsi" w:hAnsiTheme="majorHAnsi"/>
        </w:rPr>
        <w:t xml:space="preserve">área delimitada; </w:t>
      </w:r>
    </w:p>
    <w:p w14:paraId="14D8736F"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Planejamento otimizado das operações de resposta visando a minimização da geração de resíduos, sempre que praticável e sem comprometer as diretrizes de segurança e eficiência das ações de resposta; e</w:t>
      </w:r>
    </w:p>
    <w:p w14:paraId="4ED134DA"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EE0E12">
        <w:rPr>
          <w:rFonts w:asciiTheme="majorHAnsi" w:hAnsiTheme="majorHAnsi"/>
        </w:rPr>
        <w:t>Criação de procedimentos específicos para manuseio e destinação de produtos introduzidos na operação apenas para apoio à resposta ao vazamento (p. ex: dispersantes).</w:t>
      </w:r>
    </w:p>
    <w:p w14:paraId="4AE56CA1" w14:textId="77777777" w:rsidR="007E0169" w:rsidRPr="00EE0E12" w:rsidRDefault="007E0169" w:rsidP="00BF4947">
      <w:pPr>
        <w:pStyle w:val="tier1Itext"/>
      </w:pPr>
      <w:r w:rsidRPr="00EE0E12">
        <w:lastRenderedPageBreak/>
        <w:t xml:space="preserve">Em geral todos os resíduos gerados em uma resposta já são considerados no Plano de Controle da Poluição (PCP) da atividade, podendo ser diferentes, no entanto, as quantidades e frequências de geração. Neste caso, os contratados dos serviços de armazenamento temporário, transporte e destinação final dos principais tipos de resíduos deverão ser capazes de alterar sua rotina operacional para dar suporte e gerenciar esta situação anômala. Caso previamente identificado o estrito limite operacional de um provedor de uma das </w:t>
      </w:r>
      <w:r w:rsidR="00985924">
        <w:t>destinações ou de uma classe de resíduo</w:t>
      </w:r>
      <w:r w:rsidRPr="00EE0E12">
        <w:t>, outros potenciais provedores devem estar mapeados para serem ativados em caso de emergência.</w:t>
      </w:r>
    </w:p>
    <w:p w14:paraId="5E8549BB" w14:textId="77777777" w:rsidR="007E0169" w:rsidRPr="00EE0E12" w:rsidRDefault="007E0169" w:rsidP="00BF4947">
      <w:pPr>
        <w:pStyle w:val="tier1Itext"/>
      </w:pPr>
      <w:r w:rsidRPr="00EE0E12">
        <w:t>Ressalta-se, contudo, que empresas não previstas pela Matriz de Resíduos, mas previamente avaliadas e aprovadas pelos procedimentos internos de qualificação da BP Energy, poderão ser utilizadas, caso sejam identificadas necessidades complementares àquelas avaliadas na definição da Matriz.</w:t>
      </w:r>
    </w:p>
    <w:p w14:paraId="3A6A84B1" w14:textId="77777777" w:rsidR="007E0169" w:rsidRPr="00EE0E12" w:rsidRDefault="007E0169" w:rsidP="00BF4947">
      <w:pPr>
        <w:pStyle w:val="tier1Itext"/>
      </w:pPr>
      <w:r w:rsidRPr="00EE0E12">
        <w:t xml:space="preserve">Outra alternativa é gerenciar a capacidade de armazenamento temporário dos resíduos da resposta para que os volumes destinados não sobrecarreguem os provedores do PCP. Nesta caso, estas alternativas deverão estar claramente estabelecidas no ICS 204 para o armazenamento de resíduos, e os tipos e quantidades destas estruturas de </w:t>
      </w:r>
      <w:r w:rsidR="00985924">
        <w:t>estocagem</w:t>
      </w:r>
      <w:r w:rsidR="00985924" w:rsidRPr="00EE0E12">
        <w:t xml:space="preserve"> </w:t>
      </w:r>
      <w:r w:rsidRPr="00EE0E12">
        <w:t>temporária complementares demandadas, lançadas no ICS 215 inicial elaborado a partir da análise do potencial do incidente, para suas rápidas disponibilizações.</w:t>
      </w:r>
    </w:p>
    <w:p w14:paraId="23715A83" w14:textId="77777777" w:rsidR="007E0169" w:rsidRPr="00EE0E12" w:rsidRDefault="007E0169" w:rsidP="00BF4947">
      <w:pPr>
        <w:pStyle w:val="tier1Itext"/>
      </w:pPr>
      <w:r w:rsidRPr="00EE0E12">
        <w:t>A(s) área(s) designada(s) para o armazenamento temporário de resíduos deve(m) ser utilizada(s) exclusivamente para tal finalidade. Deve(m) estar claramente</w:t>
      </w:r>
      <w:r w:rsidRPr="00EE0E12">
        <w:rPr>
          <w:szCs w:val="22"/>
        </w:rPr>
        <w:t xml:space="preserve"> identificada</w:t>
      </w:r>
      <w:r w:rsidRPr="00EE0E12">
        <w:t>(s)</w:t>
      </w:r>
      <w:r w:rsidRPr="00EE0E12">
        <w:rPr>
          <w:szCs w:val="22"/>
        </w:rPr>
        <w:t>, serem protegida</w:t>
      </w:r>
      <w:r w:rsidRPr="00EE0E12">
        <w:t>(s)</w:t>
      </w:r>
      <w:r w:rsidRPr="00EE0E12">
        <w:rPr>
          <w:szCs w:val="22"/>
        </w:rPr>
        <w:t xml:space="preserve"> contra intempéries; </w:t>
      </w:r>
      <w:r w:rsidR="00985924">
        <w:rPr>
          <w:szCs w:val="22"/>
        </w:rPr>
        <w:t>ter</w:t>
      </w:r>
      <w:r w:rsidRPr="00EE0E12">
        <w:rPr>
          <w:szCs w:val="22"/>
        </w:rPr>
        <w:t xml:space="preserve"> fácil acesso, contudo restrita(</w:t>
      </w:r>
      <w:r w:rsidRPr="00EE0E12">
        <w:t>s)</w:t>
      </w:r>
      <w:r w:rsidRPr="00EE0E12">
        <w:rPr>
          <w:szCs w:val="22"/>
        </w:rPr>
        <w:t xml:space="preserve"> às pessoas autorizadas e capacitadas para o serviço; além de outros requisitos específicos exigidos pelas normas ABNT </w:t>
      </w:r>
      <w:r w:rsidRPr="00EE0E12">
        <w:t xml:space="preserve">NBR 12235:1992 e </w:t>
      </w:r>
      <w:r w:rsidRPr="00EE0E12">
        <w:rPr>
          <w:szCs w:val="22"/>
        </w:rPr>
        <w:t xml:space="preserve">ABNT </w:t>
      </w:r>
      <w:r w:rsidRPr="00EE0E12">
        <w:t>NBR-11174:1990.</w:t>
      </w:r>
    </w:p>
    <w:p w14:paraId="4EAA0FC2" w14:textId="77777777" w:rsidR="007E0169" w:rsidRPr="00EE0E12" w:rsidRDefault="007E0169" w:rsidP="00BF4947">
      <w:pPr>
        <w:pStyle w:val="tier1Itext"/>
      </w:pPr>
      <w:r w:rsidRPr="00EE0E12">
        <w:t>As áreas destinadas ao armazenamento temporário de resíduos perigosos devem apresentar bacia de contenção guarnecida por um sistema de drenagem de líquidos, de acordo com as condições estabelecidas pela norma ABNT NBR 12235:1992. Áreas destinadas à descontaminação de equipamentos e pessoas devem ser atendidas por sistemas semelhantes. Os efluentes gerados nessas áreas não podem ser descartados na rede de esgoto, devendo ser gerenciados de acordo com as determinações previstas pela Resolução CONAMA n° 430 de 2011.</w:t>
      </w:r>
    </w:p>
    <w:p w14:paraId="6D2B59D8" w14:textId="77777777" w:rsidR="007E0169" w:rsidRPr="00EE0E12" w:rsidRDefault="007E0169" w:rsidP="00BF4947">
      <w:pPr>
        <w:pStyle w:val="tier1Itext"/>
      </w:pPr>
      <w:r w:rsidRPr="00EE0E12">
        <w:t>A disposição dos resíduos na área de armazenamento deve considerar a necessidade de separação física para as diferentes classes, a fim de evitar a contaminação cruzada e/ou a interação entre resíduos incompatíveis. A identificação da classe a que pertencem os resíduos armazenados em uma determinada área deve estar em local de fácil visualização.</w:t>
      </w:r>
    </w:p>
    <w:p w14:paraId="3322A18A" w14:textId="77777777" w:rsidR="007E0169" w:rsidRPr="00EE0E12" w:rsidRDefault="007E0169" w:rsidP="00BF4947">
      <w:pPr>
        <w:pStyle w:val="tier1Itext"/>
      </w:pPr>
      <w:r w:rsidRPr="00EE0E12">
        <w:lastRenderedPageBreak/>
        <w:t>Os resíduos coletados e/ou gerados nas várias frentes de resposta devem ser manuseados apropriadamente e armazenados em (ainda que não exclusivamente):</w:t>
      </w:r>
    </w:p>
    <w:p w14:paraId="529BFE87"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EE0E12">
        <w:rPr>
          <w:rFonts w:asciiTheme="majorHAnsi" w:hAnsiTheme="majorHAnsi"/>
        </w:rPr>
        <w:t>Sacos grandes (</w:t>
      </w:r>
      <w:r w:rsidRPr="00EE0E12">
        <w:rPr>
          <w:rFonts w:asciiTheme="majorHAnsi" w:hAnsiTheme="majorHAnsi"/>
          <w:i/>
        </w:rPr>
        <w:t>bigbags</w:t>
      </w:r>
      <w:r w:rsidRPr="00EE0E12">
        <w:rPr>
          <w:rFonts w:asciiTheme="majorHAnsi" w:hAnsiTheme="majorHAnsi"/>
        </w:rPr>
        <w:t>), os quais devem ter revestimentos de plástico grosso dentro deles (</w:t>
      </w:r>
      <w:r w:rsidRPr="00EE0E12">
        <w:rPr>
          <w:rFonts w:asciiTheme="majorHAnsi" w:hAnsiTheme="majorHAnsi"/>
          <w:i/>
        </w:rPr>
        <w:t>liner</w:t>
      </w:r>
      <w:r w:rsidRPr="00EE0E12">
        <w:rPr>
          <w:rFonts w:asciiTheme="majorHAnsi" w:hAnsiTheme="majorHAnsi"/>
        </w:rPr>
        <w:t>) para impedir que qualquer resíduo oleoso vaze para o meio-ambiente;</w:t>
      </w:r>
    </w:p>
    <w:p w14:paraId="45806140"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Tambores de 55 gal [200 litros] (metal ou plástico) que devem ser usados com tampas; e</w:t>
      </w:r>
    </w:p>
    <w:p w14:paraId="691FB6C7"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EE0E12">
        <w:rPr>
          <w:rFonts w:asciiTheme="majorHAnsi" w:hAnsiTheme="majorHAnsi"/>
        </w:rPr>
        <w:t>Caçambas de metal de volume variável (mais comuns de 5 m</w:t>
      </w:r>
      <w:r w:rsidRPr="00EE0E12">
        <w:rPr>
          <w:rFonts w:asciiTheme="majorHAnsi" w:hAnsiTheme="majorHAnsi"/>
          <w:vertAlign w:val="superscript"/>
        </w:rPr>
        <w:t>3</w:t>
      </w:r>
      <w:r w:rsidRPr="00EE0E12">
        <w:rPr>
          <w:rFonts w:asciiTheme="majorHAnsi" w:hAnsiTheme="majorHAnsi"/>
        </w:rPr>
        <w:t xml:space="preserve">) que podem ser fechadas e terem tampas ou serem abertas </w:t>
      </w:r>
      <w:r w:rsidR="00985924">
        <w:rPr>
          <w:rFonts w:asciiTheme="majorHAnsi" w:hAnsiTheme="majorHAnsi"/>
        </w:rPr>
        <w:t xml:space="preserve">mas com dispositivo de </w:t>
      </w:r>
      <w:r w:rsidRPr="00EE0E12">
        <w:rPr>
          <w:rFonts w:asciiTheme="majorHAnsi" w:hAnsiTheme="majorHAnsi"/>
        </w:rPr>
        <w:t>cobert</w:t>
      </w:r>
      <w:r w:rsidR="00985924">
        <w:rPr>
          <w:rFonts w:asciiTheme="majorHAnsi" w:hAnsiTheme="majorHAnsi"/>
        </w:rPr>
        <w:t>ur</w:t>
      </w:r>
      <w:r w:rsidRPr="00EE0E12">
        <w:rPr>
          <w:rFonts w:asciiTheme="majorHAnsi" w:hAnsiTheme="majorHAnsi"/>
        </w:rPr>
        <w:t>a durante o armazenamento e o transporte dos resíduos.</w:t>
      </w:r>
    </w:p>
    <w:p w14:paraId="00B3EB08" w14:textId="77777777" w:rsidR="007E0169" w:rsidRPr="00EE0E12" w:rsidRDefault="007E0169" w:rsidP="00BF4947">
      <w:pPr>
        <w:pStyle w:val="tier1Itext"/>
      </w:pPr>
      <w:r w:rsidRPr="00EE0E12">
        <w:t xml:space="preserve">Nas áreas de recepção e na de preparação para transporte, um guindaste e seu operador devem estar disponíveis para transferir as cargas de resíduos de embarcações para caminhões. Se um guindaste não estiver disponível, os caminhões devem ser equipados com mecanismo de içamento hidráulico </w:t>
      </w:r>
      <w:r w:rsidR="00985924">
        <w:t>(</w:t>
      </w:r>
      <w:r w:rsidR="00985924" w:rsidRPr="002C6FAB">
        <w:rPr>
          <w:i/>
        </w:rPr>
        <w:t>munk</w:t>
      </w:r>
      <w:r w:rsidR="00985924">
        <w:t xml:space="preserve">) </w:t>
      </w:r>
      <w:r w:rsidRPr="00EE0E12">
        <w:t>para carregar os resíduos aos caminhões de tra</w:t>
      </w:r>
      <w:r w:rsidR="00947A22">
        <w:t>ns</w:t>
      </w:r>
      <w:r w:rsidRPr="00EE0E12">
        <w:t>porte de resíduos. O uso de empilhadeiras para carregar resíduos do solo para caminhões também é possível.</w:t>
      </w:r>
    </w:p>
    <w:p w14:paraId="114C3341" w14:textId="77777777" w:rsidR="007E0169" w:rsidRPr="00EE0E12" w:rsidRDefault="007E0169" w:rsidP="00BF4947">
      <w:pPr>
        <w:pStyle w:val="tier1Itext"/>
      </w:pPr>
      <w:r w:rsidRPr="00EE0E12">
        <w:t xml:space="preserve">Ressalta-se que um inventário deverá ser mantido e atualizado para o adequado controle dos resíduos armazenados na Base de </w:t>
      </w:r>
      <w:r w:rsidR="00BF4947">
        <w:t>Apoio ou instalação provisória.</w:t>
      </w:r>
    </w:p>
    <w:p w14:paraId="3356F193" w14:textId="77777777" w:rsidR="007E0169" w:rsidRPr="00EE0E12" w:rsidRDefault="007E0169" w:rsidP="00BF4947">
      <w:pPr>
        <w:pStyle w:val="tier1Itext"/>
      </w:pPr>
      <w:r w:rsidRPr="00EE0E12">
        <w:t>Outro objetivo que deve ser procurado diz respeito ao esforço na redução de quantidades de resíduos gerados, principalmente na mistura óleosa recolhida do mar. A utilização de sistemas separadores água-óleo portáteis a bordo de embarcações envolvidas nos esforços de contenção e recolhimento, ou em embarcações adicionais disponibilizadas ou na própria sonda de perfuração (se possível) para auxiliar no estoque da mistura recolhida durante as operações, é um ponto a ser considerado. Estas unidades processariam os volumes de água oleosa recolhida durante os períodos não operacionais</w:t>
      </w:r>
      <w:r w:rsidR="00985924">
        <w:t xml:space="preserve"> da resposta</w:t>
      </w:r>
      <w:r w:rsidRPr="00EE0E12">
        <w:t>, descartando seus efluentes de forma monitorada de acordo com os padrões definidos na Convenção MARPOL (15 ppm).</w:t>
      </w:r>
    </w:p>
    <w:p w14:paraId="297E52C8" w14:textId="7FE34EA3" w:rsidR="007E0169" w:rsidRPr="00EE0E12" w:rsidRDefault="007E0169" w:rsidP="00BF4947">
      <w:pPr>
        <w:pStyle w:val="tier1Itext"/>
        <w:rPr>
          <w:rFonts w:cstheme="majorHAnsi"/>
        </w:rPr>
      </w:pPr>
      <w:r w:rsidRPr="00EE0E12">
        <w:rPr>
          <w:rFonts w:cstheme="majorHAnsi"/>
        </w:rPr>
        <w:t xml:space="preserve">A </w:t>
      </w:r>
      <w:r w:rsidR="00FA49B6" w:rsidRPr="00FA49B6">
        <w:rPr>
          <w:rFonts w:cstheme="majorHAnsi"/>
          <w:b/>
        </w:rPr>
        <w:fldChar w:fldCharType="begin"/>
      </w:r>
      <w:r w:rsidR="00FA49B6" w:rsidRPr="00FA49B6">
        <w:rPr>
          <w:rFonts w:cstheme="majorHAnsi"/>
          <w:b/>
        </w:rPr>
        <w:instrText xml:space="preserve"> REF _Ref414560357 \h  \* MERGEFORMAT </w:instrText>
      </w:r>
      <w:r w:rsidR="00FA49B6" w:rsidRPr="00FA49B6">
        <w:rPr>
          <w:rFonts w:cstheme="majorHAnsi"/>
          <w:b/>
        </w:rPr>
      </w:r>
      <w:r w:rsidR="00FA49B6" w:rsidRPr="00FA49B6">
        <w:rPr>
          <w:rFonts w:cstheme="majorHAnsi"/>
          <w:b/>
        </w:rPr>
        <w:fldChar w:fldCharType="separate"/>
      </w:r>
      <w:r w:rsidR="00CD1E9E" w:rsidRPr="00CD1E9E">
        <w:rPr>
          <w:b/>
          <w:szCs w:val="20"/>
        </w:rPr>
        <w:t xml:space="preserve">Tabela </w:t>
      </w:r>
      <w:r w:rsidR="00CD1E9E" w:rsidRPr="004B2C3C">
        <w:rPr>
          <w:b/>
          <w:noProof/>
          <w:szCs w:val="20"/>
          <w:highlight w:val="lightGray"/>
        </w:rPr>
        <w:t>20</w:t>
      </w:r>
      <w:r w:rsidR="00FA49B6" w:rsidRPr="00FA49B6">
        <w:rPr>
          <w:rFonts w:cstheme="majorHAnsi"/>
          <w:b/>
        </w:rPr>
        <w:fldChar w:fldCharType="end"/>
      </w:r>
      <w:r w:rsidR="00BF4947" w:rsidRPr="00FA49B6">
        <w:rPr>
          <w:rFonts w:cstheme="majorHAnsi"/>
        </w:rPr>
        <w:t xml:space="preserve"> </w:t>
      </w:r>
      <w:r w:rsidRPr="00FA49B6">
        <w:rPr>
          <w:rFonts w:cstheme="majorHAnsi"/>
        </w:rPr>
        <w:t>l</w:t>
      </w:r>
      <w:r w:rsidRPr="00EE0E12">
        <w:rPr>
          <w:rFonts w:cstheme="majorHAnsi"/>
        </w:rPr>
        <w:t xml:space="preserve">ista exemplos de diferentes tipos de resíduos típicos gerados nas </w:t>
      </w:r>
      <w:r w:rsidR="00BF4947">
        <w:rPr>
          <w:rFonts w:cstheme="majorHAnsi"/>
        </w:rPr>
        <w:t>principais técnicas de resposta.</w:t>
      </w:r>
    </w:p>
    <w:p w14:paraId="6E3A9197" w14:textId="77777777" w:rsidR="007E0169" w:rsidRPr="00EE0E12" w:rsidRDefault="007E0169" w:rsidP="007E0169">
      <w:pPr>
        <w:rPr>
          <w:rFonts w:asciiTheme="majorHAnsi" w:hAnsiTheme="majorHAnsi"/>
        </w:rPr>
        <w:sectPr w:rsidR="007E0169" w:rsidRPr="00EE0E12" w:rsidSect="00656D39">
          <w:headerReference w:type="default" r:id="rId79"/>
          <w:footerReference w:type="default" r:id="rId80"/>
          <w:pgSz w:w="11906" w:h="16838" w:code="9"/>
          <w:pgMar w:top="1418" w:right="1418" w:bottom="1418" w:left="1418" w:header="170" w:footer="0" w:gutter="0"/>
          <w:cols w:space="708"/>
          <w:docGrid w:linePitch="360"/>
        </w:sectPr>
      </w:pP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Look w:val="01E0" w:firstRow="1" w:lastRow="1" w:firstColumn="1" w:lastColumn="1" w:noHBand="0" w:noVBand="0"/>
      </w:tblPr>
      <w:tblGrid>
        <w:gridCol w:w="2027"/>
        <w:gridCol w:w="2604"/>
        <w:gridCol w:w="3188"/>
        <w:gridCol w:w="1447"/>
        <w:gridCol w:w="2171"/>
        <w:gridCol w:w="2535"/>
      </w:tblGrid>
      <w:tr w:rsidR="007E0169" w:rsidRPr="009236C4" w14:paraId="381F009C" w14:textId="77777777" w:rsidTr="0010683E">
        <w:trPr>
          <w:cantSplit/>
          <w:trHeight w:val="340"/>
          <w:tblHeader/>
        </w:trPr>
        <w:tc>
          <w:tcPr>
            <w:tcW w:w="5000" w:type="pct"/>
            <w:gridSpan w:val="6"/>
            <w:shd w:val="clear" w:color="auto" w:fill="FFFFFF" w:themeFill="background1"/>
            <w:vAlign w:val="bottom"/>
          </w:tcPr>
          <w:p w14:paraId="57F048A0" w14:textId="67CBB8B3" w:rsidR="007E0169" w:rsidRPr="009236C4" w:rsidRDefault="007E0169" w:rsidP="009236C4">
            <w:pPr>
              <w:pStyle w:val="Legenda"/>
              <w:spacing w:before="0" w:after="0" w:line="240" w:lineRule="auto"/>
              <w:jc w:val="left"/>
              <w:rPr>
                <w:color w:val="FFFFFF" w:themeColor="background1"/>
                <w:szCs w:val="20"/>
              </w:rPr>
            </w:pPr>
            <w:bookmarkStart w:id="272" w:name="_Ref414560357"/>
            <w:bookmarkStart w:id="273" w:name="_Toc412812279"/>
            <w:bookmarkStart w:id="274" w:name="_Toc527990495"/>
            <w:r w:rsidRPr="009236C4">
              <w:rPr>
                <w:szCs w:val="20"/>
              </w:rPr>
              <w:lastRenderedPageBreak/>
              <w:t xml:space="preserve">Tabela </w:t>
            </w:r>
            <w:r w:rsidR="0036087F" w:rsidRPr="004B2C3C">
              <w:rPr>
                <w:szCs w:val="20"/>
                <w:highlight w:val="lightGray"/>
              </w:rPr>
              <w:fldChar w:fldCharType="begin"/>
            </w:r>
            <w:r w:rsidR="0036087F" w:rsidRPr="004B2C3C">
              <w:rPr>
                <w:szCs w:val="20"/>
                <w:highlight w:val="lightGray"/>
              </w:rPr>
              <w:instrText xml:space="preserve"> SEQ Tabela \* ARABIC </w:instrText>
            </w:r>
            <w:r w:rsidR="0036087F" w:rsidRPr="004B2C3C">
              <w:rPr>
                <w:szCs w:val="20"/>
                <w:highlight w:val="lightGray"/>
              </w:rPr>
              <w:fldChar w:fldCharType="separate"/>
            </w:r>
            <w:r w:rsidR="00CD1E9E" w:rsidRPr="004B2C3C">
              <w:rPr>
                <w:noProof/>
                <w:szCs w:val="20"/>
                <w:highlight w:val="lightGray"/>
              </w:rPr>
              <w:t>20</w:t>
            </w:r>
            <w:r w:rsidR="0036087F" w:rsidRPr="004B2C3C">
              <w:rPr>
                <w:noProof/>
                <w:szCs w:val="20"/>
                <w:highlight w:val="lightGray"/>
              </w:rPr>
              <w:fldChar w:fldCharType="end"/>
            </w:r>
            <w:bookmarkEnd w:id="272"/>
            <w:r w:rsidRPr="009236C4">
              <w:rPr>
                <w:szCs w:val="20"/>
              </w:rPr>
              <w:t>: Tipos típicos de resíduos gerados durante uma operação de resposta a derramamentos de óleo e limpeza.</w:t>
            </w:r>
            <w:bookmarkEnd w:id="273"/>
            <w:bookmarkEnd w:id="274"/>
          </w:p>
        </w:tc>
      </w:tr>
      <w:tr w:rsidR="007E0169" w:rsidRPr="009236C4" w14:paraId="467E4A3B" w14:textId="77777777" w:rsidTr="0010683E">
        <w:trPr>
          <w:cantSplit/>
          <w:tblHeader/>
        </w:trPr>
        <w:tc>
          <w:tcPr>
            <w:tcW w:w="725" w:type="pct"/>
            <w:shd w:val="clear" w:color="auto" w:fill="1F497D"/>
            <w:vAlign w:val="center"/>
          </w:tcPr>
          <w:p w14:paraId="18673C63" w14:textId="77777777" w:rsidR="007E0169" w:rsidRPr="009236C4" w:rsidRDefault="007E0169" w:rsidP="009236C4">
            <w:pPr>
              <w:pStyle w:val="CharChar8"/>
              <w:rPr>
                <w:b/>
                <w:i w:val="0"/>
                <w:color w:val="FFFFFF" w:themeColor="background1"/>
              </w:rPr>
            </w:pPr>
            <w:r w:rsidRPr="009236C4">
              <w:rPr>
                <w:b/>
                <w:i w:val="0"/>
                <w:color w:val="FFFFFF" w:themeColor="background1"/>
              </w:rPr>
              <w:br w:type="page"/>
              <w:t>Local da Resposta</w:t>
            </w:r>
          </w:p>
        </w:tc>
        <w:tc>
          <w:tcPr>
            <w:tcW w:w="932" w:type="pct"/>
            <w:shd w:val="clear" w:color="auto" w:fill="1F497D"/>
            <w:vAlign w:val="center"/>
          </w:tcPr>
          <w:p w14:paraId="4B846207" w14:textId="77777777" w:rsidR="007E0169" w:rsidRPr="009236C4" w:rsidRDefault="007E0169" w:rsidP="009236C4">
            <w:pPr>
              <w:pStyle w:val="CharChar8"/>
              <w:rPr>
                <w:b/>
                <w:i w:val="0"/>
                <w:color w:val="FFFFFF" w:themeColor="background1"/>
              </w:rPr>
            </w:pPr>
            <w:r w:rsidRPr="009236C4">
              <w:rPr>
                <w:b/>
                <w:i w:val="0"/>
                <w:color w:val="FFFFFF" w:themeColor="background1"/>
              </w:rPr>
              <w:t>Fonte de Resíduos</w:t>
            </w:r>
          </w:p>
        </w:tc>
        <w:tc>
          <w:tcPr>
            <w:tcW w:w="1141" w:type="pct"/>
            <w:shd w:val="clear" w:color="auto" w:fill="1F497D"/>
            <w:vAlign w:val="center"/>
          </w:tcPr>
          <w:p w14:paraId="30B18BFF" w14:textId="77777777" w:rsidR="007E0169" w:rsidRPr="009236C4" w:rsidRDefault="007E0169" w:rsidP="009236C4">
            <w:pPr>
              <w:pStyle w:val="CharChar8"/>
              <w:rPr>
                <w:b/>
                <w:i w:val="0"/>
                <w:color w:val="FFFFFF" w:themeColor="background1"/>
              </w:rPr>
            </w:pPr>
            <w:r w:rsidRPr="009236C4">
              <w:rPr>
                <w:b/>
                <w:i w:val="0"/>
                <w:color w:val="FFFFFF" w:themeColor="background1"/>
              </w:rPr>
              <w:t>Tipo de Resíduo</w:t>
            </w:r>
          </w:p>
        </w:tc>
        <w:tc>
          <w:tcPr>
            <w:tcW w:w="518" w:type="pct"/>
            <w:shd w:val="clear" w:color="auto" w:fill="1F497D"/>
            <w:vAlign w:val="center"/>
          </w:tcPr>
          <w:p w14:paraId="26548D3B" w14:textId="77777777" w:rsidR="007E0169" w:rsidRPr="009236C4" w:rsidRDefault="007E0169" w:rsidP="009236C4">
            <w:pPr>
              <w:pStyle w:val="CharChar8"/>
              <w:rPr>
                <w:b/>
                <w:i w:val="0"/>
                <w:color w:val="FFFFFF" w:themeColor="background1"/>
              </w:rPr>
            </w:pPr>
            <w:r w:rsidRPr="009236C4">
              <w:rPr>
                <w:b/>
                <w:i w:val="0"/>
                <w:color w:val="FFFFFF" w:themeColor="background1"/>
              </w:rPr>
              <w:t>Classificação (NBR 10.004/04)</w:t>
            </w:r>
          </w:p>
        </w:tc>
        <w:tc>
          <w:tcPr>
            <w:tcW w:w="777" w:type="pct"/>
            <w:shd w:val="clear" w:color="auto" w:fill="1F497D"/>
            <w:vAlign w:val="center"/>
          </w:tcPr>
          <w:p w14:paraId="14BAD0E0" w14:textId="77777777" w:rsidR="007E0169" w:rsidRPr="009236C4" w:rsidRDefault="007E0169" w:rsidP="009236C4">
            <w:pPr>
              <w:pStyle w:val="CharChar8"/>
              <w:rPr>
                <w:b/>
                <w:i w:val="0"/>
                <w:color w:val="FFFFFF" w:themeColor="background1"/>
              </w:rPr>
            </w:pPr>
            <w:r w:rsidRPr="009236C4">
              <w:rPr>
                <w:b/>
                <w:i w:val="0"/>
                <w:color w:val="FFFFFF" w:themeColor="background1"/>
              </w:rPr>
              <w:t>Código de Cores</w:t>
            </w:r>
          </w:p>
          <w:p w14:paraId="5DEBDCF1" w14:textId="77777777" w:rsidR="007E0169" w:rsidRPr="009236C4" w:rsidRDefault="007E0169" w:rsidP="009236C4">
            <w:pPr>
              <w:pStyle w:val="CharChar8"/>
              <w:rPr>
                <w:b/>
                <w:i w:val="0"/>
                <w:color w:val="FFFFFF" w:themeColor="background1"/>
              </w:rPr>
            </w:pPr>
            <w:r w:rsidRPr="009236C4">
              <w:rPr>
                <w:b/>
                <w:i w:val="0"/>
                <w:color w:val="FFFFFF" w:themeColor="background1"/>
              </w:rPr>
              <w:t>(CONAMA 275)</w:t>
            </w:r>
          </w:p>
        </w:tc>
        <w:tc>
          <w:tcPr>
            <w:tcW w:w="907" w:type="pct"/>
            <w:shd w:val="clear" w:color="auto" w:fill="1F497D"/>
            <w:vAlign w:val="center"/>
          </w:tcPr>
          <w:p w14:paraId="3C87F2E7" w14:textId="77777777" w:rsidR="007E0169" w:rsidRPr="009236C4" w:rsidRDefault="007E0169" w:rsidP="009236C4">
            <w:pPr>
              <w:pStyle w:val="CharChar8"/>
              <w:rPr>
                <w:b/>
                <w:i w:val="0"/>
                <w:color w:val="FFFFFF" w:themeColor="background1"/>
              </w:rPr>
            </w:pPr>
            <w:r w:rsidRPr="009236C4">
              <w:rPr>
                <w:b/>
                <w:i w:val="0"/>
                <w:color w:val="FFFFFF" w:themeColor="background1"/>
              </w:rPr>
              <w:t>Alternativa de Armazenamento</w:t>
            </w:r>
          </w:p>
        </w:tc>
      </w:tr>
      <w:tr w:rsidR="007E0169" w:rsidRPr="009236C4" w14:paraId="0E2C1E0A" w14:textId="77777777" w:rsidTr="0010683E">
        <w:trPr>
          <w:cantSplit/>
          <w:trHeight w:val="454"/>
        </w:trPr>
        <w:tc>
          <w:tcPr>
            <w:tcW w:w="725" w:type="pct"/>
            <w:vMerge w:val="restart"/>
            <w:shd w:val="clear" w:color="auto" w:fill="D9D9D9" w:themeFill="background1" w:themeFillShade="D9"/>
            <w:vAlign w:val="center"/>
          </w:tcPr>
          <w:p w14:paraId="75F289C1" w14:textId="77777777" w:rsidR="007E0169" w:rsidRPr="009236C4" w:rsidRDefault="007E0169" w:rsidP="009236C4">
            <w:pPr>
              <w:pStyle w:val="CharChar8"/>
              <w:rPr>
                <w:i w:val="0"/>
              </w:rPr>
            </w:pPr>
            <w:r w:rsidRPr="009236C4">
              <w:rPr>
                <w:i w:val="0"/>
              </w:rPr>
              <w:t>Offshore (&gt;30 milhas da costa)</w:t>
            </w:r>
          </w:p>
        </w:tc>
        <w:tc>
          <w:tcPr>
            <w:tcW w:w="932" w:type="pct"/>
            <w:vMerge w:val="restart"/>
            <w:shd w:val="clear" w:color="auto" w:fill="D9D9D9" w:themeFill="background1" w:themeFillShade="D9"/>
            <w:vAlign w:val="center"/>
          </w:tcPr>
          <w:p w14:paraId="749BA686" w14:textId="77777777" w:rsidR="007E0169" w:rsidRPr="009236C4" w:rsidRDefault="007E0169" w:rsidP="009236C4">
            <w:pPr>
              <w:pStyle w:val="CharChar8"/>
              <w:rPr>
                <w:i w:val="0"/>
              </w:rPr>
            </w:pPr>
            <w:r w:rsidRPr="009236C4">
              <w:rPr>
                <w:i w:val="0"/>
              </w:rPr>
              <w:t>Atividade de aplicação de dispersante químico (Aplicação de dispersante por embarcações e aérea)</w:t>
            </w:r>
          </w:p>
        </w:tc>
        <w:tc>
          <w:tcPr>
            <w:tcW w:w="1141" w:type="pct"/>
            <w:shd w:val="clear" w:color="auto" w:fill="D9D9D9" w:themeFill="background1" w:themeFillShade="D9"/>
            <w:vAlign w:val="center"/>
          </w:tcPr>
          <w:p w14:paraId="125054CC" w14:textId="77777777" w:rsidR="007E0169" w:rsidRPr="009236C4" w:rsidRDefault="009236C4" w:rsidP="009236C4">
            <w:pPr>
              <w:pStyle w:val="CharChar8"/>
              <w:rPr>
                <w:i w:val="0"/>
              </w:rPr>
            </w:pPr>
            <w:r w:rsidRPr="009236C4">
              <w:rPr>
                <w:i w:val="0"/>
              </w:rPr>
              <w:t>P</w:t>
            </w:r>
            <w:r w:rsidR="007E0169" w:rsidRPr="009236C4">
              <w:rPr>
                <w:i w:val="0"/>
              </w:rPr>
              <w:t>otes de dispersantes vazios</w:t>
            </w:r>
          </w:p>
        </w:tc>
        <w:tc>
          <w:tcPr>
            <w:tcW w:w="518" w:type="pct"/>
            <w:shd w:val="clear" w:color="auto" w:fill="D9D9D9" w:themeFill="background1" w:themeFillShade="D9"/>
            <w:vAlign w:val="center"/>
          </w:tcPr>
          <w:p w14:paraId="2ED1E22A"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44DE26BF" w14:textId="77777777" w:rsidR="007E0169" w:rsidRPr="009236C4" w:rsidRDefault="007E0169" w:rsidP="009236C4">
            <w:pPr>
              <w:pStyle w:val="CharChar8"/>
              <w:ind w:right="-105"/>
              <w:rPr>
                <w:i w:val="0"/>
              </w:rPr>
            </w:pPr>
            <w:r w:rsidRPr="009236C4">
              <w:rPr>
                <w:i w:val="0"/>
              </w:rPr>
              <w:t>Laranja</w:t>
            </w:r>
          </w:p>
        </w:tc>
        <w:tc>
          <w:tcPr>
            <w:tcW w:w="907" w:type="pct"/>
            <w:shd w:val="clear" w:color="auto" w:fill="D9D9D9" w:themeFill="background1" w:themeFillShade="D9"/>
            <w:vAlign w:val="center"/>
          </w:tcPr>
          <w:p w14:paraId="19813DCA" w14:textId="77777777" w:rsidR="007E0169" w:rsidRPr="009236C4" w:rsidRDefault="007E0169" w:rsidP="009236C4">
            <w:pPr>
              <w:pStyle w:val="CharChar8"/>
              <w:ind w:right="-105"/>
              <w:rPr>
                <w:i w:val="0"/>
              </w:rPr>
            </w:pPr>
            <w:r w:rsidRPr="009236C4">
              <w:rPr>
                <w:i w:val="0"/>
              </w:rPr>
              <w:t>Área de drenagem contida</w:t>
            </w:r>
          </w:p>
        </w:tc>
      </w:tr>
      <w:tr w:rsidR="007E0169" w:rsidRPr="009236C4" w14:paraId="57E5453E" w14:textId="77777777" w:rsidTr="0010683E">
        <w:trPr>
          <w:cantSplit/>
        </w:trPr>
        <w:tc>
          <w:tcPr>
            <w:tcW w:w="725" w:type="pct"/>
            <w:vMerge/>
            <w:shd w:val="clear" w:color="auto" w:fill="D9D9D9" w:themeFill="background1" w:themeFillShade="D9"/>
            <w:vAlign w:val="center"/>
          </w:tcPr>
          <w:p w14:paraId="4D892D30"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22977630"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279DCA8F" w14:textId="77777777" w:rsidR="007E0169" w:rsidRPr="009236C4" w:rsidRDefault="007E0169" w:rsidP="009236C4">
            <w:pPr>
              <w:pStyle w:val="CharChar8"/>
              <w:rPr>
                <w:i w:val="0"/>
              </w:rPr>
            </w:pPr>
            <w:r w:rsidRPr="009236C4">
              <w:rPr>
                <w:i w:val="0"/>
              </w:rPr>
              <w:t>EPIs usados</w:t>
            </w:r>
          </w:p>
        </w:tc>
        <w:tc>
          <w:tcPr>
            <w:tcW w:w="518" w:type="pct"/>
            <w:shd w:val="clear" w:color="auto" w:fill="D9D9D9" w:themeFill="background1" w:themeFillShade="D9"/>
            <w:vAlign w:val="center"/>
          </w:tcPr>
          <w:p w14:paraId="6B708F7C"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583D8972" w14:textId="77777777" w:rsidR="007E0169" w:rsidRPr="009236C4" w:rsidRDefault="009236C4" w:rsidP="009236C4">
            <w:pPr>
              <w:pStyle w:val="CharChar8"/>
              <w:ind w:right="-105"/>
              <w:rPr>
                <w:i w:val="0"/>
              </w:rPr>
            </w:pPr>
            <w:r w:rsidRPr="009236C4">
              <w:rPr>
                <w:i w:val="0"/>
              </w:rPr>
              <w:t>Laranja</w:t>
            </w:r>
          </w:p>
        </w:tc>
        <w:tc>
          <w:tcPr>
            <w:tcW w:w="907" w:type="pct"/>
            <w:shd w:val="clear" w:color="auto" w:fill="D9D9D9" w:themeFill="background1" w:themeFillShade="D9"/>
            <w:vAlign w:val="center"/>
          </w:tcPr>
          <w:p w14:paraId="4BCECEED" w14:textId="77777777" w:rsidR="007E0169" w:rsidRPr="009236C4" w:rsidRDefault="007E0169" w:rsidP="009236C4">
            <w:pPr>
              <w:pStyle w:val="CharChar8"/>
              <w:ind w:right="-105"/>
              <w:rPr>
                <w:i w:val="0"/>
              </w:rPr>
            </w:pPr>
            <w:r w:rsidRPr="009236C4">
              <w:rPr>
                <w:i w:val="0"/>
              </w:rPr>
              <w:t>Bigbag com liner armazenados em caçambas metálicas ou containers</w:t>
            </w:r>
          </w:p>
        </w:tc>
      </w:tr>
      <w:tr w:rsidR="007E0169" w:rsidRPr="009236C4" w14:paraId="2C5A85C4" w14:textId="77777777" w:rsidTr="0010683E">
        <w:trPr>
          <w:cantSplit/>
          <w:trHeight w:val="454"/>
        </w:trPr>
        <w:tc>
          <w:tcPr>
            <w:tcW w:w="725" w:type="pct"/>
            <w:vMerge/>
            <w:shd w:val="clear" w:color="auto" w:fill="D9D9D9" w:themeFill="background1" w:themeFillShade="D9"/>
            <w:vAlign w:val="center"/>
          </w:tcPr>
          <w:p w14:paraId="119E51FD" w14:textId="77777777" w:rsidR="007E0169" w:rsidRPr="009236C4" w:rsidRDefault="007E0169" w:rsidP="009236C4">
            <w:pPr>
              <w:pStyle w:val="CharChar8"/>
              <w:rPr>
                <w:i w:val="0"/>
              </w:rPr>
            </w:pPr>
          </w:p>
        </w:tc>
        <w:tc>
          <w:tcPr>
            <w:tcW w:w="932" w:type="pct"/>
            <w:shd w:val="clear" w:color="auto" w:fill="D9D9D9" w:themeFill="background1" w:themeFillShade="D9"/>
            <w:vAlign w:val="center"/>
          </w:tcPr>
          <w:p w14:paraId="01BC110F" w14:textId="77777777" w:rsidR="007E0169" w:rsidRPr="009236C4" w:rsidRDefault="007E0169" w:rsidP="009236C4">
            <w:pPr>
              <w:pStyle w:val="CharChar8"/>
              <w:rPr>
                <w:i w:val="0"/>
              </w:rPr>
            </w:pPr>
            <w:r w:rsidRPr="009236C4">
              <w:rPr>
                <w:i w:val="0"/>
              </w:rPr>
              <w:t>Atividade de contenção e recolhimento</w:t>
            </w:r>
          </w:p>
        </w:tc>
        <w:tc>
          <w:tcPr>
            <w:tcW w:w="1141" w:type="pct"/>
            <w:shd w:val="clear" w:color="auto" w:fill="D9D9D9" w:themeFill="background1" w:themeFillShade="D9"/>
            <w:vAlign w:val="center"/>
          </w:tcPr>
          <w:p w14:paraId="26E71E21" w14:textId="77777777" w:rsidR="007E0169" w:rsidRPr="009236C4" w:rsidRDefault="007E0169" w:rsidP="009236C4">
            <w:pPr>
              <w:pStyle w:val="CharChar8"/>
              <w:rPr>
                <w:i w:val="0"/>
              </w:rPr>
            </w:pPr>
            <w:r w:rsidRPr="009236C4">
              <w:rPr>
                <w:i w:val="0"/>
              </w:rPr>
              <w:t>Água oleosa recuperada</w:t>
            </w:r>
          </w:p>
        </w:tc>
        <w:tc>
          <w:tcPr>
            <w:tcW w:w="518" w:type="pct"/>
            <w:shd w:val="clear" w:color="auto" w:fill="D9D9D9" w:themeFill="background1" w:themeFillShade="D9"/>
            <w:vAlign w:val="center"/>
          </w:tcPr>
          <w:p w14:paraId="0B7B9BE1"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2017C096" w14:textId="77777777" w:rsidR="007E0169" w:rsidRPr="009236C4" w:rsidRDefault="007E0169" w:rsidP="009236C4">
            <w:pPr>
              <w:pStyle w:val="CharChar8"/>
              <w:ind w:right="-105"/>
              <w:rPr>
                <w:i w:val="0"/>
              </w:rPr>
            </w:pPr>
            <w:r w:rsidRPr="009236C4">
              <w:rPr>
                <w:i w:val="0"/>
              </w:rPr>
              <w:t>Laranja</w:t>
            </w:r>
          </w:p>
        </w:tc>
        <w:tc>
          <w:tcPr>
            <w:tcW w:w="907" w:type="pct"/>
            <w:shd w:val="clear" w:color="auto" w:fill="D9D9D9" w:themeFill="background1" w:themeFillShade="D9"/>
            <w:vAlign w:val="center"/>
          </w:tcPr>
          <w:p w14:paraId="4A43F6A9" w14:textId="77777777" w:rsidR="007E0169" w:rsidRPr="009236C4" w:rsidRDefault="007E0169" w:rsidP="009236C4">
            <w:pPr>
              <w:pStyle w:val="CharChar8"/>
              <w:ind w:right="-105"/>
              <w:rPr>
                <w:i w:val="0"/>
              </w:rPr>
            </w:pPr>
            <w:r w:rsidRPr="009236C4">
              <w:rPr>
                <w:i w:val="0"/>
              </w:rPr>
              <w:t>Tanques metálicos</w:t>
            </w:r>
          </w:p>
        </w:tc>
      </w:tr>
      <w:tr w:rsidR="007E0169" w:rsidRPr="009236C4" w14:paraId="40DCCDF1" w14:textId="77777777" w:rsidTr="0010683E">
        <w:trPr>
          <w:cantSplit/>
          <w:trHeight w:val="454"/>
        </w:trPr>
        <w:tc>
          <w:tcPr>
            <w:tcW w:w="725" w:type="pct"/>
            <w:vMerge w:val="restart"/>
            <w:shd w:val="clear" w:color="auto" w:fill="D9D9D9" w:themeFill="background1" w:themeFillShade="D9"/>
            <w:vAlign w:val="center"/>
          </w:tcPr>
          <w:p w14:paraId="27CA77E9" w14:textId="77777777" w:rsidR="007E0169" w:rsidRPr="009236C4" w:rsidRDefault="007E0169" w:rsidP="009236C4">
            <w:pPr>
              <w:pStyle w:val="CharChar8"/>
              <w:rPr>
                <w:i w:val="0"/>
              </w:rPr>
            </w:pPr>
            <w:r w:rsidRPr="009236C4">
              <w:rPr>
                <w:i w:val="0"/>
              </w:rPr>
              <w:t>Nearshore (entre 10 e 04 milhas da costa)</w:t>
            </w:r>
          </w:p>
        </w:tc>
        <w:tc>
          <w:tcPr>
            <w:tcW w:w="932" w:type="pct"/>
            <w:vMerge w:val="restart"/>
            <w:shd w:val="clear" w:color="auto" w:fill="D9D9D9" w:themeFill="background1" w:themeFillShade="D9"/>
            <w:vAlign w:val="center"/>
          </w:tcPr>
          <w:p w14:paraId="1D66F8F8" w14:textId="77777777" w:rsidR="007E0169" w:rsidRPr="009236C4" w:rsidRDefault="007E0169" w:rsidP="009236C4">
            <w:pPr>
              <w:pStyle w:val="CharChar8"/>
              <w:rPr>
                <w:i w:val="0"/>
              </w:rPr>
            </w:pPr>
            <w:r w:rsidRPr="009236C4">
              <w:rPr>
                <w:i w:val="0"/>
              </w:rPr>
              <w:t>Atividade de contenção e recolhimento</w:t>
            </w:r>
          </w:p>
        </w:tc>
        <w:tc>
          <w:tcPr>
            <w:tcW w:w="1141" w:type="pct"/>
            <w:shd w:val="clear" w:color="auto" w:fill="D9D9D9" w:themeFill="background1" w:themeFillShade="D9"/>
            <w:vAlign w:val="center"/>
          </w:tcPr>
          <w:p w14:paraId="1269F4F9" w14:textId="77777777" w:rsidR="007E0169" w:rsidRPr="009236C4" w:rsidRDefault="007E0169" w:rsidP="009236C4">
            <w:pPr>
              <w:pStyle w:val="CharChar8"/>
              <w:rPr>
                <w:i w:val="0"/>
              </w:rPr>
            </w:pPr>
            <w:r w:rsidRPr="009236C4">
              <w:rPr>
                <w:i w:val="0"/>
              </w:rPr>
              <w:t xml:space="preserve">Emulsões </w:t>
            </w:r>
          </w:p>
        </w:tc>
        <w:tc>
          <w:tcPr>
            <w:tcW w:w="518" w:type="pct"/>
            <w:shd w:val="clear" w:color="auto" w:fill="D9D9D9" w:themeFill="background1" w:themeFillShade="D9"/>
            <w:vAlign w:val="center"/>
          </w:tcPr>
          <w:p w14:paraId="05E7B4C0"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250DD762" w14:textId="77777777" w:rsidR="007E0169" w:rsidRPr="009236C4" w:rsidRDefault="007E0169" w:rsidP="009236C4">
            <w:pPr>
              <w:pStyle w:val="CharChar8"/>
              <w:ind w:right="-105"/>
              <w:rPr>
                <w:i w:val="0"/>
              </w:rPr>
            </w:pPr>
            <w:r w:rsidRPr="009236C4">
              <w:rPr>
                <w:i w:val="0"/>
              </w:rPr>
              <w:t>Laranja</w:t>
            </w:r>
          </w:p>
        </w:tc>
        <w:tc>
          <w:tcPr>
            <w:tcW w:w="907" w:type="pct"/>
            <w:shd w:val="clear" w:color="auto" w:fill="D9D9D9" w:themeFill="background1" w:themeFillShade="D9"/>
            <w:vAlign w:val="center"/>
          </w:tcPr>
          <w:p w14:paraId="1F0C95D5" w14:textId="77777777" w:rsidR="007E0169" w:rsidRPr="009236C4" w:rsidRDefault="007E0169" w:rsidP="009236C4">
            <w:pPr>
              <w:pStyle w:val="CharChar8"/>
              <w:ind w:right="-105"/>
              <w:rPr>
                <w:i w:val="0"/>
              </w:rPr>
            </w:pPr>
            <w:r w:rsidRPr="009236C4">
              <w:rPr>
                <w:i w:val="0"/>
              </w:rPr>
              <w:t>Tanques ou tambor</w:t>
            </w:r>
            <w:r w:rsidR="009236C4" w:rsidRPr="009236C4">
              <w:rPr>
                <w:i w:val="0"/>
              </w:rPr>
              <w:t>es metálicos</w:t>
            </w:r>
          </w:p>
        </w:tc>
      </w:tr>
      <w:tr w:rsidR="007E0169" w:rsidRPr="009236C4" w14:paraId="71E45448" w14:textId="77777777" w:rsidTr="0010683E">
        <w:trPr>
          <w:cantSplit/>
          <w:trHeight w:val="454"/>
        </w:trPr>
        <w:tc>
          <w:tcPr>
            <w:tcW w:w="725" w:type="pct"/>
            <w:vMerge/>
            <w:shd w:val="clear" w:color="auto" w:fill="D9D9D9" w:themeFill="background1" w:themeFillShade="D9"/>
            <w:vAlign w:val="center"/>
          </w:tcPr>
          <w:p w14:paraId="71D56DEA"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23E6A245"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61EBF912" w14:textId="77777777" w:rsidR="007E0169" w:rsidRPr="009236C4" w:rsidRDefault="007E0169" w:rsidP="009236C4">
            <w:pPr>
              <w:pStyle w:val="CharChar8"/>
              <w:rPr>
                <w:i w:val="0"/>
              </w:rPr>
            </w:pPr>
            <w:r w:rsidRPr="009236C4">
              <w:rPr>
                <w:i w:val="0"/>
              </w:rPr>
              <w:t>Água oleosa recuperada</w:t>
            </w:r>
          </w:p>
        </w:tc>
        <w:tc>
          <w:tcPr>
            <w:tcW w:w="518" w:type="pct"/>
            <w:shd w:val="clear" w:color="auto" w:fill="D9D9D9" w:themeFill="background1" w:themeFillShade="D9"/>
            <w:vAlign w:val="center"/>
          </w:tcPr>
          <w:p w14:paraId="34BF16BC"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21D7F30E" w14:textId="77777777" w:rsidR="007E0169" w:rsidRPr="009236C4" w:rsidRDefault="007E0169" w:rsidP="009236C4">
            <w:pPr>
              <w:pStyle w:val="CharChar8"/>
              <w:ind w:right="-105"/>
              <w:rPr>
                <w:i w:val="0"/>
              </w:rPr>
            </w:pPr>
            <w:r w:rsidRPr="009236C4">
              <w:rPr>
                <w:i w:val="0"/>
              </w:rPr>
              <w:t>Laranja</w:t>
            </w:r>
          </w:p>
        </w:tc>
        <w:tc>
          <w:tcPr>
            <w:tcW w:w="907" w:type="pct"/>
            <w:shd w:val="clear" w:color="auto" w:fill="D9D9D9" w:themeFill="background1" w:themeFillShade="D9"/>
            <w:vAlign w:val="center"/>
          </w:tcPr>
          <w:p w14:paraId="749421DF" w14:textId="77777777" w:rsidR="007E0169" w:rsidRPr="009236C4" w:rsidRDefault="009236C4" w:rsidP="009236C4">
            <w:pPr>
              <w:pStyle w:val="CharChar8"/>
              <w:ind w:right="-105"/>
              <w:rPr>
                <w:i w:val="0"/>
              </w:rPr>
            </w:pPr>
            <w:r w:rsidRPr="009236C4">
              <w:rPr>
                <w:i w:val="0"/>
              </w:rPr>
              <w:t>Tanques ou tambores metálicos</w:t>
            </w:r>
          </w:p>
        </w:tc>
      </w:tr>
      <w:tr w:rsidR="007E0169" w:rsidRPr="009236C4" w14:paraId="4BCD7253" w14:textId="77777777" w:rsidTr="0010683E">
        <w:trPr>
          <w:cantSplit/>
          <w:trHeight w:val="573"/>
        </w:trPr>
        <w:tc>
          <w:tcPr>
            <w:tcW w:w="725" w:type="pct"/>
            <w:vMerge/>
            <w:shd w:val="clear" w:color="auto" w:fill="D9D9D9" w:themeFill="background1" w:themeFillShade="D9"/>
            <w:vAlign w:val="center"/>
          </w:tcPr>
          <w:p w14:paraId="5F823A20"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21FCD417"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7B61307F" w14:textId="77777777" w:rsidR="007E0169" w:rsidRPr="009236C4" w:rsidRDefault="007E0169" w:rsidP="009236C4">
            <w:pPr>
              <w:pStyle w:val="CharChar8"/>
              <w:rPr>
                <w:i w:val="0"/>
              </w:rPr>
            </w:pPr>
            <w:r w:rsidRPr="009236C4">
              <w:rPr>
                <w:i w:val="0"/>
              </w:rPr>
              <w:t>Materiais contaminados (EPI, absorventes, lixo flutuante)</w:t>
            </w:r>
          </w:p>
        </w:tc>
        <w:tc>
          <w:tcPr>
            <w:tcW w:w="518" w:type="pct"/>
            <w:shd w:val="clear" w:color="auto" w:fill="D9D9D9" w:themeFill="background1" w:themeFillShade="D9"/>
            <w:vAlign w:val="center"/>
          </w:tcPr>
          <w:p w14:paraId="5A8E768A"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26667675" w14:textId="77777777" w:rsidR="007E0169" w:rsidRPr="009236C4" w:rsidRDefault="009236C4" w:rsidP="009236C4">
            <w:pPr>
              <w:pStyle w:val="CharChar8"/>
              <w:ind w:right="-105"/>
              <w:rPr>
                <w:i w:val="0"/>
              </w:rPr>
            </w:pPr>
            <w:r w:rsidRPr="009236C4">
              <w:rPr>
                <w:i w:val="0"/>
              </w:rPr>
              <w:t>Laranja</w:t>
            </w:r>
          </w:p>
        </w:tc>
        <w:tc>
          <w:tcPr>
            <w:tcW w:w="907" w:type="pct"/>
            <w:shd w:val="clear" w:color="auto" w:fill="D9D9D9" w:themeFill="background1" w:themeFillShade="D9"/>
            <w:vAlign w:val="center"/>
          </w:tcPr>
          <w:p w14:paraId="43DB36AD" w14:textId="77777777" w:rsidR="007E0169" w:rsidRPr="009236C4" w:rsidRDefault="007E0169" w:rsidP="009236C4">
            <w:pPr>
              <w:pStyle w:val="CharChar8"/>
              <w:ind w:right="-105"/>
              <w:rPr>
                <w:i w:val="0"/>
              </w:rPr>
            </w:pPr>
            <w:r w:rsidRPr="009236C4">
              <w:rPr>
                <w:i w:val="0"/>
              </w:rPr>
              <w:t>Bigbags com liner armazenados em caçambas metálicas ou containers</w:t>
            </w:r>
          </w:p>
        </w:tc>
      </w:tr>
      <w:tr w:rsidR="007E0169" w:rsidRPr="009236C4" w14:paraId="5F995054" w14:textId="77777777" w:rsidTr="0010683E">
        <w:trPr>
          <w:cantSplit/>
        </w:trPr>
        <w:tc>
          <w:tcPr>
            <w:tcW w:w="725" w:type="pct"/>
            <w:vMerge w:val="restart"/>
            <w:shd w:val="clear" w:color="auto" w:fill="D9D9D9" w:themeFill="background1" w:themeFillShade="D9"/>
            <w:vAlign w:val="center"/>
          </w:tcPr>
          <w:p w14:paraId="23A7AE13" w14:textId="77777777" w:rsidR="007E0169" w:rsidRPr="009236C4" w:rsidRDefault="007E0169" w:rsidP="009236C4">
            <w:pPr>
              <w:pStyle w:val="CharChar8"/>
              <w:rPr>
                <w:i w:val="0"/>
              </w:rPr>
            </w:pPr>
            <w:r w:rsidRPr="009236C4">
              <w:rPr>
                <w:i w:val="0"/>
              </w:rPr>
              <w:t>Instalações de suporte onshore</w:t>
            </w:r>
          </w:p>
        </w:tc>
        <w:tc>
          <w:tcPr>
            <w:tcW w:w="932" w:type="pct"/>
            <w:vMerge w:val="restart"/>
            <w:shd w:val="clear" w:color="auto" w:fill="D9D9D9" w:themeFill="background1" w:themeFillShade="D9"/>
            <w:vAlign w:val="center"/>
          </w:tcPr>
          <w:p w14:paraId="72CDD329" w14:textId="77777777" w:rsidR="007E0169" w:rsidRPr="009236C4" w:rsidRDefault="007E0169" w:rsidP="009236C4">
            <w:pPr>
              <w:pStyle w:val="CharChar8"/>
              <w:rPr>
                <w:i w:val="0"/>
              </w:rPr>
            </w:pPr>
            <w:r w:rsidRPr="009236C4">
              <w:rPr>
                <w:i w:val="0"/>
              </w:rPr>
              <w:t>Posto de Comando de Incidentes (Escritório)</w:t>
            </w:r>
          </w:p>
        </w:tc>
        <w:tc>
          <w:tcPr>
            <w:tcW w:w="1141" w:type="pct"/>
            <w:shd w:val="clear" w:color="auto" w:fill="D9D9D9" w:themeFill="background1" w:themeFillShade="D9"/>
            <w:vAlign w:val="center"/>
          </w:tcPr>
          <w:p w14:paraId="5D2AB7F1" w14:textId="77777777" w:rsidR="007E0169" w:rsidRPr="009236C4" w:rsidRDefault="007E0169" w:rsidP="009236C4">
            <w:pPr>
              <w:pStyle w:val="CharChar8"/>
              <w:rPr>
                <w:i w:val="0"/>
              </w:rPr>
            </w:pPr>
            <w:r w:rsidRPr="009236C4">
              <w:rPr>
                <w:i w:val="0"/>
              </w:rPr>
              <w:t>Resíduos de alimentos orgânicos</w:t>
            </w:r>
          </w:p>
        </w:tc>
        <w:tc>
          <w:tcPr>
            <w:tcW w:w="518" w:type="pct"/>
            <w:shd w:val="clear" w:color="auto" w:fill="D9D9D9" w:themeFill="background1" w:themeFillShade="D9"/>
            <w:vAlign w:val="center"/>
          </w:tcPr>
          <w:p w14:paraId="4ADF6FB1" w14:textId="77777777" w:rsidR="007E0169" w:rsidRPr="009236C4" w:rsidRDefault="007E0169" w:rsidP="009236C4">
            <w:pPr>
              <w:pStyle w:val="CharChar8"/>
              <w:rPr>
                <w:i w:val="0"/>
              </w:rPr>
            </w:pPr>
            <w:r w:rsidRPr="009236C4">
              <w:rPr>
                <w:i w:val="0"/>
              </w:rPr>
              <w:t>Classe II A</w:t>
            </w:r>
          </w:p>
        </w:tc>
        <w:tc>
          <w:tcPr>
            <w:tcW w:w="777" w:type="pct"/>
            <w:shd w:val="clear" w:color="auto" w:fill="D9D9D9" w:themeFill="background1" w:themeFillShade="D9"/>
            <w:vAlign w:val="center"/>
          </w:tcPr>
          <w:p w14:paraId="78CCBCA7" w14:textId="77777777" w:rsidR="007E0169" w:rsidRPr="009236C4" w:rsidRDefault="007E0169" w:rsidP="009236C4">
            <w:pPr>
              <w:pStyle w:val="CharChar8"/>
              <w:ind w:right="-105"/>
              <w:rPr>
                <w:i w:val="0"/>
              </w:rPr>
            </w:pPr>
            <w:r w:rsidRPr="009236C4">
              <w:rPr>
                <w:rFonts w:ascii="Times New Roman" w:hAnsi="Times New Roman" w:cs="Times New Roman"/>
                <w:i w:val="0"/>
              </w:rPr>
              <w:t>⁪</w:t>
            </w:r>
            <w:r w:rsidR="009236C4" w:rsidRPr="009236C4">
              <w:rPr>
                <w:i w:val="0"/>
              </w:rPr>
              <w:t>Marrom</w:t>
            </w:r>
          </w:p>
        </w:tc>
        <w:tc>
          <w:tcPr>
            <w:tcW w:w="907" w:type="pct"/>
            <w:shd w:val="clear" w:color="auto" w:fill="D9D9D9" w:themeFill="background1" w:themeFillShade="D9"/>
            <w:vAlign w:val="center"/>
          </w:tcPr>
          <w:p w14:paraId="616E4D53" w14:textId="77777777" w:rsidR="007E0169" w:rsidRPr="009236C4" w:rsidRDefault="007E0169" w:rsidP="009236C4">
            <w:pPr>
              <w:pStyle w:val="CharChar8"/>
              <w:ind w:right="-105"/>
              <w:rPr>
                <w:i w:val="0"/>
              </w:rPr>
            </w:pPr>
            <w:r w:rsidRPr="009236C4">
              <w:rPr>
                <w:i w:val="0"/>
              </w:rPr>
              <w:t>Tambores metálicos com tampa</w:t>
            </w:r>
          </w:p>
        </w:tc>
      </w:tr>
      <w:tr w:rsidR="007E0169" w:rsidRPr="009236C4" w14:paraId="5B154A8E" w14:textId="77777777" w:rsidTr="0010683E">
        <w:trPr>
          <w:cantSplit/>
        </w:trPr>
        <w:tc>
          <w:tcPr>
            <w:tcW w:w="725" w:type="pct"/>
            <w:vMerge/>
            <w:shd w:val="clear" w:color="auto" w:fill="D9D9D9" w:themeFill="background1" w:themeFillShade="D9"/>
            <w:vAlign w:val="center"/>
          </w:tcPr>
          <w:p w14:paraId="17AB84EE"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2A174CD8"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5AEBBEA7" w14:textId="77777777" w:rsidR="007E0169" w:rsidRPr="009236C4" w:rsidRDefault="007E0169" w:rsidP="009236C4">
            <w:pPr>
              <w:pStyle w:val="CharChar8"/>
              <w:rPr>
                <w:i w:val="0"/>
              </w:rPr>
            </w:pPr>
            <w:r w:rsidRPr="009236C4">
              <w:rPr>
                <w:i w:val="0"/>
              </w:rPr>
              <w:t>Resíduos Domésticos Não Perigosos</w:t>
            </w:r>
          </w:p>
        </w:tc>
        <w:tc>
          <w:tcPr>
            <w:tcW w:w="518" w:type="pct"/>
            <w:shd w:val="clear" w:color="auto" w:fill="D9D9D9" w:themeFill="background1" w:themeFillShade="D9"/>
            <w:vAlign w:val="center"/>
          </w:tcPr>
          <w:p w14:paraId="20FDF1C0" w14:textId="77777777" w:rsidR="007E0169" w:rsidRPr="009236C4" w:rsidRDefault="007E0169" w:rsidP="009236C4">
            <w:pPr>
              <w:pStyle w:val="CharChar8"/>
              <w:rPr>
                <w:i w:val="0"/>
              </w:rPr>
            </w:pPr>
            <w:r w:rsidRPr="009236C4">
              <w:rPr>
                <w:i w:val="0"/>
              </w:rPr>
              <w:t>Classe II B</w:t>
            </w:r>
          </w:p>
        </w:tc>
        <w:tc>
          <w:tcPr>
            <w:tcW w:w="777" w:type="pct"/>
            <w:shd w:val="clear" w:color="auto" w:fill="D9D9D9" w:themeFill="background1" w:themeFillShade="D9"/>
            <w:vAlign w:val="center"/>
          </w:tcPr>
          <w:p w14:paraId="49300780" w14:textId="77777777" w:rsidR="007E0169" w:rsidRPr="009236C4" w:rsidRDefault="007E0169" w:rsidP="009236C4">
            <w:pPr>
              <w:pStyle w:val="CharChar8"/>
              <w:ind w:right="-105"/>
              <w:rPr>
                <w:i w:val="0"/>
              </w:rPr>
            </w:pPr>
            <w:r w:rsidRPr="009236C4">
              <w:rPr>
                <w:i w:val="0"/>
              </w:rPr>
              <w:t>Vermelho (Plástico), Verde (Vidro), Azul (Papel/Papelão), Cinza (resíduos não recicláveis)</w:t>
            </w:r>
          </w:p>
        </w:tc>
        <w:tc>
          <w:tcPr>
            <w:tcW w:w="907" w:type="pct"/>
            <w:shd w:val="clear" w:color="auto" w:fill="D9D9D9" w:themeFill="background1" w:themeFillShade="D9"/>
            <w:vAlign w:val="center"/>
          </w:tcPr>
          <w:p w14:paraId="529C8E8B" w14:textId="77777777" w:rsidR="007E0169" w:rsidRPr="009236C4" w:rsidRDefault="007E0169" w:rsidP="009236C4">
            <w:pPr>
              <w:pStyle w:val="CharChar8"/>
              <w:ind w:right="-105"/>
              <w:rPr>
                <w:i w:val="0"/>
              </w:rPr>
            </w:pPr>
            <w:r w:rsidRPr="009236C4">
              <w:rPr>
                <w:i w:val="0"/>
              </w:rPr>
              <w:t>Sacos grandes</w:t>
            </w:r>
          </w:p>
        </w:tc>
      </w:tr>
      <w:tr w:rsidR="007E0169" w:rsidRPr="009236C4" w14:paraId="2D2C7306" w14:textId="77777777" w:rsidTr="0010683E">
        <w:trPr>
          <w:cantSplit/>
          <w:trHeight w:val="454"/>
        </w:trPr>
        <w:tc>
          <w:tcPr>
            <w:tcW w:w="725" w:type="pct"/>
            <w:vMerge/>
            <w:shd w:val="clear" w:color="auto" w:fill="D9D9D9" w:themeFill="background1" w:themeFillShade="D9"/>
            <w:vAlign w:val="center"/>
          </w:tcPr>
          <w:p w14:paraId="5AD9FE2E"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77F90752"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279AC21C" w14:textId="77777777" w:rsidR="007E0169" w:rsidRPr="009236C4" w:rsidRDefault="007E0169" w:rsidP="009236C4">
            <w:pPr>
              <w:pStyle w:val="CharChar8"/>
              <w:rPr>
                <w:i w:val="0"/>
              </w:rPr>
            </w:pPr>
            <w:r w:rsidRPr="009236C4">
              <w:rPr>
                <w:i w:val="0"/>
              </w:rPr>
              <w:t>Resíduos Médicos e Drogas Controladas</w:t>
            </w:r>
          </w:p>
        </w:tc>
        <w:tc>
          <w:tcPr>
            <w:tcW w:w="518" w:type="pct"/>
            <w:shd w:val="clear" w:color="auto" w:fill="D9D9D9" w:themeFill="background1" w:themeFillShade="D9"/>
            <w:vAlign w:val="center"/>
          </w:tcPr>
          <w:p w14:paraId="7715869B"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0FD9F1BB" w14:textId="77777777" w:rsidR="007E0169" w:rsidRPr="009236C4" w:rsidRDefault="007E0169" w:rsidP="009236C4">
            <w:pPr>
              <w:pStyle w:val="CharChar8"/>
              <w:ind w:right="-105"/>
              <w:rPr>
                <w:i w:val="0"/>
              </w:rPr>
            </w:pPr>
            <w:r w:rsidRPr="009236C4">
              <w:rPr>
                <w:i w:val="0"/>
              </w:rPr>
              <w:t>Branco</w:t>
            </w:r>
          </w:p>
        </w:tc>
        <w:tc>
          <w:tcPr>
            <w:tcW w:w="907" w:type="pct"/>
            <w:shd w:val="clear" w:color="auto" w:fill="D9D9D9" w:themeFill="background1" w:themeFillShade="D9"/>
            <w:vAlign w:val="center"/>
          </w:tcPr>
          <w:p w14:paraId="371B4B81" w14:textId="77777777" w:rsidR="007E0169" w:rsidRPr="009236C4" w:rsidRDefault="009236C4" w:rsidP="009236C4">
            <w:pPr>
              <w:pStyle w:val="CharChar8"/>
              <w:ind w:right="-105"/>
              <w:rPr>
                <w:i w:val="0"/>
              </w:rPr>
            </w:pPr>
            <w:r w:rsidRPr="009236C4">
              <w:rPr>
                <w:i w:val="0"/>
              </w:rPr>
              <w:t>Container especial</w:t>
            </w:r>
          </w:p>
        </w:tc>
      </w:tr>
      <w:tr w:rsidR="007E0169" w:rsidRPr="009236C4" w14:paraId="43C8AEB6" w14:textId="77777777" w:rsidTr="0010683E">
        <w:trPr>
          <w:cantSplit/>
        </w:trPr>
        <w:tc>
          <w:tcPr>
            <w:tcW w:w="725" w:type="pct"/>
            <w:vMerge w:val="restart"/>
            <w:shd w:val="clear" w:color="auto" w:fill="D9D9D9" w:themeFill="background1" w:themeFillShade="D9"/>
            <w:vAlign w:val="center"/>
          </w:tcPr>
          <w:p w14:paraId="1D457AE2" w14:textId="77777777" w:rsidR="007E0169" w:rsidRPr="009236C4" w:rsidRDefault="007E0169" w:rsidP="009236C4">
            <w:pPr>
              <w:pStyle w:val="CharChar8"/>
              <w:rPr>
                <w:i w:val="0"/>
              </w:rPr>
            </w:pPr>
            <w:r w:rsidRPr="009236C4">
              <w:rPr>
                <w:i w:val="0"/>
              </w:rPr>
              <w:t>Instalações de suporte onshore</w:t>
            </w:r>
          </w:p>
        </w:tc>
        <w:tc>
          <w:tcPr>
            <w:tcW w:w="932" w:type="pct"/>
            <w:vMerge w:val="restart"/>
            <w:shd w:val="clear" w:color="auto" w:fill="D9D9D9" w:themeFill="background1" w:themeFillShade="D9"/>
            <w:vAlign w:val="center"/>
          </w:tcPr>
          <w:p w14:paraId="0D87F171" w14:textId="77777777" w:rsidR="007E0169" w:rsidRPr="009236C4" w:rsidRDefault="007E0169" w:rsidP="009236C4">
            <w:pPr>
              <w:pStyle w:val="CharChar8"/>
              <w:rPr>
                <w:b/>
                <w:i w:val="0"/>
              </w:rPr>
            </w:pPr>
            <w:r w:rsidRPr="009236C4">
              <w:rPr>
                <w:i w:val="0"/>
              </w:rPr>
              <w:t>Base de apoio onshore</w:t>
            </w:r>
          </w:p>
        </w:tc>
        <w:tc>
          <w:tcPr>
            <w:tcW w:w="1141" w:type="pct"/>
            <w:shd w:val="clear" w:color="auto" w:fill="D9D9D9" w:themeFill="background1" w:themeFillShade="D9"/>
            <w:vAlign w:val="center"/>
          </w:tcPr>
          <w:p w14:paraId="33463E83" w14:textId="77777777" w:rsidR="007E0169" w:rsidRPr="009236C4" w:rsidRDefault="007E0169" w:rsidP="009236C4">
            <w:pPr>
              <w:pStyle w:val="CharChar8"/>
              <w:rPr>
                <w:i w:val="0"/>
              </w:rPr>
            </w:pPr>
            <w:r w:rsidRPr="009236C4">
              <w:rPr>
                <w:i w:val="0"/>
              </w:rPr>
              <w:t>Materiais contaminados (EPI, resíduos contaminados.)</w:t>
            </w:r>
          </w:p>
        </w:tc>
        <w:tc>
          <w:tcPr>
            <w:tcW w:w="518" w:type="pct"/>
            <w:shd w:val="clear" w:color="auto" w:fill="D9D9D9" w:themeFill="background1" w:themeFillShade="D9"/>
            <w:vAlign w:val="center"/>
          </w:tcPr>
          <w:p w14:paraId="28D905DA"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28C24301" w14:textId="77777777" w:rsidR="007E0169" w:rsidRPr="009236C4" w:rsidRDefault="009236C4" w:rsidP="009236C4">
            <w:pPr>
              <w:pStyle w:val="CharChar8"/>
              <w:ind w:right="-105"/>
              <w:rPr>
                <w:i w:val="0"/>
              </w:rPr>
            </w:pPr>
            <w:r w:rsidRPr="009236C4">
              <w:rPr>
                <w:i w:val="0"/>
              </w:rPr>
              <w:t>Laranja</w:t>
            </w:r>
          </w:p>
        </w:tc>
        <w:tc>
          <w:tcPr>
            <w:tcW w:w="907" w:type="pct"/>
            <w:shd w:val="clear" w:color="auto" w:fill="D9D9D9" w:themeFill="background1" w:themeFillShade="D9"/>
            <w:vAlign w:val="center"/>
          </w:tcPr>
          <w:p w14:paraId="3F9149CA" w14:textId="77777777" w:rsidR="007E0169" w:rsidRPr="009236C4" w:rsidRDefault="007E0169" w:rsidP="009236C4">
            <w:pPr>
              <w:pStyle w:val="CharChar8"/>
              <w:ind w:right="-105"/>
              <w:rPr>
                <w:i w:val="0"/>
              </w:rPr>
            </w:pPr>
            <w:r w:rsidRPr="009236C4">
              <w:rPr>
                <w:i w:val="0"/>
              </w:rPr>
              <w:t>Bigbags com liner armazenados em caçambas metálicas ou containers</w:t>
            </w:r>
          </w:p>
        </w:tc>
      </w:tr>
      <w:tr w:rsidR="007E0169" w:rsidRPr="009236C4" w14:paraId="1E25CE52" w14:textId="77777777" w:rsidTr="0010683E">
        <w:trPr>
          <w:cantSplit/>
        </w:trPr>
        <w:tc>
          <w:tcPr>
            <w:tcW w:w="725" w:type="pct"/>
            <w:vMerge/>
            <w:shd w:val="clear" w:color="auto" w:fill="D9D9D9" w:themeFill="background1" w:themeFillShade="D9"/>
            <w:vAlign w:val="center"/>
          </w:tcPr>
          <w:p w14:paraId="04E35E47"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21A47B53"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3E1BD51A" w14:textId="77777777" w:rsidR="007E0169" w:rsidRPr="009236C4" w:rsidRDefault="007E0169" w:rsidP="009236C4">
            <w:pPr>
              <w:pStyle w:val="CharChar8"/>
              <w:rPr>
                <w:i w:val="0"/>
              </w:rPr>
            </w:pPr>
            <w:r w:rsidRPr="009236C4">
              <w:rPr>
                <w:i w:val="0"/>
              </w:rPr>
              <w:t>Resíduos de alimentos orgânicos</w:t>
            </w:r>
          </w:p>
        </w:tc>
        <w:tc>
          <w:tcPr>
            <w:tcW w:w="518" w:type="pct"/>
            <w:shd w:val="clear" w:color="auto" w:fill="D9D9D9" w:themeFill="background1" w:themeFillShade="D9"/>
            <w:vAlign w:val="center"/>
          </w:tcPr>
          <w:p w14:paraId="4CCB17E4" w14:textId="77777777" w:rsidR="007E0169" w:rsidRPr="009236C4" w:rsidRDefault="007E0169" w:rsidP="009236C4">
            <w:pPr>
              <w:pStyle w:val="CharChar8"/>
              <w:rPr>
                <w:i w:val="0"/>
              </w:rPr>
            </w:pPr>
            <w:r w:rsidRPr="009236C4">
              <w:rPr>
                <w:i w:val="0"/>
              </w:rPr>
              <w:t>Classe II A</w:t>
            </w:r>
          </w:p>
        </w:tc>
        <w:tc>
          <w:tcPr>
            <w:tcW w:w="777" w:type="pct"/>
            <w:shd w:val="clear" w:color="auto" w:fill="D9D9D9" w:themeFill="background1" w:themeFillShade="D9"/>
            <w:vAlign w:val="center"/>
          </w:tcPr>
          <w:p w14:paraId="266070AE" w14:textId="77777777" w:rsidR="007E0169" w:rsidRPr="009236C4" w:rsidRDefault="007E0169" w:rsidP="009236C4">
            <w:pPr>
              <w:pStyle w:val="CharChar8"/>
              <w:ind w:right="-105"/>
              <w:rPr>
                <w:i w:val="0"/>
              </w:rPr>
            </w:pPr>
            <w:r w:rsidRPr="009236C4">
              <w:rPr>
                <w:rFonts w:ascii="Times New Roman" w:hAnsi="Times New Roman" w:cs="Times New Roman"/>
                <w:i w:val="0"/>
              </w:rPr>
              <w:t>⁪</w:t>
            </w:r>
            <w:r w:rsidR="009236C4" w:rsidRPr="009236C4">
              <w:rPr>
                <w:i w:val="0"/>
              </w:rPr>
              <w:t>Marrom</w:t>
            </w:r>
          </w:p>
        </w:tc>
        <w:tc>
          <w:tcPr>
            <w:tcW w:w="907" w:type="pct"/>
            <w:shd w:val="clear" w:color="auto" w:fill="D9D9D9" w:themeFill="background1" w:themeFillShade="D9"/>
            <w:vAlign w:val="center"/>
          </w:tcPr>
          <w:p w14:paraId="5CCF776F" w14:textId="77777777" w:rsidR="007E0169" w:rsidRPr="009236C4" w:rsidRDefault="007E0169" w:rsidP="009236C4">
            <w:pPr>
              <w:pStyle w:val="CharChar8"/>
              <w:ind w:right="-105"/>
              <w:rPr>
                <w:i w:val="0"/>
              </w:rPr>
            </w:pPr>
            <w:r w:rsidRPr="009236C4">
              <w:rPr>
                <w:i w:val="0"/>
              </w:rPr>
              <w:t>Tambores metálicos com tampa</w:t>
            </w:r>
          </w:p>
        </w:tc>
      </w:tr>
      <w:tr w:rsidR="007E0169" w:rsidRPr="009236C4" w14:paraId="68AA9CBC" w14:textId="77777777" w:rsidTr="0010683E">
        <w:trPr>
          <w:cantSplit/>
        </w:trPr>
        <w:tc>
          <w:tcPr>
            <w:tcW w:w="725" w:type="pct"/>
            <w:vMerge/>
            <w:shd w:val="clear" w:color="auto" w:fill="D9D9D9" w:themeFill="background1" w:themeFillShade="D9"/>
            <w:vAlign w:val="center"/>
          </w:tcPr>
          <w:p w14:paraId="2B68CFF8"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6EFF2F10"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4EBD6E13" w14:textId="77777777" w:rsidR="007E0169" w:rsidRPr="009236C4" w:rsidRDefault="007E0169" w:rsidP="009236C4">
            <w:pPr>
              <w:pStyle w:val="CharChar8"/>
              <w:rPr>
                <w:i w:val="0"/>
              </w:rPr>
            </w:pPr>
            <w:r w:rsidRPr="009236C4">
              <w:rPr>
                <w:i w:val="0"/>
              </w:rPr>
              <w:t>Resíduos Domésticos Não Perigosos</w:t>
            </w:r>
          </w:p>
        </w:tc>
        <w:tc>
          <w:tcPr>
            <w:tcW w:w="518" w:type="pct"/>
            <w:shd w:val="clear" w:color="auto" w:fill="D9D9D9" w:themeFill="background1" w:themeFillShade="D9"/>
            <w:vAlign w:val="center"/>
          </w:tcPr>
          <w:p w14:paraId="5434B315" w14:textId="77777777" w:rsidR="007E0169" w:rsidRPr="009236C4" w:rsidRDefault="007E0169" w:rsidP="009236C4">
            <w:pPr>
              <w:pStyle w:val="CharChar8"/>
              <w:rPr>
                <w:i w:val="0"/>
              </w:rPr>
            </w:pPr>
            <w:r w:rsidRPr="009236C4">
              <w:rPr>
                <w:i w:val="0"/>
              </w:rPr>
              <w:t>Classe II B</w:t>
            </w:r>
          </w:p>
        </w:tc>
        <w:tc>
          <w:tcPr>
            <w:tcW w:w="777" w:type="pct"/>
            <w:shd w:val="clear" w:color="auto" w:fill="D9D9D9" w:themeFill="background1" w:themeFillShade="D9"/>
            <w:vAlign w:val="center"/>
          </w:tcPr>
          <w:p w14:paraId="04C700DA" w14:textId="77777777" w:rsidR="007E0169" w:rsidRPr="009236C4" w:rsidRDefault="007E0169" w:rsidP="009236C4">
            <w:pPr>
              <w:pStyle w:val="CharChar8"/>
              <w:rPr>
                <w:i w:val="0"/>
              </w:rPr>
            </w:pPr>
            <w:r w:rsidRPr="009236C4">
              <w:rPr>
                <w:i w:val="0"/>
              </w:rPr>
              <w:t xml:space="preserve"> Vermelho (Plástico), Verde (Vidro), </w:t>
            </w:r>
          </w:p>
          <w:p w14:paraId="617864F7" w14:textId="77777777" w:rsidR="007E0169" w:rsidRPr="009236C4" w:rsidRDefault="007E0169" w:rsidP="009236C4">
            <w:pPr>
              <w:pStyle w:val="CharChar8"/>
              <w:rPr>
                <w:i w:val="0"/>
              </w:rPr>
            </w:pPr>
            <w:r w:rsidRPr="009236C4">
              <w:rPr>
                <w:i w:val="0"/>
              </w:rPr>
              <w:t>Azul (Papel/Papelão), Cinza (resíduos não recicláveis)</w:t>
            </w:r>
          </w:p>
        </w:tc>
        <w:tc>
          <w:tcPr>
            <w:tcW w:w="907" w:type="pct"/>
            <w:shd w:val="clear" w:color="auto" w:fill="D9D9D9" w:themeFill="background1" w:themeFillShade="D9"/>
            <w:vAlign w:val="center"/>
          </w:tcPr>
          <w:p w14:paraId="62C6334B" w14:textId="77777777" w:rsidR="007E0169" w:rsidRPr="009236C4" w:rsidRDefault="007E0169" w:rsidP="009236C4">
            <w:pPr>
              <w:pStyle w:val="CharChar8"/>
              <w:rPr>
                <w:i w:val="0"/>
              </w:rPr>
            </w:pPr>
            <w:r w:rsidRPr="009236C4">
              <w:rPr>
                <w:i w:val="0"/>
              </w:rPr>
              <w:t>Sacos grandes</w:t>
            </w:r>
          </w:p>
        </w:tc>
      </w:tr>
      <w:tr w:rsidR="007E0169" w:rsidRPr="009236C4" w14:paraId="673E9DF6" w14:textId="77777777" w:rsidTr="0010683E">
        <w:trPr>
          <w:cantSplit/>
          <w:trHeight w:val="454"/>
        </w:trPr>
        <w:tc>
          <w:tcPr>
            <w:tcW w:w="725" w:type="pct"/>
            <w:vMerge/>
            <w:shd w:val="clear" w:color="auto" w:fill="D9D9D9" w:themeFill="background1" w:themeFillShade="D9"/>
            <w:vAlign w:val="center"/>
          </w:tcPr>
          <w:p w14:paraId="744BC5FD"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19F7781E"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45C7DE74" w14:textId="77777777" w:rsidR="007E0169" w:rsidRPr="009236C4" w:rsidRDefault="007E0169" w:rsidP="009236C4">
            <w:pPr>
              <w:pStyle w:val="CharChar8"/>
              <w:rPr>
                <w:i w:val="0"/>
              </w:rPr>
            </w:pPr>
            <w:r w:rsidRPr="009236C4">
              <w:rPr>
                <w:i w:val="0"/>
              </w:rPr>
              <w:t>Resíduos Médicos e Drogas Controladas</w:t>
            </w:r>
          </w:p>
        </w:tc>
        <w:tc>
          <w:tcPr>
            <w:tcW w:w="518" w:type="pct"/>
            <w:shd w:val="clear" w:color="auto" w:fill="D9D9D9" w:themeFill="background1" w:themeFillShade="D9"/>
            <w:vAlign w:val="center"/>
          </w:tcPr>
          <w:p w14:paraId="1FADF3E4"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6F722CF2" w14:textId="77777777" w:rsidR="007E0169" w:rsidRPr="009236C4" w:rsidRDefault="007E0169" w:rsidP="009236C4">
            <w:pPr>
              <w:pStyle w:val="CharChar8"/>
              <w:rPr>
                <w:i w:val="0"/>
              </w:rPr>
            </w:pPr>
            <w:r w:rsidRPr="009236C4">
              <w:rPr>
                <w:i w:val="0"/>
              </w:rPr>
              <w:t>Branco</w:t>
            </w:r>
          </w:p>
        </w:tc>
        <w:tc>
          <w:tcPr>
            <w:tcW w:w="907" w:type="pct"/>
            <w:shd w:val="clear" w:color="auto" w:fill="D9D9D9" w:themeFill="background1" w:themeFillShade="D9"/>
            <w:vAlign w:val="center"/>
          </w:tcPr>
          <w:p w14:paraId="0A3325D2" w14:textId="77777777" w:rsidR="007E0169" w:rsidRPr="009236C4" w:rsidRDefault="007E0169" w:rsidP="009236C4">
            <w:pPr>
              <w:pStyle w:val="CharChar8"/>
              <w:rPr>
                <w:i w:val="0"/>
              </w:rPr>
            </w:pPr>
            <w:r w:rsidRPr="009236C4">
              <w:rPr>
                <w:i w:val="0"/>
              </w:rPr>
              <w:t xml:space="preserve">Container especial </w:t>
            </w:r>
          </w:p>
        </w:tc>
      </w:tr>
      <w:tr w:rsidR="007E0169" w:rsidRPr="009236C4" w14:paraId="1B6E5442" w14:textId="77777777" w:rsidTr="0010683E">
        <w:trPr>
          <w:cantSplit/>
        </w:trPr>
        <w:tc>
          <w:tcPr>
            <w:tcW w:w="725" w:type="pct"/>
            <w:vMerge w:val="restart"/>
            <w:shd w:val="clear" w:color="auto" w:fill="D9D9D9" w:themeFill="background1" w:themeFillShade="D9"/>
            <w:vAlign w:val="center"/>
          </w:tcPr>
          <w:p w14:paraId="683EDACE" w14:textId="77777777" w:rsidR="007E0169" w:rsidRPr="009236C4" w:rsidRDefault="007E0169" w:rsidP="009236C4">
            <w:pPr>
              <w:pStyle w:val="CharChar8"/>
              <w:rPr>
                <w:i w:val="0"/>
              </w:rPr>
            </w:pPr>
            <w:r w:rsidRPr="009236C4">
              <w:rPr>
                <w:i w:val="0"/>
              </w:rPr>
              <w:t>Instalações de suporte onshore</w:t>
            </w:r>
          </w:p>
        </w:tc>
        <w:tc>
          <w:tcPr>
            <w:tcW w:w="932" w:type="pct"/>
            <w:shd w:val="clear" w:color="auto" w:fill="D9D9D9" w:themeFill="background1" w:themeFillShade="D9"/>
            <w:vAlign w:val="center"/>
          </w:tcPr>
          <w:p w14:paraId="4E5CF504" w14:textId="77777777" w:rsidR="007E0169" w:rsidRPr="009236C4" w:rsidRDefault="007E0169" w:rsidP="009236C4">
            <w:pPr>
              <w:pStyle w:val="CharChar8"/>
              <w:rPr>
                <w:i w:val="0"/>
              </w:rPr>
            </w:pPr>
            <w:r w:rsidRPr="009236C4">
              <w:rPr>
                <w:i w:val="0"/>
              </w:rPr>
              <w:t>Área(s) de Apoio às Operações</w:t>
            </w:r>
          </w:p>
        </w:tc>
        <w:tc>
          <w:tcPr>
            <w:tcW w:w="1141" w:type="pct"/>
            <w:shd w:val="clear" w:color="auto" w:fill="D9D9D9" w:themeFill="background1" w:themeFillShade="D9"/>
            <w:vAlign w:val="center"/>
          </w:tcPr>
          <w:p w14:paraId="5F306EAC" w14:textId="77777777" w:rsidR="007E0169" w:rsidRPr="009236C4" w:rsidRDefault="007E0169" w:rsidP="009236C4">
            <w:pPr>
              <w:pStyle w:val="CharChar8"/>
              <w:rPr>
                <w:i w:val="0"/>
              </w:rPr>
            </w:pPr>
            <w:r w:rsidRPr="009236C4">
              <w:rPr>
                <w:i w:val="0"/>
              </w:rPr>
              <w:t>Resíduos de alimentos orgânicos</w:t>
            </w:r>
          </w:p>
        </w:tc>
        <w:tc>
          <w:tcPr>
            <w:tcW w:w="518" w:type="pct"/>
            <w:shd w:val="clear" w:color="auto" w:fill="D9D9D9" w:themeFill="background1" w:themeFillShade="D9"/>
            <w:vAlign w:val="center"/>
          </w:tcPr>
          <w:p w14:paraId="60129C9E" w14:textId="77777777" w:rsidR="007E0169" w:rsidRPr="009236C4" w:rsidRDefault="007E0169" w:rsidP="009236C4">
            <w:pPr>
              <w:pStyle w:val="CharChar8"/>
              <w:rPr>
                <w:i w:val="0"/>
              </w:rPr>
            </w:pPr>
            <w:r w:rsidRPr="009236C4">
              <w:rPr>
                <w:i w:val="0"/>
              </w:rPr>
              <w:t>Classe II A</w:t>
            </w:r>
          </w:p>
        </w:tc>
        <w:tc>
          <w:tcPr>
            <w:tcW w:w="777" w:type="pct"/>
            <w:shd w:val="clear" w:color="auto" w:fill="D9D9D9" w:themeFill="background1" w:themeFillShade="D9"/>
            <w:vAlign w:val="center"/>
          </w:tcPr>
          <w:p w14:paraId="450F34F6" w14:textId="77777777" w:rsidR="007E0169" w:rsidRPr="009236C4" w:rsidRDefault="007E0169" w:rsidP="009236C4">
            <w:pPr>
              <w:pStyle w:val="CharChar8"/>
              <w:rPr>
                <w:i w:val="0"/>
              </w:rPr>
            </w:pPr>
            <w:r w:rsidRPr="009236C4">
              <w:rPr>
                <w:rFonts w:ascii="Times New Roman" w:hAnsi="Times New Roman" w:cs="Times New Roman"/>
                <w:i w:val="0"/>
              </w:rPr>
              <w:t>⁪</w:t>
            </w:r>
            <w:r w:rsidRPr="009236C4">
              <w:rPr>
                <w:i w:val="0"/>
              </w:rPr>
              <w:t>Marrom</w:t>
            </w:r>
          </w:p>
        </w:tc>
        <w:tc>
          <w:tcPr>
            <w:tcW w:w="907" w:type="pct"/>
            <w:shd w:val="clear" w:color="auto" w:fill="D9D9D9" w:themeFill="background1" w:themeFillShade="D9"/>
            <w:vAlign w:val="center"/>
          </w:tcPr>
          <w:p w14:paraId="736F99DB" w14:textId="77777777" w:rsidR="007E0169" w:rsidRPr="009236C4" w:rsidRDefault="007E0169" w:rsidP="009236C4">
            <w:pPr>
              <w:pStyle w:val="CharChar8"/>
              <w:rPr>
                <w:i w:val="0"/>
              </w:rPr>
            </w:pPr>
            <w:r w:rsidRPr="009236C4">
              <w:rPr>
                <w:i w:val="0"/>
              </w:rPr>
              <w:t>Tambores metálicos com tampa</w:t>
            </w:r>
          </w:p>
        </w:tc>
      </w:tr>
      <w:tr w:rsidR="007E0169" w:rsidRPr="009236C4" w14:paraId="6CA2EF55" w14:textId="77777777" w:rsidTr="0010683E">
        <w:trPr>
          <w:cantSplit/>
        </w:trPr>
        <w:tc>
          <w:tcPr>
            <w:tcW w:w="725" w:type="pct"/>
            <w:vMerge/>
            <w:shd w:val="clear" w:color="auto" w:fill="D9D9D9" w:themeFill="background1" w:themeFillShade="D9"/>
            <w:vAlign w:val="center"/>
          </w:tcPr>
          <w:p w14:paraId="72A31874" w14:textId="77777777" w:rsidR="007E0169" w:rsidRPr="009236C4" w:rsidRDefault="007E0169" w:rsidP="009236C4">
            <w:pPr>
              <w:pStyle w:val="CharChar8"/>
              <w:rPr>
                <w:i w:val="0"/>
              </w:rPr>
            </w:pPr>
          </w:p>
        </w:tc>
        <w:tc>
          <w:tcPr>
            <w:tcW w:w="932" w:type="pct"/>
            <w:shd w:val="clear" w:color="auto" w:fill="D9D9D9" w:themeFill="background1" w:themeFillShade="D9"/>
            <w:vAlign w:val="center"/>
          </w:tcPr>
          <w:p w14:paraId="75EE07FC" w14:textId="77777777" w:rsidR="007E0169" w:rsidRPr="009236C4" w:rsidRDefault="007E0169" w:rsidP="009236C4">
            <w:pPr>
              <w:pStyle w:val="CharChar8"/>
              <w:rPr>
                <w:i w:val="0"/>
              </w:rPr>
            </w:pPr>
            <w:r w:rsidRPr="009236C4">
              <w:rPr>
                <w:i w:val="0"/>
              </w:rPr>
              <w:t>Área(s) de Apoio às Operações</w:t>
            </w:r>
          </w:p>
        </w:tc>
        <w:tc>
          <w:tcPr>
            <w:tcW w:w="1141" w:type="pct"/>
            <w:shd w:val="clear" w:color="auto" w:fill="D9D9D9" w:themeFill="background1" w:themeFillShade="D9"/>
            <w:vAlign w:val="center"/>
          </w:tcPr>
          <w:p w14:paraId="47B5337A" w14:textId="77777777" w:rsidR="007E0169" w:rsidRPr="009236C4" w:rsidRDefault="007E0169" w:rsidP="009236C4">
            <w:pPr>
              <w:pStyle w:val="CharChar8"/>
              <w:rPr>
                <w:i w:val="0"/>
              </w:rPr>
            </w:pPr>
            <w:r w:rsidRPr="009236C4">
              <w:rPr>
                <w:i w:val="0"/>
              </w:rPr>
              <w:t>Resíduos Domésticos Não Perigosos</w:t>
            </w:r>
          </w:p>
        </w:tc>
        <w:tc>
          <w:tcPr>
            <w:tcW w:w="518" w:type="pct"/>
            <w:shd w:val="clear" w:color="auto" w:fill="D9D9D9" w:themeFill="background1" w:themeFillShade="D9"/>
            <w:vAlign w:val="center"/>
          </w:tcPr>
          <w:p w14:paraId="0D849C93" w14:textId="77777777" w:rsidR="007E0169" w:rsidRPr="009236C4" w:rsidRDefault="007E0169" w:rsidP="009236C4">
            <w:pPr>
              <w:pStyle w:val="CharChar8"/>
              <w:rPr>
                <w:i w:val="0"/>
              </w:rPr>
            </w:pPr>
            <w:r w:rsidRPr="009236C4">
              <w:rPr>
                <w:i w:val="0"/>
              </w:rPr>
              <w:t>Classe II B</w:t>
            </w:r>
          </w:p>
        </w:tc>
        <w:tc>
          <w:tcPr>
            <w:tcW w:w="777" w:type="pct"/>
            <w:shd w:val="clear" w:color="auto" w:fill="D9D9D9" w:themeFill="background1" w:themeFillShade="D9"/>
            <w:vAlign w:val="center"/>
          </w:tcPr>
          <w:p w14:paraId="3377714B" w14:textId="77777777" w:rsidR="007E0169" w:rsidRPr="009236C4" w:rsidRDefault="007E0169" w:rsidP="009236C4">
            <w:pPr>
              <w:pStyle w:val="CharChar8"/>
              <w:rPr>
                <w:i w:val="0"/>
              </w:rPr>
            </w:pPr>
            <w:r w:rsidRPr="009236C4">
              <w:rPr>
                <w:i w:val="0"/>
              </w:rPr>
              <w:t>Vermelho (Plástico), Verde (Vidro), Azul (Papel/Papelão), Cinza (resíduos não recicláveis)</w:t>
            </w:r>
          </w:p>
        </w:tc>
        <w:tc>
          <w:tcPr>
            <w:tcW w:w="907" w:type="pct"/>
            <w:shd w:val="clear" w:color="auto" w:fill="D9D9D9" w:themeFill="background1" w:themeFillShade="D9"/>
            <w:vAlign w:val="center"/>
          </w:tcPr>
          <w:p w14:paraId="08422570" w14:textId="77777777" w:rsidR="007E0169" w:rsidRPr="009236C4" w:rsidRDefault="007E0169" w:rsidP="009236C4">
            <w:pPr>
              <w:pStyle w:val="CharChar8"/>
              <w:rPr>
                <w:i w:val="0"/>
              </w:rPr>
            </w:pPr>
            <w:r w:rsidRPr="009236C4">
              <w:rPr>
                <w:i w:val="0"/>
              </w:rPr>
              <w:t>Sacos grandes armazenados em caçambas de metal</w:t>
            </w:r>
          </w:p>
        </w:tc>
      </w:tr>
      <w:tr w:rsidR="007E0169" w:rsidRPr="009236C4" w14:paraId="22AA7188" w14:textId="77777777" w:rsidTr="0010683E">
        <w:trPr>
          <w:cantSplit/>
          <w:trHeight w:val="1006"/>
        </w:trPr>
        <w:tc>
          <w:tcPr>
            <w:tcW w:w="725" w:type="pct"/>
            <w:vMerge w:val="restart"/>
            <w:shd w:val="clear" w:color="auto" w:fill="D9D9D9" w:themeFill="background1" w:themeFillShade="D9"/>
            <w:vAlign w:val="center"/>
          </w:tcPr>
          <w:p w14:paraId="41C4922E" w14:textId="77777777" w:rsidR="007E0169" w:rsidRPr="009236C4" w:rsidRDefault="007E0169" w:rsidP="009236C4">
            <w:pPr>
              <w:pStyle w:val="CharChar8"/>
              <w:rPr>
                <w:i w:val="0"/>
              </w:rPr>
            </w:pPr>
            <w:r w:rsidRPr="009236C4">
              <w:rPr>
                <w:i w:val="0"/>
              </w:rPr>
              <w:t>Instalações de suporte onshore</w:t>
            </w:r>
          </w:p>
        </w:tc>
        <w:tc>
          <w:tcPr>
            <w:tcW w:w="932" w:type="pct"/>
            <w:vMerge w:val="restart"/>
            <w:shd w:val="clear" w:color="auto" w:fill="D9D9D9" w:themeFill="background1" w:themeFillShade="D9"/>
            <w:vAlign w:val="center"/>
          </w:tcPr>
          <w:p w14:paraId="2D28C3C2" w14:textId="77777777" w:rsidR="007E0169" w:rsidRPr="009236C4" w:rsidRDefault="007E0169" w:rsidP="009236C4">
            <w:pPr>
              <w:pStyle w:val="CharChar8"/>
              <w:rPr>
                <w:i w:val="0"/>
              </w:rPr>
            </w:pPr>
            <w:r w:rsidRPr="009236C4">
              <w:rPr>
                <w:i w:val="0"/>
              </w:rPr>
              <w:t>Área(s) de Apoio às Operações</w:t>
            </w:r>
          </w:p>
        </w:tc>
        <w:tc>
          <w:tcPr>
            <w:tcW w:w="1141" w:type="pct"/>
            <w:shd w:val="clear" w:color="auto" w:fill="D9D9D9" w:themeFill="background1" w:themeFillShade="D9"/>
            <w:vAlign w:val="center"/>
          </w:tcPr>
          <w:p w14:paraId="0FEAA32D" w14:textId="77777777" w:rsidR="007E0169" w:rsidRPr="009236C4" w:rsidRDefault="007E0169" w:rsidP="009236C4">
            <w:pPr>
              <w:pStyle w:val="CharChar8"/>
              <w:rPr>
                <w:i w:val="0"/>
              </w:rPr>
            </w:pPr>
            <w:r w:rsidRPr="009236C4">
              <w:rPr>
                <w:i w:val="0"/>
              </w:rPr>
              <w:t>Resíduo Perigoso</w:t>
            </w:r>
          </w:p>
        </w:tc>
        <w:tc>
          <w:tcPr>
            <w:tcW w:w="518" w:type="pct"/>
            <w:shd w:val="clear" w:color="auto" w:fill="D9D9D9" w:themeFill="background1" w:themeFillShade="D9"/>
            <w:vAlign w:val="center"/>
          </w:tcPr>
          <w:p w14:paraId="3782A394"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29CA4161" w14:textId="77777777" w:rsidR="007E0169" w:rsidRPr="009236C4" w:rsidRDefault="007E0169" w:rsidP="009236C4">
            <w:pPr>
              <w:pStyle w:val="CharChar8"/>
              <w:rPr>
                <w:i w:val="0"/>
              </w:rPr>
            </w:pPr>
            <w:r w:rsidRPr="009236C4">
              <w:rPr>
                <w:i w:val="0"/>
              </w:rPr>
              <w:t xml:space="preserve">Laranja </w:t>
            </w:r>
          </w:p>
        </w:tc>
        <w:tc>
          <w:tcPr>
            <w:tcW w:w="907" w:type="pct"/>
            <w:shd w:val="clear" w:color="auto" w:fill="D9D9D9" w:themeFill="background1" w:themeFillShade="D9"/>
            <w:vAlign w:val="center"/>
          </w:tcPr>
          <w:p w14:paraId="4F3AED32" w14:textId="77777777" w:rsidR="007E0169" w:rsidRPr="009236C4" w:rsidRDefault="007E0169" w:rsidP="009236C4">
            <w:pPr>
              <w:pStyle w:val="CharChar8"/>
              <w:rPr>
                <w:i w:val="0"/>
              </w:rPr>
            </w:pPr>
            <w:r w:rsidRPr="009236C4">
              <w:rPr>
                <w:i w:val="0"/>
              </w:rPr>
              <w:t>Bigbags com liner armazenados em caçambas metálicas ou containers</w:t>
            </w:r>
          </w:p>
        </w:tc>
      </w:tr>
      <w:tr w:rsidR="007E0169" w:rsidRPr="009236C4" w14:paraId="5E454FBB" w14:textId="77777777" w:rsidTr="0010683E">
        <w:trPr>
          <w:cantSplit/>
        </w:trPr>
        <w:tc>
          <w:tcPr>
            <w:tcW w:w="725" w:type="pct"/>
            <w:vMerge/>
            <w:shd w:val="clear" w:color="auto" w:fill="D9D9D9" w:themeFill="background1" w:themeFillShade="D9"/>
            <w:vAlign w:val="center"/>
          </w:tcPr>
          <w:p w14:paraId="7FD22420"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3BC0E8E5"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72B36A09" w14:textId="77777777" w:rsidR="007E0169" w:rsidRPr="009236C4" w:rsidRDefault="007E0169" w:rsidP="009236C4">
            <w:pPr>
              <w:pStyle w:val="CharChar8"/>
              <w:rPr>
                <w:i w:val="0"/>
              </w:rPr>
            </w:pPr>
            <w:r w:rsidRPr="009236C4">
              <w:rPr>
                <w:i w:val="0"/>
              </w:rPr>
              <w:t>Resíduos Médicos e Drogas Controladas</w:t>
            </w:r>
          </w:p>
        </w:tc>
        <w:tc>
          <w:tcPr>
            <w:tcW w:w="518" w:type="pct"/>
            <w:shd w:val="clear" w:color="auto" w:fill="D9D9D9" w:themeFill="background1" w:themeFillShade="D9"/>
            <w:vAlign w:val="center"/>
          </w:tcPr>
          <w:p w14:paraId="67F7DB18"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2A9D236D" w14:textId="77777777" w:rsidR="007E0169" w:rsidRPr="009236C4" w:rsidRDefault="007E0169" w:rsidP="009236C4">
            <w:pPr>
              <w:pStyle w:val="CharChar8"/>
              <w:rPr>
                <w:i w:val="0"/>
              </w:rPr>
            </w:pPr>
            <w:r w:rsidRPr="009236C4">
              <w:rPr>
                <w:i w:val="0"/>
              </w:rPr>
              <w:t>Branco</w:t>
            </w:r>
          </w:p>
        </w:tc>
        <w:tc>
          <w:tcPr>
            <w:tcW w:w="907" w:type="pct"/>
            <w:shd w:val="clear" w:color="auto" w:fill="D9D9D9" w:themeFill="background1" w:themeFillShade="D9"/>
            <w:vAlign w:val="center"/>
          </w:tcPr>
          <w:p w14:paraId="6964E22A" w14:textId="77777777" w:rsidR="007E0169" w:rsidRPr="009236C4" w:rsidRDefault="007E0169" w:rsidP="009236C4">
            <w:pPr>
              <w:pStyle w:val="CharChar8"/>
              <w:rPr>
                <w:i w:val="0"/>
              </w:rPr>
            </w:pPr>
            <w:r w:rsidRPr="009236C4">
              <w:rPr>
                <w:i w:val="0"/>
              </w:rPr>
              <w:t>Containers especiais</w:t>
            </w:r>
          </w:p>
        </w:tc>
      </w:tr>
      <w:tr w:rsidR="007E0169" w:rsidRPr="009236C4" w14:paraId="192F0664" w14:textId="77777777" w:rsidTr="0010683E">
        <w:trPr>
          <w:cantSplit/>
        </w:trPr>
        <w:tc>
          <w:tcPr>
            <w:tcW w:w="725" w:type="pct"/>
            <w:vMerge/>
            <w:shd w:val="clear" w:color="auto" w:fill="D9D9D9" w:themeFill="background1" w:themeFillShade="D9"/>
            <w:vAlign w:val="center"/>
          </w:tcPr>
          <w:p w14:paraId="2410970C" w14:textId="77777777" w:rsidR="007E0169" w:rsidRPr="009236C4" w:rsidRDefault="007E0169" w:rsidP="009236C4">
            <w:pPr>
              <w:pStyle w:val="CharChar8"/>
              <w:rPr>
                <w:i w:val="0"/>
              </w:rPr>
            </w:pPr>
          </w:p>
        </w:tc>
        <w:tc>
          <w:tcPr>
            <w:tcW w:w="932" w:type="pct"/>
            <w:shd w:val="clear" w:color="auto" w:fill="D9D9D9" w:themeFill="background1" w:themeFillShade="D9"/>
            <w:vAlign w:val="center"/>
          </w:tcPr>
          <w:p w14:paraId="2B7F603B" w14:textId="77777777" w:rsidR="007E0169" w:rsidRPr="009236C4" w:rsidRDefault="007E0169" w:rsidP="009236C4">
            <w:pPr>
              <w:pStyle w:val="CharChar8"/>
              <w:rPr>
                <w:i w:val="0"/>
              </w:rPr>
            </w:pPr>
            <w:r w:rsidRPr="009236C4">
              <w:rPr>
                <w:i w:val="0"/>
              </w:rPr>
              <w:t>Área de descontaminação de pessoal e equipamentos</w:t>
            </w:r>
          </w:p>
        </w:tc>
        <w:tc>
          <w:tcPr>
            <w:tcW w:w="1141" w:type="pct"/>
            <w:shd w:val="clear" w:color="auto" w:fill="D9D9D9" w:themeFill="background1" w:themeFillShade="D9"/>
            <w:vAlign w:val="center"/>
          </w:tcPr>
          <w:p w14:paraId="509B8C1A" w14:textId="77777777" w:rsidR="007E0169" w:rsidRPr="009236C4" w:rsidRDefault="007E0169" w:rsidP="009236C4">
            <w:pPr>
              <w:pStyle w:val="CharChar8"/>
              <w:rPr>
                <w:i w:val="0"/>
              </w:rPr>
            </w:pPr>
            <w:r w:rsidRPr="009236C4">
              <w:rPr>
                <w:i w:val="0"/>
              </w:rPr>
              <w:t>Material contaminado (EPI, efluentes oleosos, material conta</w:t>
            </w:r>
            <w:r w:rsidR="009236C4">
              <w:rPr>
                <w:i w:val="0"/>
              </w:rPr>
              <w:t>m</w:t>
            </w:r>
            <w:r w:rsidRPr="009236C4">
              <w:rPr>
                <w:i w:val="0"/>
              </w:rPr>
              <w:t>inado, absorventes, etc.)</w:t>
            </w:r>
          </w:p>
        </w:tc>
        <w:tc>
          <w:tcPr>
            <w:tcW w:w="518" w:type="pct"/>
            <w:shd w:val="clear" w:color="auto" w:fill="D9D9D9" w:themeFill="background1" w:themeFillShade="D9"/>
            <w:vAlign w:val="center"/>
          </w:tcPr>
          <w:p w14:paraId="7A5AA506"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0279C062" w14:textId="77777777" w:rsidR="007E0169" w:rsidRPr="009236C4" w:rsidRDefault="007E0169" w:rsidP="009236C4">
            <w:pPr>
              <w:pStyle w:val="CharChar8"/>
              <w:rPr>
                <w:i w:val="0"/>
              </w:rPr>
            </w:pPr>
            <w:r w:rsidRPr="009236C4">
              <w:rPr>
                <w:i w:val="0"/>
              </w:rPr>
              <w:t xml:space="preserve">Laranja </w:t>
            </w:r>
          </w:p>
        </w:tc>
        <w:tc>
          <w:tcPr>
            <w:tcW w:w="907" w:type="pct"/>
            <w:shd w:val="clear" w:color="auto" w:fill="D9D9D9" w:themeFill="background1" w:themeFillShade="D9"/>
            <w:vAlign w:val="center"/>
          </w:tcPr>
          <w:p w14:paraId="13D623FB" w14:textId="77777777" w:rsidR="007E0169" w:rsidRPr="009236C4" w:rsidRDefault="007E0169" w:rsidP="009236C4">
            <w:pPr>
              <w:pStyle w:val="CharChar8"/>
              <w:rPr>
                <w:i w:val="0"/>
              </w:rPr>
            </w:pPr>
            <w:r w:rsidRPr="009236C4">
              <w:rPr>
                <w:i w:val="0"/>
              </w:rPr>
              <w:t>Bigbags com liner armazenados em caçambas metálicas ou container</w:t>
            </w:r>
          </w:p>
        </w:tc>
      </w:tr>
      <w:tr w:rsidR="007E0169" w:rsidRPr="009236C4" w14:paraId="7180E911" w14:textId="77777777" w:rsidTr="0010683E">
        <w:trPr>
          <w:cantSplit/>
          <w:trHeight w:val="454"/>
        </w:trPr>
        <w:tc>
          <w:tcPr>
            <w:tcW w:w="725" w:type="pct"/>
            <w:vMerge/>
            <w:shd w:val="clear" w:color="auto" w:fill="D9D9D9" w:themeFill="background1" w:themeFillShade="D9"/>
            <w:vAlign w:val="center"/>
          </w:tcPr>
          <w:p w14:paraId="3C14E945" w14:textId="77777777" w:rsidR="007E0169" w:rsidRPr="009236C4" w:rsidRDefault="007E0169" w:rsidP="009236C4">
            <w:pPr>
              <w:pStyle w:val="CharChar8"/>
              <w:rPr>
                <w:i w:val="0"/>
              </w:rPr>
            </w:pPr>
          </w:p>
        </w:tc>
        <w:tc>
          <w:tcPr>
            <w:tcW w:w="932" w:type="pct"/>
            <w:vMerge w:val="restart"/>
            <w:shd w:val="clear" w:color="auto" w:fill="D9D9D9" w:themeFill="background1" w:themeFillShade="D9"/>
            <w:vAlign w:val="center"/>
          </w:tcPr>
          <w:p w14:paraId="0945C5B9" w14:textId="77777777" w:rsidR="007E0169" w:rsidRPr="009236C4" w:rsidRDefault="007E0169" w:rsidP="009236C4">
            <w:pPr>
              <w:pStyle w:val="CharChar8"/>
              <w:rPr>
                <w:i w:val="0"/>
              </w:rPr>
            </w:pPr>
            <w:r w:rsidRPr="009236C4">
              <w:rPr>
                <w:i w:val="0"/>
              </w:rPr>
              <w:t>Estação central de descontaminação de equipamentos, veículos e barreiras</w:t>
            </w:r>
          </w:p>
        </w:tc>
        <w:tc>
          <w:tcPr>
            <w:tcW w:w="1141" w:type="pct"/>
            <w:shd w:val="clear" w:color="auto" w:fill="D9D9D9" w:themeFill="background1" w:themeFillShade="D9"/>
            <w:vAlign w:val="center"/>
          </w:tcPr>
          <w:p w14:paraId="54BF12E3" w14:textId="77777777" w:rsidR="007E0169" w:rsidRPr="009236C4" w:rsidRDefault="007E0169" w:rsidP="009236C4">
            <w:pPr>
              <w:pStyle w:val="CharChar8"/>
              <w:rPr>
                <w:i w:val="0"/>
              </w:rPr>
            </w:pPr>
            <w:r w:rsidRPr="009236C4">
              <w:rPr>
                <w:i w:val="0"/>
              </w:rPr>
              <w:t>Água Oleosa</w:t>
            </w:r>
          </w:p>
        </w:tc>
        <w:tc>
          <w:tcPr>
            <w:tcW w:w="518" w:type="pct"/>
            <w:shd w:val="clear" w:color="auto" w:fill="D9D9D9" w:themeFill="background1" w:themeFillShade="D9"/>
            <w:vAlign w:val="center"/>
          </w:tcPr>
          <w:p w14:paraId="41446FA6"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797BFD55" w14:textId="77777777" w:rsidR="007E0169" w:rsidRPr="009236C4" w:rsidRDefault="007E0169" w:rsidP="009236C4">
            <w:pPr>
              <w:pStyle w:val="CharChar8"/>
              <w:rPr>
                <w:i w:val="0"/>
              </w:rPr>
            </w:pPr>
            <w:r w:rsidRPr="009236C4">
              <w:rPr>
                <w:i w:val="0"/>
              </w:rPr>
              <w:t>Laranja</w:t>
            </w:r>
          </w:p>
        </w:tc>
        <w:tc>
          <w:tcPr>
            <w:tcW w:w="907" w:type="pct"/>
            <w:shd w:val="clear" w:color="auto" w:fill="D9D9D9" w:themeFill="background1" w:themeFillShade="D9"/>
            <w:vAlign w:val="center"/>
          </w:tcPr>
          <w:p w14:paraId="24B29167" w14:textId="77777777" w:rsidR="007E0169" w:rsidRPr="009236C4" w:rsidRDefault="009236C4" w:rsidP="009236C4">
            <w:pPr>
              <w:pStyle w:val="CharChar8"/>
              <w:rPr>
                <w:i w:val="0"/>
              </w:rPr>
            </w:pPr>
            <w:r>
              <w:rPr>
                <w:i w:val="0"/>
              </w:rPr>
              <w:t>Tanques ou tambores metálicos</w:t>
            </w:r>
          </w:p>
        </w:tc>
      </w:tr>
      <w:tr w:rsidR="007E0169" w:rsidRPr="009236C4" w14:paraId="2529398A" w14:textId="77777777" w:rsidTr="0010683E">
        <w:trPr>
          <w:cantSplit/>
          <w:trHeight w:val="454"/>
        </w:trPr>
        <w:tc>
          <w:tcPr>
            <w:tcW w:w="725" w:type="pct"/>
            <w:vMerge/>
            <w:shd w:val="clear" w:color="auto" w:fill="D9D9D9" w:themeFill="background1" w:themeFillShade="D9"/>
            <w:vAlign w:val="center"/>
          </w:tcPr>
          <w:p w14:paraId="797A2A68"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5EB9D416"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1A0A3705" w14:textId="77777777" w:rsidR="007E0169" w:rsidRPr="009236C4" w:rsidRDefault="007E0169" w:rsidP="009236C4">
            <w:pPr>
              <w:pStyle w:val="CharChar8"/>
              <w:rPr>
                <w:i w:val="0"/>
              </w:rPr>
            </w:pPr>
            <w:r w:rsidRPr="009236C4">
              <w:rPr>
                <w:i w:val="0"/>
              </w:rPr>
              <w:t>Material contaminado</w:t>
            </w:r>
          </w:p>
        </w:tc>
        <w:tc>
          <w:tcPr>
            <w:tcW w:w="518" w:type="pct"/>
            <w:shd w:val="clear" w:color="auto" w:fill="D9D9D9" w:themeFill="background1" w:themeFillShade="D9"/>
            <w:vAlign w:val="center"/>
          </w:tcPr>
          <w:p w14:paraId="14ED8B4B"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780572DE" w14:textId="77777777" w:rsidR="007E0169" w:rsidRPr="009236C4" w:rsidRDefault="007E0169" w:rsidP="009236C4">
            <w:pPr>
              <w:pStyle w:val="CharChar8"/>
              <w:rPr>
                <w:i w:val="0"/>
              </w:rPr>
            </w:pPr>
            <w:r w:rsidRPr="009236C4">
              <w:rPr>
                <w:i w:val="0"/>
              </w:rPr>
              <w:t>Laranja</w:t>
            </w:r>
          </w:p>
        </w:tc>
        <w:tc>
          <w:tcPr>
            <w:tcW w:w="907" w:type="pct"/>
            <w:shd w:val="clear" w:color="auto" w:fill="D9D9D9" w:themeFill="background1" w:themeFillShade="D9"/>
            <w:vAlign w:val="center"/>
          </w:tcPr>
          <w:p w14:paraId="04149873" w14:textId="77777777" w:rsidR="007E0169" w:rsidRPr="009236C4" w:rsidRDefault="007E0169" w:rsidP="009236C4">
            <w:pPr>
              <w:pStyle w:val="CharChar8"/>
              <w:rPr>
                <w:i w:val="0"/>
              </w:rPr>
            </w:pPr>
            <w:r w:rsidRPr="009236C4">
              <w:rPr>
                <w:i w:val="0"/>
              </w:rPr>
              <w:t>Bigbags com liner</w:t>
            </w:r>
          </w:p>
        </w:tc>
      </w:tr>
      <w:tr w:rsidR="007E0169" w:rsidRPr="009236C4" w14:paraId="2DE405B8" w14:textId="77777777" w:rsidTr="0010683E">
        <w:trPr>
          <w:cantSplit/>
          <w:trHeight w:val="454"/>
        </w:trPr>
        <w:tc>
          <w:tcPr>
            <w:tcW w:w="725" w:type="pct"/>
            <w:vMerge/>
            <w:shd w:val="clear" w:color="auto" w:fill="D9D9D9" w:themeFill="background1" w:themeFillShade="D9"/>
            <w:vAlign w:val="center"/>
          </w:tcPr>
          <w:p w14:paraId="39911ABB" w14:textId="77777777" w:rsidR="007E0169" w:rsidRPr="009236C4" w:rsidRDefault="007E0169" w:rsidP="009236C4">
            <w:pPr>
              <w:pStyle w:val="CharChar8"/>
              <w:rPr>
                <w:i w:val="0"/>
              </w:rPr>
            </w:pPr>
          </w:p>
        </w:tc>
        <w:tc>
          <w:tcPr>
            <w:tcW w:w="932" w:type="pct"/>
            <w:shd w:val="clear" w:color="auto" w:fill="D9D9D9" w:themeFill="background1" w:themeFillShade="D9"/>
            <w:vAlign w:val="center"/>
          </w:tcPr>
          <w:p w14:paraId="0EBB493C" w14:textId="77777777" w:rsidR="007E0169" w:rsidRPr="009236C4" w:rsidRDefault="007E0169" w:rsidP="009236C4">
            <w:pPr>
              <w:pStyle w:val="CharChar8"/>
              <w:rPr>
                <w:i w:val="0"/>
              </w:rPr>
            </w:pPr>
            <w:r w:rsidRPr="009236C4">
              <w:rPr>
                <w:i w:val="0"/>
              </w:rPr>
              <w:t>Estação de descontaminação de barco</w:t>
            </w:r>
          </w:p>
        </w:tc>
        <w:tc>
          <w:tcPr>
            <w:tcW w:w="1141" w:type="pct"/>
            <w:shd w:val="clear" w:color="auto" w:fill="D9D9D9" w:themeFill="background1" w:themeFillShade="D9"/>
            <w:vAlign w:val="center"/>
          </w:tcPr>
          <w:p w14:paraId="41F53958" w14:textId="77777777" w:rsidR="007E0169" w:rsidRPr="009236C4" w:rsidRDefault="007E0169" w:rsidP="009236C4">
            <w:pPr>
              <w:pStyle w:val="CharChar8"/>
              <w:rPr>
                <w:i w:val="0"/>
              </w:rPr>
            </w:pPr>
            <w:r w:rsidRPr="009236C4">
              <w:rPr>
                <w:i w:val="0"/>
              </w:rPr>
              <w:t>Efluente oleoso</w:t>
            </w:r>
          </w:p>
        </w:tc>
        <w:tc>
          <w:tcPr>
            <w:tcW w:w="518" w:type="pct"/>
            <w:shd w:val="clear" w:color="auto" w:fill="D9D9D9" w:themeFill="background1" w:themeFillShade="D9"/>
            <w:vAlign w:val="center"/>
          </w:tcPr>
          <w:p w14:paraId="77A5C7CC"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2DEECD5A" w14:textId="77777777" w:rsidR="007E0169" w:rsidRPr="009236C4" w:rsidRDefault="007E0169" w:rsidP="009236C4">
            <w:pPr>
              <w:pStyle w:val="CharChar8"/>
              <w:rPr>
                <w:i w:val="0"/>
              </w:rPr>
            </w:pPr>
            <w:r w:rsidRPr="009236C4">
              <w:rPr>
                <w:i w:val="0"/>
              </w:rPr>
              <w:t>Laranja</w:t>
            </w:r>
          </w:p>
        </w:tc>
        <w:tc>
          <w:tcPr>
            <w:tcW w:w="907" w:type="pct"/>
            <w:shd w:val="clear" w:color="auto" w:fill="D9D9D9" w:themeFill="background1" w:themeFillShade="D9"/>
            <w:vAlign w:val="center"/>
          </w:tcPr>
          <w:p w14:paraId="3D48D36E" w14:textId="77777777" w:rsidR="007E0169" w:rsidRPr="009236C4" w:rsidRDefault="009236C4" w:rsidP="009236C4">
            <w:pPr>
              <w:pStyle w:val="CharChar8"/>
              <w:rPr>
                <w:i w:val="0"/>
              </w:rPr>
            </w:pPr>
            <w:r>
              <w:rPr>
                <w:i w:val="0"/>
              </w:rPr>
              <w:t>Tanques ou tambores metálicos</w:t>
            </w:r>
          </w:p>
        </w:tc>
      </w:tr>
      <w:tr w:rsidR="007E0169" w:rsidRPr="009236C4" w14:paraId="18708F13" w14:textId="77777777" w:rsidTr="0010683E">
        <w:trPr>
          <w:cantSplit/>
        </w:trPr>
        <w:tc>
          <w:tcPr>
            <w:tcW w:w="725" w:type="pct"/>
            <w:vMerge/>
            <w:shd w:val="clear" w:color="auto" w:fill="D9D9D9" w:themeFill="background1" w:themeFillShade="D9"/>
            <w:vAlign w:val="center"/>
          </w:tcPr>
          <w:p w14:paraId="1FBC26C2" w14:textId="77777777" w:rsidR="007E0169" w:rsidRPr="009236C4" w:rsidRDefault="007E0169" w:rsidP="009236C4">
            <w:pPr>
              <w:pStyle w:val="CharChar8"/>
              <w:rPr>
                <w:i w:val="0"/>
              </w:rPr>
            </w:pPr>
          </w:p>
        </w:tc>
        <w:tc>
          <w:tcPr>
            <w:tcW w:w="932" w:type="pct"/>
            <w:vMerge w:val="restart"/>
            <w:shd w:val="clear" w:color="auto" w:fill="D9D9D9" w:themeFill="background1" w:themeFillShade="D9"/>
            <w:vAlign w:val="center"/>
          </w:tcPr>
          <w:p w14:paraId="10279BD3" w14:textId="77777777" w:rsidR="007E0169" w:rsidRPr="009236C4" w:rsidRDefault="007E0169" w:rsidP="009236C4">
            <w:pPr>
              <w:pStyle w:val="CharChar8"/>
              <w:rPr>
                <w:i w:val="0"/>
              </w:rPr>
            </w:pPr>
            <w:r w:rsidRPr="009236C4">
              <w:rPr>
                <w:i w:val="0"/>
              </w:rPr>
              <w:t>Centros de Tratamento da Vida Selvagem</w:t>
            </w:r>
          </w:p>
        </w:tc>
        <w:tc>
          <w:tcPr>
            <w:tcW w:w="1141" w:type="pct"/>
            <w:shd w:val="clear" w:color="auto" w:fill="D9D9D9" w:themeFill="background1" w:themeFillShade="D9"/>
            <w:vAlign w:val="center"/>
          </w:tcPr>
          <w:p w14:paraId="5A919BBB" w14:textId="77777777" w:rsidR="007E0169" w:rsidRPr="009236C4" w:rsidRDefault="007E0169" w:rsidP="009236C4">
            <w:pPr>
              <w:pStyle w:val="CharChar8"/>
              <w:rPr>
                <w:i w:val="0"/>
              </w:rPr>
            </w:pPr>
            <w:r w:rsidRPr="009236C4">
              <w:rPr>
                <w:i w:val="0"/>
              </w:rPr>
              <w:t>Resíduos de alimentos orgânicos</w:t>
            </w:r>
          </w:p>
        </w:tc>
        <w:tc>
          <w:tcPr>
            <w:tcW w:w="518" w:type="pct"/>
            <w:shd w:val="clear" w:color="auto" w:fill="D9D9D9" w:themeFill="background1" w:themeFillShade="D9"/>
            <w:vAlign w:val="center"/>
          </w:tcPr>
          <w:p w14:paraId="1F1049F9" w14:textId="77777777" w:rsidR="007E0169" w:rsidRPr="009236C4" w:rsidRDefault="007E0169" w:rsidP="009236C4">
            <w:pPr>
              <w:pStyle w:val="CharChar8"/>
              <w:rPr>
                <w:i w:val="0"/>
              </w:rPr>
            </w:pPr>
            <w:r w:rsidRPr="009236C4">
              <w:rPr>
                <w:i w:val="0"/>
              </w:rPr>
              <w:t>Classe II A</w:t>
            </w:r>
          </w:p>
        </w:tc>
        <w:tc>
          <w:tcPr>
            <w:tcW w:w="777" w:type="pct"/>
            <w:shd w:val="clear" w:color="auto" w:fill="D9D9D9" w:themeFill="background1" w:themeFillShade="D9"/>
            <w:vAlign w:val="center"/>
          </w:tcPr>
          <w:p w14:paraId="4EF2A4A8" w14:textId="77777777" w:rsidR="007E0169" w:rsidRPr="009236C4" w:rsidRDefault="007E0169" w:rsidP="009236C4">
            <w:pPr>
              <w:pStyle w:val="CharChar8"/>
              <w:rPr>
                <w:i w:val="0"/>
              </w:rPr>
            </w:pPr>
            <w:r w:rsidRPr="009236C4">
              <w:rPr>
                <w:rFonts w:ascii="Times New Roman" w:hAnsi="Times New Roman" w:cs="Times New Roman"/>
                <w:i w:val="0"/>
              </w:rPr>
              <w:t>⁪</w:t>
            </w:r>
            <w:r w:rsidRPr="009236C4">
              <w:rPr>
                <w:i w:val="0"/>
              </w:rPr>
              <w:t>Marrom</w:t>
            </w:r>
          </w:p>
        </w:tc>
        <w:tc>
          <w:tcPr>
            <w:tcW w:w="907" w:type="pct"/>
            <w:shd w:val="clear" w:color="auto" w:fill="D9D9D9" w:themeFill="background1" w:themeFillShade="D9"/>
            <w:vAlign w:val="center"/>
          </w:tcPr>
          <w:p w14:paraId="4DA39AA5" w14:textId="77777777" w:rsidR="007E0169" w:rsidRPr="009236C4" w:rsidRDefault="007E0169" w:rsidP="009236C4">
            <w:pPr>
              <w:pStyle w:val="CharChar8"/>
              <w:rPr>
                <w:i w:val="0"/>
              </w:rPr>
            </w:pPr>
            <w:r w:rsidRPr="009236C4">
              <w:rPr>
                <w:i w:val="0"/>
              </w:rPr>
              <w:t>Tambores metálicos co-bertos com revestimentos</w:t>
            </w:r>
          </w:p>
        </w:tc>
      </w:tr>
      <w:tr w:rsidR="007E0169" w:rsidRPr="009236C4" w14:paraId="4A54EB0A" w14:textId="77777777" w:rsidTr="0010683E">
        <w:trPr>
          <w:cantSplit/>
        </w:trPr>
        <w:tc>
          <w:tcPr>
            <w:tcW w:w="725" w:type="pct"/>
            <w:vMerge/>
            <w:shd w:val="clear" w:color="auto" w:fill="D9D9D9" w:themeFill="background1" w:themeFillShade="D9"/>
            <w:vAlign w:val="center"/>
          </w:tcPr>
          <w:p w14:paraId="312D8B4B"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3B458959"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75B2F1A5" w14:textId="77777777" w:rsidR="007E0169" w:rsidRPr="009236C4" w:rsidRDefault="007E0169" w:rsidP="009236C4">
            <w:pPr>
              <w:pStyle w:val="CharChar8"/>
              <w:rPr>
                <w:i w:val="0"/>
              </w:rPr>
            </w:pPr>
            <w:r w:rsidRPr="009236C4">
              <w:rPr>
                <w:i w:val="0"/>
              </w:rPr>
              <w:t>Água Negra e Cinza</w:t>
            </w:r>
          </w:p>
        </w:tc>
        <w:tc>
          <w:tcPr>
            <w:tcW w:w="518" w:type="pct"/>
            <w:shd w:val="clear" w:color="auto" w:fill="D9D9D9" w:themeFill="background1" w:themeFillShade="D9"/>
            <w:vAlign w:val="center"/>
          </w:tcPr>
          <w:p w14:paraId="6CED50BB" w14:textId="77777777" w:rsidR="007E0169" w:rsidRPr="009236C4" w:rsidRDefault="007E0169" w:rsidP="009236C4">
            <w:pPr>
              <w:pStyle w:val="CharChar8"/>
              <w:rPr>
                <w:i w:val="0"/>
              </w:rPr>
            </w:pPr>
            <w:r w:rsidRPr="009236C4">
              <w:rPr>
                <w:i w:val="0"/>
              </w:rPr>
              <w:t>-</w:t>
            </w:r>
          </w:p>
        </w:tc>
        <w:tc>
          <w:tcPr>
            <w:tcW w:w="777" w:type="pct"/>
            <w:shd w:val="clear" w:color="auto" w:fill="D9D9D9" w:themeFill="background1" w:themeFillShade="D9"/>
            <w:vAlign w:val="center"/>
          </w:tcPr>
          <w:p w14:paraId="673F17A2" w14:textId="77777777" w:rsidR="007E0169" w:rsidRPr="009236C4" w:rsidRDefault="009236C4" w:rsidP="009236C4">
            <w:pPr>
              <w:pStyle w:val="CharChar8"/>
              <w:rPr>
                <w:i w:val="0"/>
              </w:rPr>
            </w:pPr>
            <w:r>
              <w:rPr>
                <w:i w:val="0"/>
              </w:rPr>
              <w:t>-</w:t>
            </w:r>
          </w:p>
        </w:tc>
        <w:tc>
          <w:tcPr>
            <w:tcW w:w="907" w:type="pct"/>
            <w:shd w:val="clear" w:color="auto" w:fill="D9D9D9" w:themeFill="background1" w:themeFillShade="D9"/>
            <w:vAlign w:val="center"/>
          </w:tcPr>
          <w:p w14:paraId="7A7A8BDF" w14:textId="77777777" w:rsidR="007E0169" w:rsidRPr="009236C4" w:rsidRDefault="007E0169" w:rsidP="009236C4">
            <w:pPr>
              <w:pStyle w:val="CharChar8"/>
              <w:rPr>
                <w:i w:val="0"/>
              </w:rPr>
            </w:pPr>
            <w:r w:rsidRPr="009236C4">
              <w:rPr>
                <w:i w:val="0"/>
              </w:rPr>
              <w:t>Tanques</w:t>
            </w:r>
          </w:p>
        </w:tc>
      </w:tr>
      <w:tr w:rsidR="007E0169" w:rsidRPr="009236C4" w14:paraId="44D09B95" w14:textId="77777777" w:rsidTr="0010683E">
        <w:trPr>
          <w:cantSplit/>
        </w:trPr>
        <w:tc>
          <w:tcPr>
            <w:tcW w:w="725" w:type="pct"/>
            <w:vMerge w:val="restart"/>
            <w:shd w:val="clear" w:color="auto" w:fill="D9D9D9" w:themeFill="background1" w:themeFillShade="D9"/>
            <w:vAlign w:val="center"/>
          </w:tcPr>
          <w:p w14:paraId="36C9B061" w14:textId="77777777" w:rsidR="007E0169" w:rsidRPr="009236C4" w:rsidRDefault="007E0169" w:rsidP="009236C4">
            <w:pPr>
              <w:pStyle w:val="CharChar8"/>
              <w:rPr>
                <w:i w:val="0"/>
              </w:rPr>
            </w:pPr>
            <w:r w:rsidRPr="009236C4">
              <w:rPr>
                <w:i w:val="0"/>
              </w:rPr>
              <w:t>Instalações de suporte onshore</w:t>
            </w:r>
          </w:p>
        </w:tc>
        <w:tc>
          <w:tcPr>
            <w:tcW w:w="932" w:type="pct"/>
            <w:vMerge w:val="restart"/>
            <w:shd w:val="clear" w:color="auto" w:fill="D9D9D9" w:themeFill="background1" w:themeFillShade="D9"/>
            <w:vAlign w:val="center"/>
          </w:tcPr>
          <w:p w14:paraId="72805998" w14:textId="77777777" w:rsidR="007E0169" w:rsidRPr="009236C4" w:rsidRDefault="007E0169" w:rsidP="009236C4">
            <w:pPr>
              <w:pStyle w:val="CharChar8"/>
              <w:rPr>
                <w:i w:val="0"/>
              </w:rPr>
            </w:pPr>
            <w:r w:rsidRPr="009236C4">
              <w:rPr>
                <w:i w:val="0"/>
              </w:rPr>
              <w:t>Centros de Tratamento da Vida Selvagem</w:t>
            </w:r>
          </w:p>
        </w:tc>
        <w:tc>
          <w:tcPr>
            <w:tcW w:w="1141" w:type="pct"/>
            <w:shd w:val="clear" w:color="auto" w:fill="D9D9D9" w:themeFill="background1" w:themeFillShade="D9"/>
            <w:vAlign w:val="center"/>
          </w:tcPr>
          <w:p w14:paraId="40FA0CB0" w14:textId="77777777" w:rsidR="007E0169" w:rsidRPr="009236C4" w:rsidRDefault="007E0169" w:rsidP="009236C4">
            <w:pPr>
              <w:pStyle w:val="CharChar8"/>
              <w:rPr>
                <w:i w:val="0"/>
              </w:rPr>
            </w:pPr>
            <w:r w:rsidRPr="009236C4">
              <w:rPr>
                <w:i w:val="0"/>
              </w:rPr>
              <w:t>Efluente oleoso de lavagem de animais</w:t>
            </w:r>
          </w:p>
        </w:tc>
        <w:tc>
          <w:tcPr>
            <w:tcW w:w="518" w:type="pct"/>
            <w:shd w:val="clear" w:color="auto" w:fill="D9D9D9" w:themeFill="background1" w:themeFillShade="D9"/>
            <w:vAlign w:val="center"/>
          </w:tcPr>
          <w:p w14:paraId="53C58824"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5C049C80" w14:textId="77777777" w:rsidR="007E0169" w:rsidRPr="009236C4" w:rsidRDefault="007E0169" w:rsidP="009236C4">
            <w:pPr>
              <w:pStyle w:val="CharChar8"/>
              <w:rPr>
                <w:i w:val="0"/>
              </w:rPr>
            </w:pPr>
            <w:r w:rsidRPr="009236C4">
              <w:rPr>
                <w:i w:val="0"/>
              </w:rPr>
              <w:t>Laranja</w:t>
            </w:r>
          </w:p>
        </w:tc>
        <w:tc>
          <w:tcPr>
            <w:tcW w:w="907" w:type="pct"/>
            <w:shd w:val="clear" w:color="auto" w:fill="D9D9D9" w:themeFill="background1" w:themeFillShade="D9"/>
            <w:vAlign w:val="center"/>
          </w:tcPr>
          <w:p w14:paraId="37F4C905" w14:textId="77777777" w:rsidR="007E0169" w:rsidRPr="009236C4" w:rsidRDefault="009236C4" w:rsidP="009236C4">
            <w:pPr>
              <w:pStyle w:val="CharChar8"/>
              <w:rPr>
                <w:i w:val="0"/>
              </w:rPr>
            </w:pPr>
            <w:r>
              <w:rPr>
                <w:i w:val="0"/>
              </w:rPr>
              <w:t>Tanques ou tambores metálicos</w:t>
            </w:r>
          </w:p>
        </w:tc>
      </w:tr>
      <w:tr w:rsidR="007E0169" w:rsidRPr="009236C4" w14:paraId="54A37E72" w14:textId="77777777" w:rsidTr="0010683E">
        <w:trPr>
          <w:cantSplit/>
        </w:trPr>
        <w:tc>
          <w:tcPr>
            <w:tcW w:w="725" w:type="pct"/>
            <w:vMerge/>
            <w:shd w:val="clear" w:color="auto" w:fill="D9D9D9" w:themeFill="background1" w:themeFillShade="D9"/>
            <w:vAlign w:val="center"/>
          </w:tcPr>
          <w:p w14:paraId="11ED8A02"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60D43143"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4772BC91" w14:textId="77777777" w:rsidR="007E0169" w:rsidRPr="009236C4" w:rsidRDefault="007E0169" w:rsidP="009236C4">
            <w:pPr>
              <w:pStyle w:val="CharChar8"/>
              <w:rPr>
                <w:i w:val="0"/>
              </w:rPr>
            </w:pPr>
            <w:r w:rsidRPr="009236C4">
              <w:rPr>
                <w:i w:val="0"/>
              </w:rPr>
              <w:t>Resíduos Domésticos Não Perigosos</w:t>
            </w:r>
          </w:p>
        </w:tc>
        <w:tc>
          <w:tcPr>
            <w:tcW w:w="518" w:type="pct"/>
            <w:shd w:val="clear" w:color="auto" w:fill="D9D9D9" w:themeFill="background1" w:themeFillShade="D9"/>
            <w:vAlign w:val="center"/>
          </w:tcPr>
          <w:p w14:paraId="17B8EFBA" w14:textId="77777777" w:rsidR="007E0169" w:rsidRPr="009236C4" w:rsidRDefault="007E0169" w:rsidP="009236C4">
            <w:pPr>
              <w:pStyle w:val="CharChar8"/>
              <w:rPr>
                <w:i w:val="0"/>
              </w:rPr>
            </w:pPr>
            <w:r w:rsidRPr="009236C4">
              <w:rPr>
                <w:i w:val="0"/>
              </w:rPr>
              <w:t>Classe II B</w:t>
            </w:r>
          </w:p>
        </w:tc>
        <w:tc>
          <w:tcPr>
            <w:tcW w:w="777" w:type="pct"/>
            <w:shd w:val="clear" w:color="auto" w:fill="D9D9D9" w:themeFill="background1" w:themeFillShade="D9"/>
            <w:vAlign w:val="center"/>
          </w:tcPr>
          <w:p w14:paraId="2CD17F60" w14:textId="77777777" w:rsidR="007E0169" w:rsidRPr="009236C4" w:rsidRDefault="007E0169" w:rsidP="009236C4">
            <w:pPr>
              <w:pStyle w:val="CharChar8"/>
              <w:rPr>
                <w:i w:val="0"/>
              </w:rPr>
            </w:pPr>
            <w:r w:rsidRPr="009236C4">
              <w:rPr>
                <w:i w:val="0"/>
              </w:rPr>
              <w:t xml:space="preserve">Vermelho (Plástico), Verde (Vidro), </w:t>
            </w:r>
          </w:p>
          <w:p w14:paraId="7C104051" w14:textId="77777777" w:rsidR="007E0169" w:rsidRPr="009236C4" w:rsidRDefault="007E0169" w:rsidP="009236C4">
            <w:pPr>
              <w:pStyle w:val="CharChar8"/>
              <w:rPr>
                <w:i w:val="0"/>
              </w:rPr>
            </w:pPr>
            <w:r w:rsidRPr="009236C4">
              <w:rPr>
                <w:i w:val="0"/>
              </w:rPr>
              <w:t>Azul (Papel/Papelão), Cinza (resíduos não recicláveis)</w:t>
            </w:r>
          </w:p>
        </w:tc>
        <w:tc>
          <w:tcPr>
            <w:tcW w:w="907" w:type="pct"/>
            <w:shd w:val="clear" w:color="auto" w:fill="D9D9D9" w:themeFill="background1" w:themeFillShade="D9"/>
            <w:vAlign w:val="center"/>
          </w:tcPr>
          <w:p w14:paraId="16805758" w14:textId="77777777" w:rsidR="007E0169" w:rsidRPr="009236C4" w:rsidRDefault="009236C4" w:rsidP="009236C4">
            <w:pPr>
              <w:pStyle w:val="CharChar8"/>
              <w:rPr>
                <w:i w:val="0"/>
              </w:rPr>
            </w:pPr>
            <w:r>
              <w:rPr>
                <w:i w:val="0"/>
              </w:rPr>
              <w:t>Bigbags</w:t>
            </w:r>
          </w:p>
        </w:tc>
      </w:tr>
      <w:tr w:rsidR="007E0169" w:rsidRPr="009236C4" w14:paraId="3A5EBAC2" w14:textId="77777777" w:rsidTr="0010683E">
        <w:trPr>
          <w:cantSplit/>
          <w:trHeight w:val="949"/>
        </w:trPr>
        <w:tc>
          <w:tcPr>
            <w:tcW w:w="725" w:type="pct"/>
            <w:vMerge w:val="restart"/>
            <w:shd w:val="clear" w:color="auto" w:fill="D9D9D9" w:themeFill="background1" w:themeFillShade="D9"/>
            <w:vAlign w:val="center"/>
          </w:tcPr>
          <w:p w14:paraId="1F36AD17" w14:textId="77777777" w:rsidR="007E0169" w:rsidRPr="009236C4" w:rsidRDefault="007E0169" w:rsidP="009236C4">
            <w:pPr>
              <w:pStyle w:val="CharChar8"/>
              <w:rPr>
                <w:i w:val="0"/>
              </w:rPr>
            </w:pPr>
            <w:r w:rsidRPr="009236C4">
              <w:rPr>
                <w:i w:val="0"/>
              </w:rPr>
              <w:t>Instalações de suporte onshore</w:t>
            </w:r>
          </w:p>
        </w:tc>
        <w:tc>
          <w:tcPr>
            <w:tcW w:w="932" w:type="pct"/>
            <w:vMerge w:val="restart"/>
            <w:shd w:val="clear" w:color="auto" w:fill="D9D9D9" w:themeFill="background1" w:themeFillShade="D9"/>
            <w:vAlign w:val="center"/>
          </w:tcPr>
          <w:p w14:paraId="0F9AFE63" w14:textId="77777777" w:rsidR="007E0169" w:rsidRPr="009236C4" w:rsidRDefault="007E0169" w:rsidP="009236C4">
            <w:pPr>
              <w:pStyle w:val="CharChar8"/>
              <w:rPr>
                <w:i w:val="0"/>
              </w:rPr>
            </w:pPr>
            <w:r w:rsidRPr="009236C4">
              <w:rPr>
                <w:i w:val="0"/>
              </w:rPr>
              <w:t>Centros de Tratamento da Vida Selvagem</w:t>
            </w:r>
          </w:p>
        </w:tc>
        <w:tc>
          <w:tcPr>
            <w:tcW w:w="1141" w:type="pct"/>
            <w:shd w:val="clear" w:color="auto" w:fill="D9D9D9" w:themeFill="background1" w:themeFillShade="D9"/>
            <w:vAlign w:val="center"/>
          </w:tcPr>
          <w:p w14:paraId="481DC3D4" w14:textId="77777777" w:rsidR="007E0169" w:rsidRPr="009236C4" w:rsidRDefault="007E0169" w:rsidP="009236C4">
            <w:pPr>
              <w:pStyle w:val="CharChar8"/>
              <w:rPr>
                <w:i w:val="0"/>
              </w:rPr>
            </w:pPr>
            <w:r w:rsidRPr="009236C4">
              <w:rPr>
                <w:i w:val="0"/>
              </w:rPr>
              <w:t>Resíduos Sólidos Perigosos</w:t>
            </w:r>
          </w:p>
        </w:tc>
        <w:tc>
          <w:tcPr>
            <w:tcW w:w="518" w:type="pct"/>
            <w:shd w:val="clear" w:color="auto" w:fill="D9D9D9" w:themeFill="background1" w:themeFillShade="D9"/>
            <w:vAlign w:val="center"/>
          </w:tcPr>
          <w:p w14:paraId="38EE67C5"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2D0FBC8C" w14:textId="77777777" w:rsidR="007E0169" w:rsidRPr="009236C4" w:rsidRDefault="007E0169" w:rsidP="009236C4">
            <w:pPr>
              <w:pStyle w:val="CharChar8"/>
              <w:rPr>
                <w:i w:val="0"/>
              </w:rPr>
            </w:pPr>
            <w:r w:rsidRPr="009236C4">
              <w:rPr>
                <w:i w:val="0"/>
              </w:rPr>
              <w:t>Laranja</w:t>
            </w:r>
          </w:p>
        </w:tc>
        <w:tc>
          <w:tcPr>
            <w:tcW w:w="907" w:type="pct"/>
            <w:shd w:val="clear" w:color="auto" w:fill="D9D9D9" w:themeFill="background1" w:themeFillShade="D9"/>
            <w:vAlign w:val="center"/>
          </w:tcPr>
          <w:p w14:paraId="4FC10161" w14:textId="77777777" w:rsidR="007E0169" w:rsidRPr="009236C4" w:rsidRDefault="007E0169" w:rsidP="009236C4">
            <w:pPr>
              <w:pStyle w:val="CharChar8"/>
              <w:rPr>
                <w:i w:val="0"/>
              </w:rPr>
            </w:pPr>
            <w:r w:rsidRPr="009236C4">
              <w:rPr>
                <w:i w:val="0"/>
              </w:rPr>
              <w:t>Bigbags com liners armazenados em caçambas metálicas ou containers</w:t>
            </w:r>
          </w:p>
        </w:tc>
      </w:tr>
      <w:tr w:rsidR="007E0169" w:rsidRPr="009236C4" w14:paraId="4DA60560" w14:textId="77777777" w:rsidTr="0010683E">
        <w:trPr>
          <w:cantSplit/>
          <w:trHeight w:val="454"/>
        </w:trPr>
        <w:tc>
          <w:tcPr>
            <w:tcW w:w="725" w:type="pct"/>
            <w:vMerge/>
            <w:shd w:val="clear" w:color="auto" w:fill="D9D9D9" w:themeFill="background1" w:themeFillShade="D9"/>
            <w:vAlign w:val="center"/>
          </w:tcPr>
          <w:p w14:paraId="5F2F7A1E"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3B6CC257"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56685D98" w14:textId="77777777" w:rsidR="007E0169" w:rsidRPr="009236C4" w:rsidRDefault="007E0169" w:rsidP="009236C4">
            <w:pPr>
              <w:pStyle w:val="CharChar8"/>
              <w:rPr>
                <w:i w:val="0"/>
              </w:rPr>
            </w:pPr>
            <w:r w:rsidRPr="009236C4">
              <w:rPr>
                <w:i w:val="0"/>
              </w:rPr>
              <w:t>Resíduos Médicos e Drogas Controladas</w:t>
            </w:r>
          </w:p>
        </w:tc>
        <w:tc>
          <w:tcPr>
            <w:tcW w:w="518" w:type="pct"/>
            <w:shd w:val="clear" w:color="auto" w:fill="D9D9D9" w:themeFill="background1" w:themeFillShade="D9"/>
            <w:vAlign w:val="center"/>
          </w:tcPr>
          <w:p w14:paraId="7CDB6FD3"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095DE92B" w14:textId="77777777" w:rsidR="007E0169" w:rsidRPr="009236C4" w:rsidRDefault="009236C4" w:rsidP="009236C4">
            <w:pPr>
              <w:pStyle w:val="CharChar8"/>
              <w:rPr>
                <w:i w:val="0"/>
              </w:rPr>
            </w:pPr>
            <w:r>
              <w:rPr>
                <w:i w:val="0"/>
              </w:rPr>
              <w:t>Branco</w:t>
            </w:r>
          </w:p>
        </w:tc>
        <w:tc>
          <w:tcPr>
            <w:tcW w:w="907" w:type="pct"/>
            <w:shd w:val="clear" w:color="auto" w:fill="D9D9D9" w:themeFill="background1" w:themeFillShade="D9"/>
            <w:vAlign w:val="center"/>
          </w:tcPr>
          <w:p w14:paraId="72C6BF4E" w14:textId="77777777" w:rsidR="007E0169" w:rsidRPr="009236C4" w:rsidRDefault="007E0169" w:rsidP="009236C4">
            <w:pPr>
              <w:pStyle w:val="CharChar8"/>
              <w:rPr>
                <w:i w:val="0"/>
              </w:rPr>
            </w:pPr>
            <w:r w:rsidRPr="009236C4">
              <w:rPr>
                <w:i w:val="0"/>
              </w:rPr>
              <w:t>Containers Especiais</w:t>
            </w:r>
          </w:p>
        </w:tc>
      </w:tr>
      <w:tr w:rsidR="007E0169" w:rsidRPr="009236C4" w14:paraId="706FE24E" w14:textId="77777777" w:rsidTr="0010683E">
        <w:trPr>
          <w:cantSplit/>
        </w:trPr>
        <w:tc>
          <w:tcPr>
            <w:tcW w:w="725" w:type="pct"/>
            <w:vMerge/>
            <w:shd w:val="clear" w:color="auto" w:fill="D9D9D9" w:themeFill="background1" w:themeFillShade="D9"/>
            <w:vAlign w:val="center"/>
          </w:tcPr>
          <w:p w14:paraId="75291F65"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45A658A2"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19A30AE8" w14:textId="77777777" w:rsidR="007E0169" w:rsidRPr="009236C4" w:rsidRDefault="007E0169" w:rsidP="009236C4">
            <w:pPr>
              <w:pStyle w:val="CharChar8"/>
              <w:rPr>
                <w:i w:val="0"/>
              </w:rPr>
            </w:pPr>
            <w:r w:rsidRPr="009236C4">
              <w:rPr>
                <w:i w:val="0"/>
              </w:rPr>
              <w:t>Carcaças de animais</w:t>
            </w:r>
          </w:p>
        </w:tc>
        <w:tc>
          <w:tcPr>
            <w:tcW w:w="518" w:type="pct"/>
            <w:shd w:val="clear" w:color="auto" w:fill="D9D9D9" w:themeFill="background1" w:themeFillShade="D9"/>
            <w:vAlign w:val="center"/>
          </w:tcPr>
          <w:p w14:paraId="1EE627C5"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7E9080F6" w14:textId="77777777" w:rsidR="007E0169" w:rsidRPr="009236C4" w:rsidRDefault="009236C4" w:rsidP="009236C4">
            <w:pPr>
              <w:pStyle w:val="CharChar8"/>
              <w:rPr>
                <w:i w:val="0"/>
              </w:rPr>
            </w:pPr>
            <w:r>
              <w:rPr>
                <w:i w:val="0"/>
              </w:rPr>
              <w:t>Laranja</w:t>
            </w:r>
          </w:p>
        </w:tc>
        <w:tc>
          <w:tcPr>
            <w:tcW w:w="907" w:type="pct"/>
            <w:shd w:val="clear" w:color="auto" w:fill="D9D9D9" w:themeFill="background1" w:themeFillShade="D9"/>
            <w:vAlign w:val="center"/>
          </w:tcPr>
          <w:p w14:paraId="08B059C0" w14:textId="77777777" w:rsidR="007E0169" w:rsidRPr="009236C4" w:rsidRDefault="007E0169" w:rsidP="009236C4">
            <w:pPr>
              <w:pStyle w:val="CharChar8"/>
              <w:rPr>
                <w:i w:val="0"/>
              </w:rPr>
            </w:pPr>
            <w:r w:rsidRPr="009236C4">
              <w:rPr>
                <w:i w:val="0"/>
              </w:rPr>
              <w:t>Bigbags com liners armazenados em caçambas metálicas ou containers</w:t>
            </w:r>
          </w:p>
        </w:tc>
      </w:tr>
      <w:tr w:rsidR="007E0169" w:rsidRPr="009236C4" w14:paraId="1FF58B5F" w14:textId="77777777" w:rsidTr="0010683E">
        <w:trPr>
          <w:cantSplit/>
        </w:trPr>
        <w:tc>
          <w:tcPr>
            <w:tcW w:w="725" w:type="pct"/>
            <w:vMerge/>
            <w:shd w:val="clear" w:color="auto" w:fill="D9D9D9" w:themeFill="background1" w:themeFillShade="D9"/>
            <w:vAlign w:val="center"/>
          </w:tcPr>
          <w:p w14:paraId="0F49B616"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19DB2543"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073148D2" w14:textId="77777777" w:rsidR="007E0169" w:rsidRPr="009236C4" w:rsidRDefault="007E0169" w:rsidP="009236C4">
            <w:pPr>
              <w:pStyle w:val="CharChar8"/>
              <w:rPr>
                <w:i w:val="0"/>
              </w:rPr>
            </w:pPr>
            <w:r w:rsidRPr="009236C4">
              <w:rPr>
                <w:i w:val="0"/>
              </w:rPr>
              <w:t>EPI descartado</w:t>
            </w:r>
          </w:p>
        </w:tc>
        <w:tc>
          <w:tcPr>
            <w:tcW w:w="518" w:type="pct"/>
            <w:shd w:val="clear" w:color="auto" w:fill="D9D9D9" w:themeFill="background1" w:themeFillShade="D9"/>
            <w:vAlign w:val="center"/>
          </w:tcPr>
          <w:p w14:paraId="08C34CBA"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47632408" w14:textId="77777777" w:rsidR="007E0169" w:rsidRPr="009236C4" w:rsidRDefault="007E0169" w:rsidP="009236C4">
            <w:pPr>
              <w:pStyle w:val="CharChar8"/>
              <w:rPr>
                <w:i w:val="0"/>
              </w:rPr>
            </w:pPr>
            <w:r w:rsidRPr="009236C4">
              <w:rPr>
                <w:i w:val="0"/>
              </w:rPr>
              <w:t>Laranja</w:t>
            </w:r>
          </w:p>
        </w:tc>
        <w:tc>
          <w:tcPr>
            <w:tcW w:w="907" w:type="pct"/>
            <w:shd w:val="clear" w:color="auto" w:fill="D9D9D9" w:themeFill="background1" w:themeFillShade="D9"/>
            <w:vAlign w:val="center"/>
          </w:tcPr>
          <w:p w14:paraId="416A240B" w14:textId="77777777" w:rsidR="007E0169" w:rsidRPr="009236C4" w:rsidRDefault="007E0169" w:rsidP="009236C4">
            <w:pPr>
              <w:pStyle w:val="CharChar8"/>
              <w:rPr>
                <w:i w:val="0"/>
              </w:rPr>
            </w:pPr>
            <w:r w:rsidRPr="009236C4">
              <w:rPr>
                <w:i w:val="0"/>
              </w:rPr>
              <w:t>Bigbags com liner armazenados em caçambas metálicas ou contêineres</w:t>
            </w:r>
          </w:p>
        </w:tc>
      </w:tr>
      <w:tr w:rsidR="007E0169" w:rsidRPr="009236C4" w14:paraId="0F0E09B7" w14:textId="77777777" w:rsidTr="0010683E">
        <w:trPr>
          <w:cantSplit/>
        </w:trPr>
        <w:tc>
          <w:tcPr>
            <w:tcW w:w="5000" w:type="pct"/>
            <w:gridSpan w:val="6"/>
            <w:shd w:val="clear" w:color="auto" w:fill="FFFFFF" w:themeFill="background1"/>
          </w:tcPr>
          <w:p w14:paraId="29F07908" w14:textId="77777777" w:rsidR="007E0169" w:rsidRPr="009236C4" w:rsidRDefault="007E0169" w:rsidP="009236C4">
            <w:pPr>
              <w:pStyle w:val="CharChar8"/>
              <w:jc w:val="left"/>
              <w:rPr>
                <w:b/>
                <w:i w:val="0"/>
              </w:rPr>
            </w:pPr>
            <w:r w:rsidRPr="009236C4">
              <w:rPr>
                <w:b/>
                <w:i w:val="0"/>
              </w:rPr>
              <w:t>Observações:</w:t>
            </w:r>
          </w:p>
          <w:p w14:paraId="095FE042" w14:textId="77777777" w:rsidR="007E0169" w:rsidRPr="009236C4" w:rsidRDefault="007E0169" w:rsidP="00EA2A77">
            <w:pPr>
              <w:pStyle w:val="CharChar8"/>
              <w:numPr>
                <w:ilvl w:val="0"/>
                <w:numId w:val="24"/>
              </w:numPr>
              <w:jc w:val="left"/>
              <w:rPr>
                <w:i w:val="0"/>
              </w:rPr>
            </w:pPr>
            <w:r w:rsidRPr="009236C4">
              <w:rPr>
                <w:i w:val="0"/>
              </w:rPr>
              <w:t>Diferentes tipos de resíduos devem ser segregados</w:t>
            </w:r>
            <w:r w:rsidR="009236C4">
              <w:rPr>
                <w:i w:val="0"/>
              </w:rPr>
              <w:t xml:space="preserve"> e armazenados separadamente; e</w:t>
            </w:r>
          </w:p>
          <w:p w14:paraId="3E2AE7DE" w14:textId="77777777" w:rsidR="007E0169" w:rsidRPr="009236C4" w:rsidRDefault="007E0169" w:rsidP="00EA2A77">
            <w:pPr>
              <w:pStyle w:val="CharChar8"/>
              <w:numPr>
                <w:ilvl w:val="0"/>
                <w:numId w:val="24"/>
              </w:numPr>
              <w:jc w:val="left"/>
              <w:rPr>
                <w:i w:val="0"/>
              </w:rPr>
            </w:pPr>
            <w:r w:rsidRPr="009236C4">
              <w:rPr>
                <w:i w:val="0"/>
              </w:rPr>
              <w:t>Containers com resíduos Classe I não devem ser colocados diretamente em contato com o solo; superfície impermeável e/ou coberta por lona impermeável é necessária para prevenir qualquer contaminação residual.</w:t>
            </w:r>
          </w:p>
        </w:tc>
      </w:tr>
    </w:tbl>
    <w:p w14:paraId="289771B2" w14:textId="77777777" w:rsidR="007E0169" w:rsidRDefault="007E0169">
      <w:pPr>
        <w:spacing w:before="0" w:after="200" w:line="276" w:lineRule="auto"/>
        <w:jc w:val="left"/>
        <w:sectPr w:rsidR="007E0169" w:rsidSect="00656D39">
          <w:headerReference w:type="default" r:id="rId81"/>
          <w:footerReference w:type="default" r:id="rId82"/>
          <w:pgSz w:w="16838" w:h="11906" w:orient="landscape" w:code="9"/>
          <w:pgMar w:top="1418" w:right="1418" w:bottom="1418" w:left="1418" w:header="170" w:footer="0" w:gutter="0"/>
          <w:cols w:space="708"/>
          <w:docGrid w:linePitch="360"/>
        </w:sectPr>
      </w:pPr>
    </w:p>
    <w:p w14:paraId="54F186B0" w14:textId="77777777" w:rsidR="0077170A" w:rsidRPr="00EC0293" w:rsidRDefault="0077170A" w:rsidP="009D01BE">
      <w:pPr>
        <w:pStyle w:val="Ttulo1"/>
      </w:pPr>
      <w:bookmarkStart w:id="275" w:name="_Toc527990440"/>
      <w:r w:rsidRPr="00EC0293">
        <w:lastRenderedPageBreak/>
        <w:t xml:space="preserve">MANUTENÇÃO DA </w:t>
      </w:r>
      <w:r w:rsidR="002D4EAC" w:rsidRPr="00EC0293">
        <w:t>RESPOSTA POR 30 DIAS</w:t>
      </w:r>
      <w:bookmarkEnd w:id="275"/>
    </w:p>
    <w:p w14:paraId="50C903A6" w14:textId="77777777" w:rsidR="000C2F25" w:rsidRPr="000C2F25" w:rsidRDefault="000C2F25" w:rsidP="009236C4">
      <w:pPr>
        <w:pStyle w:val="tier1Itext"/>
      </w:pPr>
      <w:r w:rsidRPr="000C2F25">
        <w:t>A duração da resposta a um eventual incidente é influenciada por diferentes fatores, devendo ser avaliada continuamente pelos membros da IMT, a fim de que garantir o devido dimensionamento de recursos, e manutenção das ações de resposta. É válido relembrar que ao receber a comunicação inicial do incidente, é procedimento da BP realizar a avaliação do impacto potencial desta ocorrência e dimensionar a sua resposta para o resultado desta avaliação (</w:t>
      </w:r>
      <w:r w:rsidRPr="000C2F25">
        <w:rPr>
          <w:i/>
        </w:rPr>
        <w:t>over-react</w:t>
      </w:r>
      <w:r w:rsidR="009236C4">
        <w:t>).</w:t>
      </w:r>
    </w:p>
    <w:p w14:paraId="4A9DDEDB" w14:textId="77777777" w:rsidR="000C2F25" w:rsidRPr="000C2F25" w:rsidRDefault="000C2F25" w:rsidP="009236C4">
      <w:pPr>
        <w:pStyle w:val="tier1Itext"/>
      </w:pPr>
      <w:r w:rsidRPr="000C2F25">
        <w:t>Assim sendo, no planejamento de resposta a um incidente de derramamento de óleo que se projeta por um período maior que o comumente envolvido nas ocorrências mais frequentes, é de suma importância que se identifiquem mecanismos de manutenção da capacidade desta resposta no que tange aos recursos humanos e materiais.</w:t>
      </w:r>
    </w:p>
    <w:p w14:paraId="257B5273" w14:textId="77777777" w:rsidR="0077170A" w:rsidRPr="009E316F" w:rsidRDefault="0077170A" w:rsidP="009D01BE">
      <w:pPr>
        <w:pStyle w:val="Ttulo2"/>
        <w:rPr>
          <w:lang w:val="pt-BR"/>
        </w:rPr>
      </w:pPr>
      <w:bookmarkStart w:id="276" w:name="_Toc527990441"/>
      <w:r w:rsidRPr="009E316F">
        <w:rPr>
          <w:lang w:val="pt-BR"/>
        </w:rPr>
        <w:t>Manutenção da Estrutura Organizacional de Resposta</w:t>
      </w:r>
      <w:bookmarkEnd w:id="276"/>
    </w:p>
    <w:p w14:paraId="0716C5EB" w14:textId="224F2CCB" w:rsidR="000C2F25" w:rsidRPr="000C2F25" w:rsidRDefault="000C2F25" w:rsidP="009236C4">
      <w:pPr>
        <w:pStyle w:val="tier1Itext"/>
      </w:pPr>
      <w:r w:rsidRPr="000C2F25">
        <w:t xml:space="preserve">A fim de realizar a devida manutenção da </w:t>
      </w:r>
      <w:r w:rsidR="00CA3980" w:rsidRPr="004B2C3C">
        <w:rPr>
          <w:highlight w:val="lightGray"/>
        </w:rPr>
        <w:t>estrutura de resposta</w:t>
      </w:r>
      <w:r w:rsidRPr="000C2F25">
        <w:t xml:space="preserve">, deverá ser estabelecido um sistema de rotação entre os membros de cada </w:t>
      </w:r>
      <w:r w:rsidR="00D17185">
        <w:t>posição</w:t>
      </w:r>
      <w:r w:rsidR="00D17185" w:rsidRPr="000C2F25">
        <w:t xml:space="preserve"> </w:t>
      </w:r>
      <w:r w:rsidRPr="000C2F25">
        <w:t>especifica, evitando a fadiga e permitindo a manutenção da eficiência e s</w:t>
      </w:r>
      <w:r w:rsidR="009236C4">
        <w:t>egurança nas ações de resposta.</w:t>
      </w:r>
    </w:p>
    <w:p w14:paraId="0FB38E6F" w14:textId="77777777" w:rsidR="000C2F25" w:rsidRPr="000C2F25" w:rsidRDefault="000C2F25" w:rsidP="009236C4">
      <w:pPr>
        <w:pStyle w:val="tier1Itext"/>
      </w:pPr>
      <w:r w:rsidRPr="000C2F25">
        <w:t xml:space="preserve">Uma vez estabelecido o sistema de rotação, a passagem de serviço entre as </w:t>
      </w:r>
      <w:r w:rsidR="00D17185">
        <w:t>posições</w:t>
      </w:r>
      <w:r w:rsidR="00D17185" w:rsidRPr="000C2F25">
        <w:t xml:space="preserve"> </w:t>
      </w:r>
      <w:r w:rsidRPr="000C2F25">
        <w:t>(</w:t>
      </w:r>
      <w:r w:rsidRPr="000C2F25">
        <w:rPr>
          <w:i/>
        </w:rPr>
        <w:t>handover</w:t>
      </w:r>
      <w:r w:rsidRPr="000C2F25">
        <w:t xml:space="preserve">) deverá ocorrer, sempre que possível, considerando-se um período </w:t>
      </w:r>
      <w:r w:rsidR="009B51A1">
        <w:t xml:space="preserve">de </w:t>
      </w:r>
      <w:r w:rsidRPr="000C2F25">
        <w:t>transição (entre 30 e 60 minutos, denominado “</w:t>
      </w:r>
      <w:r w:rsidRPr="001F002C">
        <w:rPr>
          <w:i/>
        </w:rPr>
        <w:t>overlay</w:t>
      </w:r>
      <w:r w:rsidRPr="000C2F25">
        <w:t xml:space="preserve">”) antes da hora real da passagem, para garantir a adequada transferência de comando da </w:t>
      </w:r>
      <w:r w:rsidR="00D17185">
        <w:t>posição</w:t>
      </w:r>
      <w:r w:rsidRPr="000C2F25">
        <w:t>. Deve ser procedimento de todos os membros que entrarem no time de resposta, a consulta aos dados do ICS 201 no painel de situação do ICP, assim que adentrarem o recinto.</w:t>
      </w:r>
    </w:p>
    <w:p w14:paraId="766BE56E" w14:textId="77777777" w:rsidR="000C2F25" w:rsidRPr="000C2F25" w:rsidRDefault="000C2F25" w:rsidP="009236C4">
      <w:pPr>
        <w:pStyle w:val="tier1Itext"/>
      </w:pPr>
      <w:r w:rsidRPr="000C2F25">
        <w:t xml:space="preserve">A passagem de serviço deverá ser acompanhada de um </w:t>
      </w:r>
      <w:r w:rsidRPr="000C2F25">
        <w:rPr>
          <w:i/>
        </w:rPr>
        <w:t>briefing</w:t>
      </w:r>
      <w:r w:rsidRPr="000C2F25">
        <w:t xml:space="preserve"> que poderá ser feito de forma oral e/ou por escrito, sendo a última a estratégia preferencial. Nas </w:t>
      </w:r>
      <w:r w:rsidR="00D17185">
        <w:t>posições</w:t>
      </w:r>
      <w:r w:rsidR="00D17185" w:rsidRPr="000C2F25">
        <w:t xml:space="preserve"> </w:t>
      </w:r>
      <w:r w:rsidRPr="000C2F25">
        <w:t>de comando, sugere-se que sejam feitas cópias do</w:t>
      </w:r>
      <w:r w:rsidR="009B51A1">
        <w:t>s formulários</w:t>
      </w:r>
      <w:r w:rsidRPr="000C2F25">
        <w:t xml:space="preserve"> ICS 214 elaborados durante o turno em curso para que sejam deixadas com o novo membro, de forma a servir de referência para consulta. Estas cópias deverão ser destruídas durante o turno do novo membro, de forma a não gerar dúvidas quanto à documentação </w:t>
      </w:r>
      <w:r w:rsidR="00563EE2">
        <w:t>produzida</w:t>
      </w:r>
      <w:r w:rsidR="00563EE2" w:rsidRPr="000C2F25">
        <w:t xml:space="preserve"> </w:t>
      </w:r>
      <w:r w:rsidRPr="000C2F25">
        <w:t>na resposta.</w:t>
      </w:r>
    </w:p>
    <w:p w14:paraId="244D9424" w14:textId="77777777" w:rsidR="000C2F25" w:rsidRPr="000C2F25" w:rsidRDefault="000C2F25" w:rsidP="009236C4">
      <w:pPr>
        <w:pStyle w:val="tier1Itext"/>
      </w:pPr>
      <w:r w:rsidRPr="000C2F25">
        <w:t xml:space="preserve">O </w:t>
      </w:r>
      <w:r w:rsidRPr="000C2F25">
        <w:rPr>
          <w:i/>
        </w:rPr>
        <w:t>briefing</w:t>
      </w:r>
      <w:r w:rsidRPr="000C2F25">
        <w:t xml:space="preserve"> da passagem de serviço deve cobrir </w:t>
      </w:r>
      <w:r w:rsidR="00563EE2">
        <w:t>o status do incidente e sua resposta</w:t>
      </w:r>
      <w:r w:rsidRPr="000C2F25">
        <w:t xml:space="preserve">, bem como as ações e </w:t>
      </w:r>
      <w:r w:rsidR="00D17185">
        <w:t xml:space="preserve">posições </w:t>
      </w:r>
      <w:r w:rsidR="00563EE2">
        <w:t>e</w:t>
      </w:r>
      <w:r w:rsidRPr="000C2F25">
        <w:t xml:space="preserve">specificas da </w:t>
      </w:r>
      <w:r w:rsidR="00563EE2">
        <w:t>equipe</w:t>
      </w:r>
      <w:r w:rsidRPr="000C2F25">
        <w:t>. Com o intuito de facilitar a passagem de serviço, são listados a seguir alguns itens passíveis de serem abordados:</w:t>
      </w:r>
    </w:p>
    <w:p w14:paraId="4F38E133" w14:textId="77777777" w:rsidR="000C2F25" w:rsidRPr="000C2F25" w:rsidRDefault="000C2F25"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240" w:line="360" w:lineRule="auto"/>
        <w:ind w:left="714" w:hanging="357"/>
        <w:rPr>
          <w:rFonts w:ascii="Cambria" w:hAnsi="Cambria"/>
        </w:rPr>
      </w:pPr>
      <w:r w:rsidRPr="000C2F25">
        <w:rPr>
          <w:rFonts w:ascii="Cambria" w:hAnsi="Cambria"/>
        </w:rPr>
        <w:t>Situação geral do incidente e das ações</w:t>
      </w:r>
      <w:r w:rsidR="00563EE2">
        <w:rPr>
          <w:rFonts w:ascii="Cambria" w:hAnsi="Cambria"/>
        </w:rPr>
        <w:t xml:space="preserve"> de</w:t>
      </w:r>
      <w:r w:rsidRPr="000C2F25">
        <w:rPr>
          <w:rFonts w:ascii="Cambria" w:hAnsi="Cambria"/>
        </w:rPr>
        <w:t xml:space="preserve"> resposta:</w:t>
      </w:r>
    </w:p>
    <w:p w14:paraId="54243D3D"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1066" w:hanging="357"/>
        <w:rPr>
          <w:rFonts w:ascii="Cambria" w:hAnsi="Cambria"/>
        </w:rPr>
      </w:pPr>
      <w:r w:rsidRPr="000C2F25">
        <w:rPr>
          <w:rFonts w:ascii="Cambria" w:hAnsi="Cambria"/>
        </w:rPr>
        <w:lastRenderedPageBreak/>
        <w:t>Cenário acidental;</w:t>
      </w:r>
    </w:p>
    <w:p w14:paraId="0D4E3397"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1066" w:hanging="357"/>
        <w:rPr>
          <w:rFonts w:ascii="Cambria" w:hAnsi="Cambria"/>
        </w:rPr>
      </w:pPr>
      <w:r w:rsidRPr="000C2F25">
        <w:rPr>
          <w:rFonts w:ascii="Cambria" w:hAnsi="Cambria"/>
        </w:rPr>
        <w:t>Prioridades e objetivos d</w:t>
      </w:r>
      <w:r w:rsidR="008C4AD2">
        <w:rPr>
          <w:rFonts w:ascii="Cambria" w:hAnsi="Cambria"/>
        </w:rPr>
        <w:t>a</w:t>
      </w:r>
      <w:r w:rsidRPr="000C2F25">
        <w:rPr>
          <w:rFonts w:ascii="Cambria" w:hAnsi="Cambria"/>
        </w:rPr>
        <w:t xml:space="preserve"> resposta;</w:t>
      </w:r>
    </w:p>
    <w:p w14:paraId="0C1DE6F3"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1066" w:hanging="357"/>
        <w:rPr>
          <w:rFonts w:ascii="Cambria" w:hAnsi="Cambria"/>
        </w:rPr>
      </w:pPr>
      <w:r w:rsidRPr="000C2F25">
        <w:rPr>
          <w:rFonts w:ascii="Cambria" w:hAnsi="Cambria"/>
        </w:rPr>
        <w:t>Tarefas/plano de ação de resposta atual;</w:t>
      </w:r>
    </w:p>
    <w:p w14:paraId="7231A981"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1066" w:hanging="357"/>
        <w:rPr>
          <w:rFonts w:ascii="Cambria" w:hAnsi="Cambria"/>
        </w:rPr>
      </w:pPr>
      <w:r w:rsidRPr="000C2F25">
        <w:rPr>
          <w:rFonts w:ascii="Cambria" w:hAnsi="Cambria"/>
        </w:rPr>
        <w:t>Estrutura organizacional mobilizada até o momento;</w:t>
      </w:r>
    </w:p>
    <w:p w14:paraId="7640A0A9"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1066" w:hanging="357"/>
        <w:rPr>
          <w:rFonts w:ascii="Cambria" w:hAnsi="Cambria"/>
        </w:rPr>
      </w:pPr>
      <w:r w:rsidRPr="000C2F25">
        <w:rPr>
          <w:rFonts w:ascii="Cambria" w:hAnsi="Cambria"/>
        </w:rPr>
        <w:t>Instalações mobilizadas; e</w:t>
      </w:r>
    </w:p>
    <w:p w14:paraId="28607BB1"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1066" w:hanging="357"/>
        <w:rPr>
          <w:rFonts w:ascii="Cambria" w:hAnsi="Cambria"/>
        </w:rPr>
      </w:pPr>
      <w:r w:rsidRPr="000C2F25">
        <w:rPr>
          <w:rFonts w:ascii="Cambria" w:hAnsi="Cambria"/>
        </w:rPr>
        <w:t>Procedimentos de resposta (compartilhamento das informações, formulários a serem utilizados, reuniões, dentre outros).</w:t>
      </w:r>
    </w:p>
    <w:p w14:paraId="1875F85D" w14:textId="77777777" w:rsidR="000C2F25" w:rsidRPr="000C2F25" w:rsidRDefault="000C2F25"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240" w:line="360" w:lineRule="auto"/>
        <w:ind w:left="714" w:hanging="357"/>
        <w:rPr>
          <w:rFonts w:ascii="Cambria" w:hAnsi="Cambria"/>
        </w:rPr>
      </w:pPr>
      <w:r w:rsidRPr="000C2F25">
        <w:rPr>
          <w:rFonts w:ascii="Cambria" w:hAnsi="Cambria"/>
        </w:rPr>
        <w:t>Situação da equipe e ações especificas da função:</w:t>
      </w:r>
    </w:p>
    <w:p w14:paraId="00C5D112"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1066" w:hanging="357"/>
        <w:rPr>
          <w:rFonts w:ascii="Cambria" w:hAnsi="Cambria"/>
        </w:rPr>
      </w:pPr>
      <w:r w:rsidRPr="000C2F25">
        <w:rPr>
          <w:rFonts w:ascii="Cambria" w:hAnsi="Cambria"/>
        </w:rPr>
        <w:t xml:space="preserve">Principais ações concluídas pela </w:t>
      </w:r>
      <w:r w:rsidR="00D17185">
        <w:rPr>
          <w:rFonts w:ascii="Cambria" w:hAnsi="Cambria"/>
        </w:rPr>
        <w:t>posição</w:t>
      </w:r>
      <w:r w:rsidRPr="000C2F25">
        <w:rPr>
          <w:rFonts w:ascii="Cambria" w:hAnsi="Cambria"/>
        </w:rPr>
        <w:t>;</w:t>
      </w:r>
    </w:p>
    <w:p w14:paraId="3FF24561"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1066" w:hanging="357"/>
        <w:rPr>
          <w:rFonts w:ascii="Cambria" w:hAnsi="Cambria"/>
        </w:rPr>
      </w:pPr>
      <w:r w:rsidRPr="000C2F25">
        <w:rPr>
          <w:rFonts w:ascii="Cambria" w:hAnsi="Cambria"/>
        </w:rPr>
        <w:t xml:space="preserve">Ações abertas/em andamento pela </w:t>
      </w:r>
      <w:r w:rsidR="00D17185">
        <w:rPr>
          <w:rFonts w:ascii="Cambria" w:hAnsi="Cambria"/>
        </w:rPr>
        <w:t>posição</w:t>
      </w:r>
      <w:r w:rsidRPr="000C2F25">
        <w:rPr>
          <w:rFonts w:ascii="Cambria" w:hAnsi="Cambria"/>
        </w:rPr>
        <w:t>;</w:t>
      </w:r>
    </w:p>
    <w:p w14:paraId="4C5C69AA"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1066" w:hanging="357"/>
        <w:rPr>
          <w:rFonts w:ascii="Cambria" w:hAnsi="Cambria"/>
        </w:rPr>
      </w:pPr>
      <w:r w:rsidRPr="000C2F25">
        <w:rPr>
          <w:rFonts w:ascii="Cambria" w:hAnsi="Cambria"/>
        </w:rPr>
        <w:t xml:space="preserve">Comunicações internas e externas realizadas pela </w:t>
      </w:r>
      <w:r w:rsidR="00D17185">
        <w:rPr>
          <w:rFonts w:ascii="Cambria" w:hAnsi="Cambria"/>
        </w:rPr>
        <w:t>posição</w:t>
      </w:r>
      <w:r w:rsidRPr="000C2F25">
        <w:rPr>
          <w:rFonts w:ascii="Cambria" w:hAnsi="Cambria"/>
        </w:rPr>
        <w:t>;</w:t>
      </w:r>
    </w:p>
    <w:p w14:paraId="104E7262"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1066" w:hanging="357"/>
        <w:rPr>
          <w:rFonts w:ascii="Cambria" w:hAnsi="Cambria"/>
        </w:rPr>
      </w:pPr>
      <w:r w:rsidRPr="000C2F25">
        <w:rPr>
          <w:rFonts w:ascii="Cambria" w:hAnsi="Cambria"/>
        </w:rPr>
        <w:t xml:space="preserve">Restrições ou limitações relacionadas à área de atuação da </w:t>
      </w:r>
      <w:r w:rsidR="00D17185">
        <w:rPr>
          <w:rFonts w:ascii="Cambria" w:hAnsi="Cambria"/>
        </w:rPr>
        <w:t>posição</w:t>
      </w:r>
      <w:r w:rsidRPr="000C2F25">
        <w:rPr>
          <w:rFonts w:ascii="Cambria" w:hAnsi="Cambria"/>
        </w:rPr>
        <w:t>;</w:t>
      </w:r>
    </w:p>
    <w:p w14:paraId="2C86C1FD"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1066" w:hanging="357"/>
        <w:rPr>
          <w:rFonts w:ascii="Cambria" w:hAnsi="Cambria"/>
        </w:rPr>
      </w:pPr>
      <w:r w:rsidRPr="000C2F25">
        <w:rPr>
          <w:rFonts w:ascii="Cambria" w:hAnsi="Cambria"/>
        </w:rPr>
        <w:t xml:space="preserve">Potencial do incidente relacionado à área de atuação da </w:t>
      </w:r>
      <w:r w:rsidR="00D17185">
        <w:rPr>
          <w:rFonts w:ascii="Cambria" w:hAnsi="Cambria"/>
        </w:rPr>
        <w:t>posição</w:t>
      </w:r>
      <w:r w:rsidRPr="000C2F25">
        <w:rPr>
          <w:rFonts w:ascii="Cambria" w:hAnsi="Cambria"/>
        </w:rPr>
        <w:t>;</w:t>
      </w:r>
    </w:p>
    <w:p w14:paraId="48CCDD14"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1066" w:hanging="357"/>
        <w:rPr>
          <w:rFonts w:ascii="Cambria" w:hAnsi="Cambria"/>
        </w:rPr>
      </w:pPr>
      <w:r w:rsidRPr="000C2F25">
        <w:rPr>
          <w:rFonts w:ascii="Cambria" w:hAnsi="Cambria"/>
        </w:rPr>
        <w:t>Recursos solicitados/necessários;</w:t>
      </w:r>
    </w:p>
    <w:p w14:paraId="764A1DC1"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1066" w:hanging="357"/>
        <w:rPr>
          <w:rFonts w:ascii="Cambria" w:hAnsi="Cambria"/>
        </w:rPr>
      </w:pPr>
      <w:r w:rsidRPr="000C2F25">
        <w:rPr>
          <w:rFonts w:ascii="Cambria" w:hAnsi="Cambria"/>
        </w:rPr>
        <w:t>Atribuições dos recursos; e</w:t>
      </w:r>
    </w:p>
    <w:p w14:paraId="14647EFC"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1066" w:hanging="357"/>
        <w:rPr>
          <w:rFonts w:ascii="Cambria" w:hAnsi="Cambria"/>
        </w:rPr>
      </w:pPr>
      <w:r w:rsidRPr="000C2F25">
        <w:rPr>
          <w:rFonts w:ascii="Cambria" w:hAnsi="Cambria"/>
        </w:rPr>
        <w:t>Delegação de autoridade/li</w:t>
      </w:r>
      <w:r w:rsidR="009236C4">
        <w:rPr>
          <w:rFonts w:ascii="Cambria" w:hAnsi="Cambria"/>
        </w:rPr>
        <w:t xml:space="preserve">mites de competência da </w:t>
      </w:r>
      <w:r w:rsidR="00D17185">
        <w:rPr>
          <w:rFonts w:ascii="Cambria" w:hAnsi="Cambria"/>
        </w:rPr>
        <w:t>posição</w:t>
      </w:r>
      <w:r w:rsidR="009236C4">
        <w:rPr>
          <w:rFonts w:ascii="Cambria" w:hAnsi="Cambria"/>
        </w:rPr>
        <w:t>.</w:t>
      </w:r>
    </w:p>
    <w:p w14:paraId="6E684569" w14:textId="545458BD" w:rsidR="000C2F25" w:rsidRPr="000C2F25" w:rsidRDefault="000C2F25" w:rsidP="00801EF6">
      <w:pPr>
        <w:pStyle w:val="tier1Itext"/>
      </w:pPr>
      <w:r w:rsidRPr="000C2F25">
        <w:t xml:space="preserve">Conforme apresentado anteriormente, a BP possui um procedimento corporativo de suporte </w:t>
      </w:r>
      <w:r w:rsidR="00D17185">
        <w:t>às</w:t>
      </w:r>
      <w:r w:rsidR="00D17185" w:rsidRPr="000C2F25">
        <w:t xml:space="preserve"> </w:t>
      </w:r>
      <w:r w:rsidR="00D17185">
        <w:t>equipes</w:t>
      </w:r>
      <w:r w:rsidR="00D17185" w:rsidRPr="000C2F25">
        <w:t xml:space="preserve"> </w:t>
      </w:r>
      <w:r w:rsidRPr="000C2F25">
        <w:t xml:space="preserve">de emergência de suas operações no mundo. </w:t>
      </w:r>
      <w:r w:rsidR="00D17185">
        <w:t>A</w:t>
      </w:r>
      <w:r w:rsidR="00D17185" w:rsidRPr="000C2F25">
        <w:t xml:space="preserve"> </w:t>
      </w:r>
      <w:r w:rsidRPr="000C2F25">
        <w:t>chamad</w:t>
      </w:r>
      <w:r w:rsidR="00674347">
        <w:t>a</w:t>
      </w:r>
      <w:r w:rsidRPr="000C2F25">
        <w:t xml:space="preserve"> </w:t>
      </w:r>
      <w:r w:rsidRPr="000C2F25">
        <w:rPr>
          <w:i/>
        </w:rPr>
        <w:t>Mutual Response Team</w:t>
      </w:r>
      <w:r w:rsidRPr="000C2F25">
        <w:t xml:space="preserve"> (MRT) é </w:t>
      </w:r>
      <w:r w:rsidR="00D17185" w:rsidRPr="000C2F25">
        <w:t>compo</w:t>
      </w:r>
      <w:r w:rsidR="00D17185">
        <w:t>s</w:t>
      </w:r>
      <w:r w:rsidR="00D17185" w:rsidRPr="000C2F25">
        <w:t>t</w:t>
      </w:r>
      <w:r w:rsidR="00D17185">
        <w:t>a</w:t>
      </w:r>
      <w:r w:rsidR="00D17185" w:rsidRPr="000C2F25">
        <w:t xml:space="preserve"> </w:t>
      </w:r>
      <w:r w:rsidRPr="000C2F25">
        <w:t xml:space="preserve">por profissionais da empresa totalmente adaptados e treinados no ICS e que também possuem funções técnicas específicas (coordenadores de resposta, especialistas em técnicas de combate, etc). </w:t>
      </w:r>
      <w:r w:rsidR="00D17185">
        <w:t>A</w:t>
      </w:r>
      <w:r w:rsidR="00D17185" w:rsidRPr="000C2F25">
        <w:t xml:space="preserve"> </w:t>
      </w:r>
      <w:r w:rsidRPr="000C2F25">
        <w:t xml:space="preserve">MRT conta com membros de outros negócios da BP no país </w:t>
      </w:r>
      <w:r w:rsidRPr="006A601E">
        <w:t xml:space="preserve">e </w:t>
      </w:r>
      <w:r w:rsidR="00CA3980" w:rsidRPr="004B2C3C">
        <w:rPr>
          <w:highlight w:val="lightGray"/>
        </w:rPr>
        <w:t>no mundo</w:t>
      </w:r>
      <w:r w:rsidRPr="000C2F25">
        <w:t>, que prontamente são contatados e mobilizados aqueles disponíveis.</w:t>
      </w:r>
    </w:p>
    <w:p w14:paraId="313BD25E" w14:textId="7ABFA0F5" w:rsidR="000C2F25" w:rsidRPr="000C2F25" w:rsidRDefault="000C2F25" w:rsidP="00801EF6">
      <w:pPr>
        <w:pStyle w:val="tier1Itext"/>
      </w:pPr>
      <w:r w:rsidRPr="000C2F25">
        <w:t>Além disto, a empresa possui contratos globais de atendimento com organizações de resposta à emergência (TRG, EMSI, Witt|O’Brien’s), que podem prover pessoal treinado em ICS e especialistas para as várias funções, podendo ser ativados a qualquer momento e garantindo a disponibilidade no ICP em até 48 horas após a mobilização.</w:t>
      </w:r>
    </w:p>
    <w:p w14:paraId="5F02387D" w14:textId="77777777" w:rsidR="0077170A" w:rsidRPr="009E316F" w:rsidRDefault="0077170A" w:rsidP="009D01BE">
      <w:pPr>
        <w:pStyle w:val="Ttulo2"/>
        <w:rPr>
          <w:lang w:val="pt-BR"/>
        </w:rPr>
      </w:pPr>
      <w:bookmarkStart w:id="277" w:name="_Toc527990442"/>
      <w:r w:rsidRPr="009E316F">
        <w:rPr>
          <w:lang w:val="pt-BR"/>
        </w:rPr>
        <w:t>Manutenção dos Recursos Táticos de Resposta e da Capacidade de Armazenamento Temporário</w:t>
      </w:r>
      <w:bookmarkEnd w:id="277"/>
    </w:p>
    <w:p w14:paraId="733DF32A" w14:textId="77777777" w:rsidR="000C2F25" w:rsidRDefault="000C2F25" w:rsidP="00801EF6">
      <w:pPr>
        <w:pStyle w:val="tier1Itext"/>
      </w:pPr>
      <w:r w:rsidRPr="000C2F25">
        <w:t>A fim de garantir a continuidade da capacidade de resposta em um incidente com derramamento de óleo no mar, além da EOR também deverão ser considerados aspectos relativos à manutenção dos recursos táticos, e seus elementos relacionados às técnicas utilizadas na resposta.</w:t>
      </w:r>
    </w:p>
    <w:p w14:paraId="2AA697B5" w14:textId="77777777" w:rsidR="000C2F25" w:rsidRPr="000C2F25" w:rsidRDefault="000C2F25" w:rsidP="00EA2A77">
      <w:pPr>
        <w:pStyle w:val="tier1Itext"/>
        <w:numPr>
          <w:ilvl w:val="0"/>
          <w:numId w:val="10"/>
        </w:numPr>
      </w:pPr>
      <w:r w:rsidRPr="000C2F25">
        <w:lastRenderedPageBreak/>
        <w:t>Manutenção dos recursos táticos de resposta</w:t>
      </w:r>
    </w:p>
    <w:p w14:paraId="5416C18F" w14:textId="77777777" w:rsidR="000C2F25" w:rsidRPr="000C2F25" w:rsidRDefault="000C2F25" w:rsidP="00801EF6">
      <w:pPr>
        <w:pStyle w:val="tier1Itext"/>
      </w:pPr>
      <w:r w:rsidRPr="000C2F25">
        <w:t>A devida manutenção dos recursos táticos de resposta irá garantir a capacidade permanente da empresa em desenvolver os diferentes procedimentos operacionais de resposta descritos no presente documento, conforme a evolução do cenário acidental.</w:t>
      </w:r>
    </w:p>
    <w:p w14:paraId="080C7DBE" w14:textId="447AD558" w:rsidR="000C2F25" w:rsidRPr="000C2F25" w:rsidRDefault="000C2F25" w:rsidP="00801EF6">
      <w:pPr>
        <w:pStyle w:val="tier1Itext"/>
      </w:pPr>
      <w:r w:rsidRPr="000C2F25">
        <w:t xml:space="preserve">No tocante à manutenção das técnicas da resposta realizadas pelas embarcações (dedicada de resposta ou de apoio), cujas atividades são regidas por suas autonomias operacionais (caracterizadas pela disponibilidade de combustível, água e víveres, manutenção e reparo, tempo de deslocamento até a sonda ou a base de apoio) e de participação na resposta (necessidade de alívio dos tanques de água oleosa coletada, reabastecimento de dispersantes químicos, manutenção/reparos de equipamentos de resposta, entre outros), a BP Energy considera a estratégia de contratação de embarcações adicionais provenientes do mercado </w:t>
      </w:r>
      <w:r w:rsidRPr="000C2F25">
        <w:rPr>
          <w:i/>
        </w:rPr>
        <w:t>spot</w:t>
      </w:r>
      <w:r w:rsidRPr="000C2F25">
        <w:t xml:space="preserve"> local (Belém e Macapá), </w:t>
      </w:r>
      <w:r w:rsidRPr="006A601E">
        <w:t>ou outro</w:t>
      </w:r>
      <w:r w:rsidR="00CA3980" w:rsidRPr="004B2C3C">
        <w:rPr>
          <w:highlight w:val="lightGray"/>
        </w:rPr>
        <w:t>, incluindo do exterior</w:t>
      </w:r>
      <w:r w:rsidR="006A601E" w:rsidRPr="004B2C3C">
        <w:rPr>
          <w:highlight w:val="lightGray"/>
        </w:rPr>
        <w:t xml:space="preserve"> (como da OSRL em Fort Lauderdale ou qualquer outra de suas bases operacionais em atividade no Caribe)</w:t>
      </w:r>
      <w:r w:rsidR="00CA3980" w:rsidRPr="004B2C3C">
        <w:rPr>
          <w:highlight w:val="lightGray"/>
        </w:rPr>
        <w:t xml:space="preserve">, </w:t>
      </w:r>
      <w:r w:rsidR="006A601E" w:rsidRPr="004B2C3C">
        <w:rPr>
          <w:highlight w:val="lightGray"/>
        </w:rPr>
        <w:t>incluindo de</w:t>
      </w:r>
      <w:r w:rsidR="00CA3980" w:rsidRPr="004B2C3C">
        <w:rPr>
          <w:highlight w:val="lightGray"/>
        </w:rPr>
        <w:t xml:space="preserve"> áreas com operações de E&amp;P no Caribe</w:t>
      </w:r>
      <w:r w:rsidRPr="006A601E">
        <w:t>.</w:t>
      </w:r>
      <w:r w:rsidRPr="000C2F25">
        <w:t xml:space="preserve"> Tal capacidade de contratação é garantida através do monitoramento contínuo de agentes marítimos (</w:t>
      </w:r>
      <w:r w:rsidRPr="000C2F25">
        <w:rPr>
          <w:i/>
        </w:rPr>
        <w:t>brokers</w:t>
      </w:r>
      <w:r w:rsidRPr="000C2F25">
        <w:t xml:space="preserve">), que emitem relatórios periódicos indicando a disponibilidade de vários tipos de embarcações </w:t>
      </w:r>
      <w:r w:rsidRPr="004B2C3C">
        <w:rPr>
          <w:highlight w:val="lightGray"/>
        </w:rPr>
        <w:t>n</w:t>
      </w:r>
      <w:r w:rsidR="00CA3980" w:rsidRPr="004B2C3C">
        <w:rPr>
          <w:highlight w:val="lightGray"/>
        </w:rPr>
        <w:t>estes</w:t>
      </w:r>
      <w:r w:rsidRPr="006A601E">
        <w:t xml:space="preserve"> </w:t>
      </w:r>
      <w:r w:rsidRPr="000C2F25">
        <w:t>mercados.</w:t>
      </w:r>
    </w:p>
    <w:p w14:paraId="62409FFD" w14:textId="01D8EA27" w:rsidR="000C2F25" w:rsidRPr="000C2F25" w:rsidRDefault="000C2F25" w:rsidP="00801EF6">
      <w:pPr>
        <w:pStyle w:val="tier1Itext"/>
      </w:pPr>
      <w:r w:rsidRPr="000C2F25">
        <w:t xml:space="preserve">Caso sejam contratadas embarcações adicionais para a resposta, os recursos humanos (pessoal treinado em operar os equipamentos de resposta e coordenadores de resposta a serem embarcados) serão providos pelas </w:t>
      </w:r>
      <w:r w:rsidR="00D17185">
        <w:t>OSROs</w:t>
      </w:r>
      <w:r w:rsidRPr="000C2F25">
        <w:t xml:space="preserve"> já sob contrato, responsáveis pela manutenção e reparo de equipamentos (</w:t>
      </w:r>
      <w:r w:rsidRPr="000C2F25">
        <w:rPr>
          <w:i/>
        </w:rPr>
        <w:t>e.g.</w:t>
      </w:r>
      <w:r w:rsidRPr="000C2F25">
        <w:t xml:space="preserve"> barreiras, unidades de força, </w:t>
      </w:r>
      <w:r w:rsidR="007C38DE">
        <w:t>bombas</w:t>
      </w:r>
      <w:r w:rsidRPr="000C2F25">
        <w:t xml:space="preserve">, etc.) danificados envolvidos na operação. Elas também proverão estes serviços para parte do inventário de equipamentos de resposta a emergência da BP Energy, que </w:t>
      </w:r>
      <w:r w:rsidR="00D17185">
        <w:t>estará</w:t>
      </w:r>
      <w:r w:rsidR="00D17185" w:rsidRPr="000C2F25">
        <w:t xml:space="preserve"> </w:t>
      </w:r>
      <w:r w:rsidRPr="000C2F25">
        <w:t xml:space="preserve">parcialmente mobilizado </w:t>
      </w:r>
      <w:r w:rsidR="00D17185">
        <w:t>n</w:t>
      </w:r>
      <w:r w:rsidRPr="000C2F25">
        <w:t>a base de Belém, a fim de auxiliar as atividades no Bloco FZA-M-59 e agilizar a mobilização de recursos adicionais, caso necessária.</w:t>
      </w:r>
    </w:p>
    <w:p w14:paraId="64468F10" w14:textId="77777777" w:rsidR="000C2F25" w:rsidRPr="000C2F25" w:rsidRDefault="000C2F25" w:rsidP="00EA2A77">
      <w:pPr>
        <w:pStyle w:val="tier1Itext"/>
        <w:keepNext/>
        <w:numPr>
          <w:ilvl w:val="0"/>
          <w:numId w:val="10"/>
        </w:numPr>
        <w:ind w:left="714" w:hanging="357"/>
      </w:pPr>
      <w:r w:rsidRPr="000C2F25">
        <w:t>Manutenção da capacidade de armazenamento temporário</w:t>
      </w:r>
    </w:p>
    <w:p w14:paraId="01EB5712" w14:textId="77777777" w:rsidR="000C2F25" w:rsidRPr="000C2F25" w:rsidRDefault="000C2F25" w:rsidP="00696B30">
      <w:pPr>
        <w:pStyle w:val="tier1Itext"/>
      </w:pPr>
      <w:r w:rsidRPr="000C2F25">
        <w:t xml:space="preserve">A manutenção da estratégia de contenção e recolhimento por uma embarcação de resposta está diretamente atrelada à forma eficaz de sua </w:t>
      </w:r>
      <w:r w:rsidR="001F002C">
        <w:t>execução</w:t>
      </w:r>
      <w:r w:rsidRPr="000C2F25">
        <w:t xml:space="preserve"> (identificação, concentração e recolhimento das manchas de óleo) e da sua capacidade de armazenamento de água oleosa. Uma vez atingida a capacidade limite de armazenamento, se faz necessário interromper as operações de modo a realizar o alívio dos tanques, a fim de permitir o reingresso desta embarcação na atividade de resposta em questão.</w:t>
      </w:r>
    </w:p>
    <w:p w14:paraId="3C78037D" w14:textId="77777777" w:rsidR="000C2F25" w:rsidRPr="000C2F25" w:rsidRDefault="00161970" w:rsidP="00696B30">
      <w:pPr>
        <w:pStyle w:val="tier1Itext"/>
      </w:pPr>
      <w:r>
        <w:lastRenderedPageBreak/>
        <w:t>Considerando</w:t>
      </w:r>
      <w:r w:rsidR="000C2F25" w:rsidRPr="000C2F25">
        <w:t xml:space="preserve"> </w:t>
      </w:r>
      <w:r>
        <w:t xml:space="preserve">que eventos de maior magnitude podem levar ao saturamento da capacidade de armazenamento, e consequente </w:t>
      </w:r>
      <w:r w:rsidR="000C2F25" w:rsidRPr="000C2F25">
        <w:t>redução da eficiência da técnica</w:t>
      </w:r>
      <w:r>
        <w:t>,</w:t>
      </w:r>
      <w:r w:rsidR="000C2F25" w:rsidRPr="000C2F25">
        <w:t xml:space="preserve"> é importante que estas embarcações de resposta possam permanecer operantes pelo maior tempo possível. </w:t>
      </w:r>
      <w:r w:rsidR="00286062">
        <w:t>No entanto, o somatório do</w:t>
      </w:r>
      <w:r w:rsidR="000C2F25" w:rsidRPr="000C2F25">
        <w:t xml:space="preserve"> tempo de deslocamento entre a região do Bloco e a base de apoio</w:t>
      </w:r>
      <w:r w:rsidR="00D17185">
        <w:t>,</w:t>
      </w:r>
      <w:r w:rsidR="000C2F25" w:rsidRPr="000C2F25">
        <w:t xml:space="preserve"> </w:t>
      </w:r>
      <w:r w:rsidR="00D17185">
        <w:t xml:space="preserve">somado </w:t>
      </w:r>
      <w:r w:rsidR="00286062">
        <w:t>com o tempo necessário à</w:t>
      </w:r>
      <w:r w:rsidR="000C2F25" w:rsidRPr="000C2F25">
        <w:t xml:space="preserve"> descontaminação desta embarcação</w:t>
      </w:r>
      <w:r w:rsidR="00D17185">
        <w:t>,</w:t>
      </w:r>
      <w:r w:rsidR="00286062">
        <w:t xml:space="preserve"> </w:t>
      </w:r>
      <w:r w:rsidR="000C2F25" w:rsidRPr="000C2F25">
        <w:t>tem o potencial de alijá-la da resposta por um significativo período.</w:t>
      </w:r>
    </w:p>
    <w:p w14:paraId="632AA3DC" w14:textId="1F70840C" w:rsidR="000C2F25" w:rsidRPr="000C2F25" w:rsidRDefault="000C2F25" w:rsidP="00696B30">
      <w:pPr>
        <w:pStyle w:val="tier1Itext"/>
      </w:pPr>
      <w:r w:rsidRPr="000C2F25">
        <w:t>Assim sendo, no tocante à manutenção da capacidade de armazenamento, além da potencial contratação de embarcações de resposta complementares (descrita no item anterior), e da realização da técnica de decantação (</w:t>
      </w:r>
      <w:r w:rsidRPr="00A8331C">
        <w:t xml:space="preserve">descrita ano item </w:t>
      </w:r>
      <w:r w:rsidR="00696B30" w:rsidRPr="004B2C3C">
        <w:rPr>
          <w:highlight w:val="lightGray"/>
        </w:rPr>
        <w:fldChar w:fldCharType="begin"/>
      </w:r>
      <w:r w:rsidR="00696B30" w:rsidRPr="004B2C3C">
        <w:rPr>
          <w:highlight w:val="lightGray"/>
        </w:rPr>
        <w:instrText xml:space="preserve"> REF _Ref414548967 \r \h </w:instrText>
      </w:r>
      <w:r w:rsidR="00A8331C" w:rsidRPr="004B2C3C">
        <w:rPr>
          <w:highlight w:val="lightGray"/>
        </w:rPr>
        <w:instrText xml:space="preserve"> \* MERGEFORMAT </w:instrText>
      </w:r>
      <w:r w:rsidR="00696B30" w:rsidRPr="004B2C3C">
        <w:rPr>
          <w:highlight w:val="lightGray"/>
        </w:rPr>
      </w:r>
      <w:r w:rsidR="00696B30" w:rsidRPr="004B2C3C">
        <w:rPr>
          <w:highlight w:val="lightGray"/>
        </w:rPr>
        <w:fldChar w:fldCharType="separate"/>
      </w:r>
      <w:r w:rsidR="00A50E67" w:rsidRPr="004B2C3C">
        <w:rPr>
          <w:highlight w:val="lightGray"/>
        </w:rPr>
        <w:t>8.4.1</w:t>
      </w:r>
      <w:r w:rsidR="00696B30" w:rsidRPr="004B2C3C">
        <w:rPr>
          <w:highlight w:val="lightGray"/>
        </w:rPr>
        <w:fldChar w:fldCharType="end"/>
      </w:r>
      <w:r w:rsidR="00CA3980" w:rsidRPr="004B2C3C">
        <w:rPr>
          <w:highlight w:val="lightGray"/>
        </w:rPr>
        <w:t xml:space="preserve"> e se autorizada pelo órgão ambiental competente</w:t>
      </w:r>
      <w:r w:rsidRPr="006A601E">
        <w:t>), quando a gravidade do incidente assim d</w:t>
      </w:r>
      <w:r w:rsidRPr="000C2F25">
        <w:t xml:space="preserve">emandar, está prevista pela BP Energy a contratação em mercado </w:t>
      </w:r>
      <w:r w:rsidRPr="000C2F25">
        <w:rPr>
          <w:i/>
        </w:rPr>
        <w:t>spot</w:t>
      </w:r>
      <w:r w:rsidRPr="000C2F25">
        <w:t xml:space="preserve"> local ou em outras bacias,</w:t>
      </w:r>
      <w:r w:rsidRPr="000C2F25">
        <w:rPr>
          <w:i/>
        </w:rPr>
        <w:t xml:space="preserve"> </w:t>
      </w:r>
      <w:r w:rsidRPr="000C2F25">
        <w:t>através de agentes marítimos, de um navio aliviador – embarcação DP dotada de grande capacidade de tancagem para efluentes oleosos. Serão consideradas também opções de contratação na região do Caribe, em função das maiores disponibilidade e proximidade, devendo ser gerenciadas as expedições de importação sob a ativação da emergência.</w:t>
      </w:r>
    </w:p>
    <w:p w14:paraId="75DD0A68" w14:textId="4813B8A8" w:rsidR="000C2F25" w:rsidRPr="000C2F25" w:rsidRDefault="000C2F25" w:rsidP="00696B30">
      <w:pPr>
        <w:pStyle w:val="tier1Itext"/>
      </w:pPr>
      <w:r w:rsidRPr="000C2F25">
        <w:t>O tempo de chegada e mobilização necessário para a embarcação de alívio (10 a 20 dias) será cobert</w:t>
      </w:r>
      <w:r w:rsidR="00286062">
        <w:t>o</w:t>
      </w:r>
      <w:r w:rsidRPr="000C2F25">
        <w:t xml:space="preserve"> na estrutura d</w:t>
      </w:r>
      <w:r w:rsidR="00286062">
        <w:t>e</w:t>
      </w:r>
      <w:r w:rsidRPr="000C2F25">
        <w:t xml:space="preserve"> resposta pela autonomia operacional inicial das embarcações e por procedimentos logísticos de operação com o suporte da sonda (abastecimentos e alívios para tanques disponíveis)</w:t>
      </w:r>
      <w:r w:rsidR="00D17185">
        <w:t>, caso esta esteja operacional</w:t>
      </w:r>
      <w:r w:rsidRPr="000C2F25">
        <w:t>.</w:t>
      </w:r>
      <w:r w:rsidR="007C38DE">
        <w:t xml:space="preserve"> Nesta embarcação </w:t>
      </w:r>
      <w:r w:rsidR="00CA3980" w:rsidRPr="004B2C3C">
        <w:rPr>
          <w:highlight w:val="lightGray"/>
        </w:rPr>
        <w:t>de alívio poderá ser</w:t>
      </w:r>
      <w:r w:rsidR="007C38DE" w:rsidRPr="004B2C3C">
        <w:rPr>
          <w:highlight w:val="lightGray"/>
        </w:rPr>
        <w:t xml:space="preserve"> mobilizad</w:t>
      </w:r>
      <w:r w:rsidR="00CA3980" w:rsidRPr="004B2C3C">
        <w:rPr>
          <w:highlight w:val="lightGray"/>
        </w:rPr>
        <w:t>o</w:t>
      </w:r>
      <w:r w:rsidR="007C38DE" w:rsidRPr="006A601E">
        <w:t xml:space="preserve"> um equipamento que permita a filtragem da mistura oleosa armazenada, de forma a segregar o óleo e gerar efluente dentro do padrão operacional de descarte autorizado em legislação (15 ppm), nos moldes dos que são usados para tratamento de água de produção </w:t>
      </w:r>
      <w:r w:rsidR="007C38DE" w:rsidRPr="006A601E">
        <w:rPr>
          <w:i/>
        </w:rPr>
        <w:t>off spec</w:t>
      </w:r>
      <w:r w:rsidR="007C38DE" w:rsidRPr="006A601E">
        <w:t xml:space="preserve">.  Isto contribuirá </w:t>
      </w:r>
      <w:r w:rsidR="00CA3980" w:rsidRPr="004B2C3C">
        <w:rPr>
          <w:highlight w:val="lightGray"/>
        </w:rPr>
        <w:t>ainda mais</w:t>
      </w:r>
      <w:r w:rsidR="00CA3980" w:rsidRPr="006A601E">
        <w:t xml:space="preserve"> </w:t>
      </w:r>
      <w:r w:rsidR="007C38DE" w:rsidRPr="006A601E">
        <w:t xml:space="preserve">para </w:t>
      </w:r>
      <w:r w:rsidR="00CA3980" w:rsidRPr="006A601E">
        <w:t xml:space="preserve">o </w:t>
      </w:r>
      <w:r w:rsidR="007C38DE" w:rsidRPr="006A601E">
        <w:t>aumento da autonomia deste rec</w:t>
      </w:r>
      <w:r w:rsidR="007C38DE">
        <w:t>urso.</w:t>
      </w:r>
    </w:p>
    <w:p w14:paraId="3BE52FAB" w14:textId="77777777" w:rsidR="000C2F25" w:rsidRPr="000C2F25" w:rsidRDefault="000C2F25" w:rsidP="00696B30">
      <w:pPr>
        <w:pStyle w:val="tier1Itext"/>
      </w:pPr>
      <w:r w:rsidRPr="000C2F25">
        <w:t>O planejamento e execução das operações de transferência deverão ser feitos por profissionais capacitados e habilitados, segui</w:t>
      </w:r>
      <w:r w:rsidR="00286062">
        <w:t>n</w:t>
      </w:r>
      <w:r w:rsidRPr="000C2F25">
        <w:t>do os procedimentos de segurança e de transferência específicos das instalações a serem utilizadas, bem como as outras normas e padrões aplicáveis.</w:t>
      </w:r>
    </w:p>
    <w:p w14:paraId="62627E92" w14:textId="7E7CFFFC" w:rsidR="000C2F25" w:rsidRDefault="000C2F25" w:rsidP="00696B30">
      <w:pPr>
        <w:pStyle w:val="tier1Itext"/>
      </w:pPr>
      <w:r w:rsidRPr="000C2F25">
        <w:rPr>
          <w:rFonts w:cstheme="majorHAnsi"/>
        </w:rPr>
        <w:lastRenderedPageBreak/>
        <w:t xml:space="preserve">Como anteriormente dito em relação à recursos humanos, além </w:t>
      </w:r>
      <w:r w:rsidR="00C347D8" w:rsidRPr="000C2F25">
        <w:rPr>
          <w:rFonts w:cstheme="majorHAnsi"/>
        </w:rPr>
        <w:t>d</w:t>
      </w:r>
      <w:r w:rsidR="00C347D8">
        <w:rPr>
          <w:rFonts w:cstheme="majorHAnsi"/>
        </w:rPr>
        <w:t>as</w:t>
      </w:r>
      <w:r w:rsidR="00C347D8" w:rsidRPr="000C2F25">
        <w:rPr>
          <w:rFonts w:cstheme="majorHAnsi"/>
        </w:rPr>
        <w:t xml:space="preserve"> </w:t>
      </w:r>
      <w:r w:rsidRPr="000C2F25">
        <w:rPr>
          <w:rFonts w:cstheme="majorHAnsi"/>
        </w:rPr>
        <w:t>alternativas apresentadas</w:t>
      </w:r>
      <w:r w:rsidRPr="000C2F25">
        <w:t>, no que se refere a equipamentos e materiais de resposta adicionais (técnic</w:t>
      </w:r>
      <w:r w:rsidR="00161970">
        <w:t>os</w:t>
      </w:r>
      <w:r w:rsidRPr="000C2F25">
        <w:t xml:space="preserve"> habilitad</w:t>
      </w:r>
      <w:r w:rsidR="00161970">
        <w:t>os</w:t>
      </w:r>
      <w:r w:rsidRPr="000C2F25">
        <w:t>), estes também podem ser ativados de outras empresas de petróleo (através de Acordos de Compartilhamento de Equipamentos de Resposta) e diferentes OSROs</w:t>
      </w:r>
      <w:r w:rsidR="00656D39">
        <w:t xml:space="preserve"> </w:t>
      </w:r>
      <w:r w:rsidRPr="000C2F25">
        <w:t xml:space="preserve">no país e no mundo, com as quais a BP mantém contratos globais de atendimento, principalmente a </w:t>
      </w:r>
      <w:r w:rsidRPr="000C2F25">
        <w:rPr>
          <w:i/>
        </w:rPr>
        <w:t>Oil Spill Response Limited</w:t>
      </w:r>
      <w:r w:rsidRPr="000C2F25">
        <w:t xml:space="preserve"> (OSRL), empresa com recursos e equipes na região do Caribe e principal respondedora no </w:t>
      </w:r>
      <w:r w:rsidRPr="000C2F25">
        <w:rPr>
          <w:i/>
        </w:rPr>
        <w:t>Caribbean Island OPRC Plan</w:t>
      </w:r>
      <w:r w:rsidRPr="000C2F25">
        <w:t xml:space="preserve"> (Plano Regional de Resposta e Cooperação a</w:t>
      </w:r>
      <w:r w:rsidR="00696B30">
        <w:t xml:space="preserve"> Vazamentos de Óleo no Caribe).</w:t>
      </w:r>
    </w:p>
    <w:p w14:paraId="1C757510" w14:textId="37577C58" w:rsidR="00CA3980" w:rsidRPr="004B2C3C" w:rsidRDefault="00CA3980" w:rsidP="00696B30">
      <w:pPr>
        <w:pStyle w:val="tier1Itext"/>
        <w:rPr>
          <w:highlight w:val="lightGray"/>
        </w:rPr>
      </w:pPr>
      <w:r w:rsidRPr="004B2C3C">
        <w:rPr>
          <w:highlight w:val="lightGray"/>
        </w:rPr>
        <w:t xml:space="preserve">A OSRL tem capacidade operacional e de conhecimento da região, que lhe permite mobilizar recursos de respostas para diversas localidades no Caribe, já tendo mapeado </w:t>
      </w:r>
      <w:r w:rsidR="00F75569" w:rsidRPr="004B2C3C">
        <w:rPr>
          <w:highlight w:val="lightGray"/>
        </w:rPr>
        <w:t xml:space="preserve">recursos de suporte à operação em vários </w:t>
      </w:r>
      <w:r w:rsidR="00C47BB1" w:rsidRPr="004B2C3C">
        <w:rPr>
          <w:highlight w:val="lightGray"/>
        </w:rPr>
        <w:t xml:space="preserve">deste </w:t>
      </w:r>
      <w:r w:rsidR="00F75569" w:rsidRPr="004B2C3C">
        <w:rPr>
          <w:highlight w:val="lightGray"/>
        </w:rPr>
        <w:t xml:space="preserve">locais e </w:t>
      </w:r>
      <w:r w:rsidRPr="004B2C3C">
        <w:rPr>
          <w:highlight w:val="lightGray"/>
        </w:rPr>
        <w:t xml:space="preserve">os trâmites que permitem </w:t>
      </w:r>
      <w:r w:rsidR="00F75569" w:rsidRPr="004B2C3C">
        <w:rPr>
          <w:highlight w:val="lightGray"/>
        </w:rPr>
        <w:t>uma movimentação transfronteiriça, quando necessária.</w:t>
      </w:r>
      <w:r w:rsidR="00C47BB1" w:rsidRPr="004B2C3C">
        <w:rPr>
          <w:highlight w:val="lightGray"/>
        </w:rPr>
        <w:t xml:space="preserve"> </w:t>
      </w:r>
      <w:r w:rsidR="00C4748A" w:rsidRPr="004B2C3C">
        <w:rPr>
          <w:highlight w:val="lightGray"/>
        </w:rPr>
        <w:t>Isto permite projetar que, em qualquer área/país que possa haver interação com a deriva de mancha, sejam mobilizados, quando necessários, recursos e pessoal para as estratégias de combate e/ou limpeza de áreas afetadas; sempre de acordo com os padrões e técnicas autorizadas pela legislação local.</w:t>
      </w:r>
    </w:p>
    <w:p w14:paraId="0BDA9FF5" w14:textId="1B449FF7" w:rsidR="006F18B8" w:rsidRPr="006A601E" w:rsidRDefault="006F18B8" w:rsidP="00696B30">
      <w:pPr>
        <w:pStyle w:val="tier1Itext"/>
      </w:pPr>
      <w:r w:rsidRPr="004B2C3C">
        <w:rPr>
          <w:highlight w:val="lightGray"/>
        </w:rPr>
        <w:t>Cabe lembrar também que a BP tem uma ampla presença em campos de produção em Trinidad &amp; Tobago, que em caso de necessidade de combate de uma deriva para a região central do Caribe, poderá ser utilizado como um ponto de apoio das operações</w:t>
      </w:r>
      <w:r w:rsidR="00391611" w:rsidRPr="004B2C3C">
        <w:rPr>
          <w:highlight w:val="lightGray"/>
        </w:rPr>
        <w:t>, contando inclusive com recursos já contratados localmente e com facilidades de deslocamento transfronteiriços em virtude dos acordos entre os países da região.</w:t>
      </w:r>
    </w:p>
    <w:p w14:paraId="222ACF26" w14:textId="77777777" w:rsidR="00F75569" w:rsidRPr="00F75569" w:rsidRDefault="00F75569" w:rsidP="00696B30">
      <w:pPr>
        <w:pStyle w:val="tier1Itext"/>
        <w:rPr>
          <w:color w:val="FF0000"/>
        </w:rPr>
      </w:pPr>
    </w:p>
    <w:p w14:paraId="779EA3DE" w14:textId="77777777" w:rsidR="0077170A" w:rsidRPr="00CA3980" w:rsidRDefault="0077170A" w:rsidP="009D01BE">
      <w:pPr>
        <w:pStyle w:val="Ttulo1"/>
        <w:rPr>
          <w:lang w:val="pt-BR"/>
        </w:rPr>
      </w:pPr>
      <w:bookmarkStart w:id="278" w:name="_Ref414455058"/>
      <w:bookmarkStart w:id="279" w:name="_Ref414455170"/>
      <w:bookmarkStart w:id="280" w:name="_Ref414456392"/>
      <w:bookmarkStart w:id="281" w:name="_Toc527990443"/>
      <w:r w:rsidRPr="00CA3980">
        <w:rPr>
          <w:lang w:val="pt-BR"/>
        </w:rPr>
        <w:t>ENCERRAMENTO DAS AÇÕES DE RESPOSTA</w:t>
      </w:r>
      <w:bookmarkEnd w:id="278"/>
      <w:bookmarkEnd w:id="279"/>
      <w:bookmarkEnd w:id="280"/>
      <w:bookmarkEnd w:id="281"/>
    </w:p>
    <w:p w14:paraId="1C016D04" w14:textId="73E4E8AC" w:rsidR="008738F8" w:rsidRPr="008738F8" w:rsidRDefault="008738F8" w:rsidP="00696B30">
      <w:pPr>
        <w:pStyle w:val="tier1Itext"/>
      </w:pPr>
      <w:r w:rsidRPr="008738F8">
        <w:t>A decisão para se determinar o encerramento das operações de respostas a emergências com base na situação corrente do incidente e das ações de resposta</w:t>
      </w:r>
      <w:r w:rsidRPr="008738F8">
        <w:rPr>
          <w:sz w:val="20"/>
        </w:rPr>
        <w:t xml:space="preserve"> </w:t>
      </w:r>
      <w:r w:rsidRPr="008738F8">
        <w:t xml:space="preserve">deve ser tomada pelo IC (ou delegado), em concordância com o(s) representante(s) da(s) Agência(s) Governamental(is) </w:t>
      </w:r>
      <w:r w:rsidR="007C38DE">
        <w:t xml:space="preserve">(GAA) </w:t>
      </w:r>
      <w:r w:rsidRPr="008738F8">
        <w:t>ou pelo UC (Comando Unificado), se estabelecido. No caso da instituição do relatório de acompanhamento diário do incidente, esta análise e a solicitação formal deverão ser apresentadas no documento encaminhado às autoridades competentes, para sua ciência e aprovação.</w:t>
      </w:r>
    </w:p>
    <w:p w14:paraId="7DC0058C" w14:textId="77777777" w:rsidR="008738F8" w:rsidRPr="008738F8" w:rsidRDefault="008738F8" w:rsidP="00696B30">
      <w:pPr>
        <w:pStyle w:val="tier1Itext"/>
      </w:pPr>
      <w:r w:rsidRPr="008738F8">
        <w:t>Diversos indicadores podem ser utilizados para apoiar esta decisão, tais como:</w:t>
      </w:r>
    </w:p>
    <w:p w14:paraId="4AA1B68F" w14:textId="77777777" w:rsidR="008738F8" w:rsidRPr="008738F8" w:rsidRDefault="008738F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8738F8">
        <w:rPr>
          <w:rFonts w:asciiTheme="majorHAnsi" w:hAnsiTheme="majorHAnsi"/>
        </w:rPr>
        <w:t xml:space="preserve">Quando os resultados das ações de monitoramento indicarem que as operações de resposta não estão sendo mais eficientes e/ou necessárias pela inexistência de óleo livre visível na água ou costa; como nas operações de contenção e recolhimento, onde o OSC </w:t>
      </w:r>
      <w:r w:rsidRPr="008738F8">
        <w:rPr>
          <w:rFonts w:asciiTheme="majorHAnsi" w:hAnsiTheme="majorHAnsi"/>
        </w:rPr>
        <w:lastRenderedPageBreak/>
        <w:t xml:space="preserve">Delegado, junto com os capitães das embarcações dedicada e de suporte deverão avaliar a viabilidade de continuação desta técnica de acordo com o escopo da segurança e eficiência da recuperação (condições ambientais e características do óleo na superfície da mancha), lembrando que a dispersão mecânica e o monitoramento devem ser </w:t>
      </w:r>
      <w:r w:rsidR="0045015F">
        <w:rPr>
          <w:rFonts w:asciiTheme="majorHAnsi" w:hAnsiTheme="majorHAnsi"/>
        </w:rPr>
        <w:t xml:space="preserve">mantidos </w:t>
      </w:r>
      <w:r w:rsidRPr="008738F8">
        <w:rPr>
          <w:rFonts w:asciiTheme="majorHAnsi" w:hAnsiTheme="majorHAnsi"/>
        </w:rPr>
        <w:t>enquanto a mancha estiver visível;</w:t>
      </w:r>
    </w:p>
    <w:p w14:paraId="38E5589A" w14:textId="77777777" w:rsidR="008738F8" w:rsidRPr="008738F8" w:rsidRDefault="008738F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8738F8">
        <w:rPr>
          <w:rFonts w:asciiTheme="majorHAnsi" w:hAnsiTheme="majorHAnsi"/>
        </w:rPr>
        <w:t xml:space="preserve">Não ocorrência de novos </w:t>
      </w:r>
      <w:r w:rsidR="0045015F">
        <w:rPr>
          <w:rFonts w:asciiTheme="majorHAnsi" w:hAnsiTheme="majorHAnsi"/>
        </w:rPr>
        <w:t>exemplares</w:t>
      </w:r>
      <w:r w:rsidRPr="008738F8">
        <w:rPr>
          <w:rFonts w:asciiTheme="majorHAnsi" w:hAnsiTheme="majorHAnsi"/>
        </w:rPr>
        <w:t xml:space="preserve"> da fauna impactados, </w:t>
      </w:r>
      <w:r w:rsidR="0045015F">
        <w:rPr>
          <w:rFonts w:asciiTheme="majorHAnsi" w:hAnsiTheme="majorHAnsi"/>
        </w:rPr>
        <w:t>além de os</w:t>
      </w:r>
      <w:r w:rsidRPr="008738F8">
        <w:rPr>
          <w:rFonts w:asciiTheme="majorHAnsi" w:hAnsiTheme="majorHAnsi"/>
        </w:rPr>
        <w:t xml:space="preserve"> existentes </w:t>
      </w:r>
      <w:r w:rsidR="0045015F">
        <w:rPr>
          <w:rFonts w:asciiTheme="majorHAnsi" w:hAnsiTheme="majorHAnsi"/>
        </w:rPr>
        <w:t>já terem todos sido</w:t>
      </w:r>
      <w:r w:rsidRPr="008738F8">
        <w:rPr>
          <w:rFonts w:asciiTheme="majorHAnsi" w:hAnsiTheme="majorHAnsi"/>
        </w:rPr>
        <w:t xml:space="preserve"> capturados e encaminhados ao processo de reabilitação, conforme indicado no plano específico;</w:t>
      </w:r>
    </w:p>
    <w:p w14:paraId="5184DED1" w14:textId="77777777" w:rsidR="008738F8" w:rsidRPr="008738F8" w:rsidRDefault="008738F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8738F8">
        <w:rPr>
          <w:rFonts w:asciiTheme="majorHAnsi" w:hAnsiTheme="majorHAnsi"/>
        </w:rPr>
        <w:t>Os critérios de limpeza da costa acordados (</w:t>
      </w:r>
      <w:r w:rsidRPr="008738F8">
        <w:rPr>
          <w:rFonts w:asciiTheme="majorHAnsi" w:hAnsiTheme="majorHAnsi"/>
          <w:i/>
        </w:rPr>
        <w:t>endpoints</w:t>
      </w:r>
      <w:r w:rsidRPr="008738F8">
        <w:rPr>
          <w:rFonts w:asciiTheme="majorHAnsi" w:hAnsiTheme="majorHAnsi"/>
        </w:rPr>
        <w:t xml:space="preserve">) foram alcançados e </w:t>
      </w:r>
      <w:r w:rsidR="003B5E27">
        <w:rPr>
          <w:rFonts w:asciiTheme="majorHAnsi" w:hAnsiTheme="majorHAnsi"/>
        </w:rPr>
        <w:t>existir</w:t>
      </w:r>
      <w:r w:rsidR="003B5E27" w:rsidRPr="008738F8">
        <w:rPr>
          <w:rFonts w:asciiTheme="majorHAnsi" w:hAnsiTheme="majorHAnsi"/>
        </w:rPr>
        <w:t xml:space="preserve"> </w:t>
      </w:r>
      <w:r w:rsidRPr="008738F8">
        <w:rPr>
          <w:rFonts w:asciiTheme="majorHAnsi" w:hAnsiTheme="majorHAnsi"/>
        </w:rPr>
        <w:t xml:space="preserve">o consenso que ações/tentativas de limpeza adicionais </w:t>
      </w:r>
      <w:r w:rsidR="003B5E27" w:rsidRPr="008738F8">
        <w:rPr>
          <w:rFonts w:asciiTheme="majorHAnsi" w:hAnsiTheme="majorHAnsi"/>
        </w:rPr>
        <w:t>causar</w:t>
      </w:r>
      <w:r w:rsidR="003B5E27">
        <w:rPr>
          <w:rFonts w:asciiTheme="majorHAnsi" w:hAnsiTheme="majorHAnsi"/>
        </w:rPr>
        <w:t>ão</w:t>
      </w:r>
      <w:r w:rsidR="003B5E27" w:rsidRPr="008738F8">
        <w:rPr>
          <w:rFonts w:asciiTheme="majorHAnsi" w:hAnsiTheme="majorHAnsi"/>
        </w:rPr>
        <w:t xml:space="preserve"> </w:t>
      </w:r>
      <w:r w:rsidRPr="008738F8">
        <w:rPr>
          <w:rFonts w:asciiTheme="majorHAnsi" w:hAnsiTheme="majorHAnsi"/>
        </w:rPr>
        <w:t>mais dano que benefício ao ambiente impactado.</w:t>
      </w:r>
    </w:p>
    <w:p w14:paraId="7164CDB7" w14:textId="2FBF02C6" w:rsidR="008738F8" w:rsidRPr="008738F8" w:rsidRDefault="008738F8" w:rsidP="00696B30">
      <w:pPr>
        <w:pStyle w:val="tier1Itext"/>
      </w:pPr>
      <w:r w:rsidRPr="008738F8">
        <w:t xml:space="preserve">Após a </w:t>
      </w:r>
      <w:r w:rsidRPr="008738F8">
        <w:rPr>
          <w:rFonts w:cstheme="majorHAnsi"/>
        </w:rPr>
        <w:t>decisão</w:t>
      </w:r>
      <w:r w:rsidRPr="008738F8">
        <w:t xml:space="preserve"> pelo encerramento, as seções de Planejamento e Logística providenciarão a desmobilização do pessoal, equipamentos e materiais empregados nas ações de resposta</w:t>
      </w:r>
      <w:r w:rsidRPr="00752220">
        <w:t>.</w:t>
      </w:r>
    </w:p>
    <w:p w14:paraId="4334E4DC" w14:textId="77777777" w:rsidR="008738F8" w:rsidRPr="008738F8" w:rsidRDefault="008738F8" w:rsidP="00696B30">
      <w:pPr>
        <w:pStyle w:val="tier1Itext"/>
      </w:pPr>
      <w:r w:rsidRPr="008738F8">
        <w:rPr>
          <w:rFonts w:cstheme="majorHAnsi"/>
        </w:rPr>
        <w:t>Equipamentos</w:t>
      </w:r>
      <w:r w:rsidRPr="008738F8">
        <w:t xml:space="preserve"> (barreiras de contenção, coletores, etc) contaminados com óleo devido a</w:t>
      </w:r>
      <w:r w:rsidR="0045015F">
        <w:t>s</w:t>
      </w:r>
      <w:r w:rsidRPr="008738F8">
        <w:t xml:space="preserve"> ações de resposta devem ser transportados pelas embarcações para a área designada em terra. </w:t>
      </w:r>
      <w:r w:rsidR="0045015F">
        <w:t>Em</w:t>
      </w:r>
      <w:r w:rsidRPr="008738F8">
        <w:t xml:space="preserve"> local apropriado, os equipamentos serão descontaminados e os resíduos gerados coletados e descartados de acordo com as diretrizes do Plano de Gestão de Resíduos. O LSC (ou pessoa designada) e o Líder da Unidade RC&amp;E serão responsáveis por garantir que todos os resíduos da resposta sejam dispostos apropriadamente.</w:t>
      </w:r>
    </w:p>
    <w:p w14:paraId="5F3C9DAB" w14:textId="77777777" w:rsidR="008738F8" w:rsidRPr="008738F8" w:rsidRDefault="008738F8" w:rsidP="00696B30">
      <w:pPr>
        <w:pStyle w:val="tier1Itext"/>
        <w:rPr>
          <w:szCs w:val="22"/>
        </w:rPr>
      </w:pPr>
      <w:r w:rsidRPr="008738F8">
        <w:t xml:space="preserve">Uma vez concluída as ações de desmobilização e descontaminação dos recursos, os membros da IMT e da TRT deverão assegurar que as instalações e equipamentos mobilizados e materiais gastos sejam restabelecidos conforme descrito nos planos e procedimentos da empresa, </w:t>
      </w:r>
      <w:r w:rsidRPr="008738F8">
        <w:rPr>
          <w:szCs w:val="22"/>
        </w:rPr>
        <w:t>a fim de assegurar sua prontidão.</w:t>
      </w:r>
    </w:p>
    <w:p w14:paraId="3379897B" w14:textId="77777777" w:rsidR="008738F8" w:rsidRPr="008738F8" w:rsidRDefault="008738F8" w:rsidP="00696B30">
      <w:pPr>
        <w:pStyle w:val="tier1Itext"/>
      </w:pPr>
      <w:r w:rsidRPr="008738F8">
        <w:t>É importante ressaltar que dependendo das consequências do incidente e dos indicadores utilizados para o encerramento das operações de resposta, qualquer ação pós-emergência para o monitoramento e/ou avaliação de danos em áreas afetadas deve ser decidida pelo UC ou IC junto com os representantes da agência ambiental e representantes locais dos municípios dessas áreas. Estas ações poderão ser realizadas com o apoio de especialistas e em acordo ou com participação de representantes dos órgãos ambientais competentes.</w:t>
      </w:r>
    </w:p>
    <w:p w14:paraId="589BFDC9" w14:textId="77777777" w:rsidR="0077170A" w:rsidRPr="009E316F" w:rsidRDefault="0077170A" w:rsidP="009D01BE">
      <w:pPr>
        <w:pStyle w:val="Ttulo2"/>
        <w:rPr>
          <w:lang w:val="pt-BR"/>
        </w:rPr>
      </w:pPr>
      <w:bookmarkStart w:id="282" w:name="_Toc527990444"/>
      <w:r w:rsidRPr="009E316F">
        <w:rPr>
          <w:lang w:val="pt-BR"/>
        </w:rPr>
        <w:lastRenderedPageBreak/>
        <w:t>Relatório de Encerramento das Ações de Resposta</w:t>
      </w:r>
      <w:bookmarkEnd w:id="282"/>
    </w:p>
    <w:p w14:paraId="7363FA82" w14:textId="567DA33A" w:rsidR="008738F8" w:rsidRPr="008738F8" w:rsidRDefault="008738F8" w:rsidP="0019174C">
      <w:pPr>
        <w:pStyle w:val="tier1Itext"/>
      </w:pPr>
      <w:r w:rsidRPr="008738F8">
        <w:t xml:space="preserve">Uma vez que a resposta ao incidente seja formalmente encerrada, o Chefe da Seção de Planejamento ou pessoa designada </w:t>
      </w:r>
      <w:r w:rsidRPr="00752220">
        <w:t>deverá coordenar a elaboração de um relatório de análise crítica de desempenho do PEI, conforme descrito n</w:t>
      </w:r>
      <w:r w:rsidR="00752220" w:rsidRPr="00752220">
        <w:t>o</w:t>
      </w:r>
      <w:r w:rsidRPr="00752220">
        <w:t xml:space="preserve"> </w:t>
      </w:r>
      <w:r w:rsidR="00752220" w:rsidRPr="00752220">
        <w:t>item</w:t>
      </w:r>
      <w:r w:rsidRPr="00752220">
        <w:t xml:space="preserve"> </w:t>
      </w:r>
      <w:r w:rsidR="00752220" w:rsidRPr="00752220">
        <w:fldChar w:fldCharType="begin"/>
      </w:r>
      <w:r w:rsidR="00752220" w:rsidRPr="00752220">
        <w:instrText xml:space="preserve"> REF _Ref414627640 \r \h </w:instrText>
      </w:r>
      <w:r w:rsidR="00752220">
        <w:instrText xml:space="preserve"> \* MERGEFORMAT </w:instrText>
      </w:r>
      <w:r w:rsidR="00752220" w:rsidRPr="00752220">
        <w:fldChar w:fldCharType="separate"/>
      </w:r>
      <w:r w:rsidR="00A50E67">
        <w:t>7.2.2</w:t>
      </w:r>
      <w:r w:rsidR="00752220" w:rsidRPr="00752220">
        <w:fldChar w:fldCharType="end"/>
      </w:r>
      <w:r w:rsidRPr="00752220">
        <w:t>. Desta</w:t>
      </w:r>
      <w:r w:rsidRPr="008738F8">
        <w:t xml:space="preserve"> força tarefa deverão fazer parte, ainda que não exclusivamente, o</w:t>
      </w:r>
      <w:r w:rsidRPr="008738F8">
        <w:rPr>
          <w:rFonts w:cstheme="majorHAnsi"/>
        </w:rPr>
        <w:t xml:space="preserve"> Líder da Unidade RC&amp;E, o OSC, o Líder da Unidade de Situação e o Líder da Unidade de Documentação, com membros de suas unidades. </w:t>
      </w:r>
    </w:p>
    <w:p w14:paraId="5D8E3C0B" w14:textId="77777777" w:rsidR="008738F8" w:rsidRPr="008738F8" w:rsidRDefault="008738F8" w:rsidP="0019174C">
      <w:pPr>
        <w:pStyle w:val="tier1Itext"/>
      </w:pPr>
      <w:r w:rsidRPr="008738F8">
        <w:t>Este relatório deverá ser analisado e aprovado pelo IC ou delegado, e encaminhado ao órgão ambiental competente em até 30 dias após o término das ações de resposta, conforme estipulado na Resolução CONAMA nº 398/08.</w:t>
      </w:r>
    </w:p>
    <w:p w14:paraId="34A264B6" w14:textId="5728883E" w:rsidR="008738F8" w:rsidRPr="008738F8" w:rsidRDefault="008738F8" w:rsidP="00723A97">
      <w:pPr>
        <w:pStyle w:val="tier1Itext"/>
      </w:pPr>
      <w:r w:rsidRPr="008738F8">
        <w:t>Os relatórios elaborados para a ANP e Marinha, bem como aqueles pertinentes no caso da utilização da aplicação de dispersantes químicos, deverão ser também elaborados e entregues nos prazos regulamentares, conforme mostrado no</w:t>
      </w:r>
      <w:r w:rsidR="0019174C">
        <w:t xml:space="preserve"> </w:t>
      </w:r>
      <w:r w:rsidR="0019174C" w:rsidRPr="0019174C">
        <w:rPr>
          <w:b/>
        </w:rPr>
        <w:t xml:space="preserve">APÊNDICE </w:t>
      </w:r>
      <w:r w:rsidR="00D7095B">
        <w:rPr>
          <w:b/>
        </w:rPr>
        <w:t>D</w:t>
      </w:r>
      <w:r w:rsidRPr="008738F8">
        <w:t>.</w:t>
      </w:r>
    </w:p>
    <w:p w14:paraId="54FE777A" w14:textId="77777777" w:rsidR="008738F8" w:rsidRDefault="008738F8" w:rsidP="00723A97">
      <w:pPr>
        <w:pStyle w:val="tier1Itext"/>
      </w:pPr>
      <w:r w:rsidRPr="008738F8">
        <w:t xml:space="preserve">Ao final do processo, o Coordenador de CCMER deverá proceder com as reuniões para a identificação e registro de lições aprendidas na resposta ao incidente, e a elaboração do plano de ação para implementação das ações definidas e para a revisão do Plano de Emergência </w:t>
      </w:r>
      <w:r w:rsidR="0019174C">
        <w:t>Individual, quando pertinentes.</w:t>
      </w:r>
    </w:p>
    <w:p w14:paraId="413A6999" w14:textId="77777777" w:rsidR="0077170A" w:rsidRPr="009E316F" w:rsidRDefault="0077170A" w:rsidP="009D01BE">
      <w:pPr>
        <w:pStyle w:val="Ttulo1"/>
        <w:rPr>
          <w:lang w:val="pt-BR"/>
        </w:rPr>
      </w:pPr>
      <w:bookmarkStart w:id="283" w:name="_Ref414612816"/>
      <w:bookmarkStart w:id="284" w:name="_Ref414613023"/>
      <w:bookmarkStart w:id="285" w:name="_Toc527990445"/>
      <w:r w:rsidRPr="009E316F">
        <w:rPr>
          <w:lang w:val="pt-BR"/>
        </w:rPr>
        <w:t>RESPONSÁVEIS TÉCNICOS PELA ELABORAÇÃO DO PEI</w:t>
      </w:r>
      <w:bookmarkEnd w:id="283"/>
      <w:bookmarkEnd w:id="284"/>
      <w:bookmarkEnd w:id="285"/>
    </w:p>
    <w:p w14:paraId="78F1EA18" w14:textId="65FCFBB8" w:rsidR="00241AFC" w:rsidRDefault="00BE50FC" w:rsidP="005F089B">
      <w:pPr>
        <w:pStyle w:val="tier1Itext"/>
      </w:pPr>
      <w:r w:rsidRPr="00EE0E12">
        <w:t>Abaixo</w:t>
      </w:r>
      <w:r w:rsidR="00AD6624">
        <w:t xml:space="preserve"> na </w:t>
      </w:r>
      <w:r w:rsidR="00AD6624" w:rsidRPr="00EE0E12">
        <w:rPr>
          <w:b/>
        </w:rPr>
        <w:fldChar w:fldCharType="begin"/>
      </w:r>
      <w:r w:rsidR="00AD6624" w:rsidRPr="00EE0E12">
        <w:rPr>
          <w:b/>
        </w:rPr>
        <w:instrText xml:space="preserve"> REF _Ref414370138 \h </w:instrText>
      </w:r>
      <w:r w:rsidR="00AD6624">
        <w:rPr>
          <w:b/>
        </w:rPr>
        <w:instrText xml:space="preserve"> \* MERGEFORMAT </w:instrText>
      </w:r>
      <w:r w:rsidR="00AD6624" w:rsidRPr="00EE0E12">
        <w:rPr>
          <w:b/>
        </w:rPr>
      </w:r>
      <w:r w:rsidR="00AD6624" w:rsidRPr="00EE0E12">
        <w:rPr>
          <w:b/>
        </w:rPr>
        <w:fldChar w:fldCharType="separate"/>
      </w:r>
      <w:r w:rsidR="00CD1E9E" w:rsidRPr="00CD1E9E">
        <w:rPr>
          <w:b/>
        </w:rPr>
        <w:t xml:space="preserve">Tabela </w:t>
      </w:r>
      <w:r w:rsidR="00CD1E9E" w:rsidRPr="004B2C3C">
        <w:rPr>
          <w:b/>
          <w:noProof/>
          <w:highlight w:val="lightGray"/>
        </w:rPr>
        <w:t>21</w:t>
      </w:r>
      <w:r w:rsidR="00AD6624" w:rsidRPr="00EE0E12">
        <w:rPr>
          <w:b/>
        </w:rPr>
        <w:fldChar w:fldCharType="end"/>
      </w:r>
      <w:r w:rsidRPr="00EE0E12">
        <w:rPr>
          <w:b/>
        </w:rPr>
        <w:t xml:space="preserve"> </w:t>
      </w:r>
      <w:r w:rsidR="00D7095B">
        <w:t xml:space="preserve">é </w:t>
      </w:r>
      <w:r w:rsidRPr="00EE0E12">
        <w:t>referenciado o responsáve</w:t>
      </w:r>
      <w:r w:rsidR="00D7095B">
        <w:t>l</w:t>
      </w:r>
      <w:r w:rsidRPr="00EE0E12">
        <w:t xml:space="preserve"> técnico envolvido na elaboração d</w:t>
      </w:r>
      <w:r w:rsidR="00D7095B">
        <w:t>a presente versão d</w:t>
      </w:r>
      <w:r w:rsidRPr="00EE0E12">
        <w:t xml:space="preserve">o </w:t>
      </w:r>
      <w:r w:rsidR="00D7095B">
        <w:t>Plano</w:t>
      </w:r>
      <w:r w:rsidRPr="00EE0E12">
        <w:t>, informando sua área de formação e registro técnico.</w:t>
      </w:r>
    </w:p>
    <w:tbl>
      <w:tblPr>
        <w:tblW w:w="5000" w:type="pct"/>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left w:w="70" w:type="dxa"/>
          <w:right w:w="70" w:type="dxa"/>
        </w:tblCellMar>
        <w:tblLook w:val="0000" w:firstRow="0" w:lastRow="0" w:firstColumn="0" w:lastColumn="0" w:noHBand="0" w:noVBand="0"/>
      </w:tblPr>
      <w:tblGrid>
        <w:gridCol w:w="1818"/>
        <w:gridCol w:w="1129"/>
        <w:gridCol w:w="1389"/>
        <w:gridCol w:w="1215"/>
        <w:gridCol w:w="1341"/>
        <w:gridCol w:w="2148"/>
      </w:tblGrid>
      <w:tr w:rsidR="00C4748A" w:rsidRPr="005F089B" w14:paraId="163ED531" w14:textId="77777777" w:rsidTr="00D63951">
        <w:trPr>
          <w:cantSplit/>
          <w:trHeight w:val="397"/>
          <w:tblHeader/>
          <w:jc w:val="center"/>
        </w:trPr>
        <w:tc>
          <w:tcPr>
            <w:tcW w:w="5000" w:type="pct"/>
            <w:gridSpan w:val="6"/>
            <w:shd w:val="clear" w:color="auto" w:fill="auto"/>
            <w:vAlign w:val="bottom"/>
          </w:tcPr>
          <w:p w14:paraId="38A11211" w14:textId="6D6EB748" w:rsidR="00C4748A" w:rsidRPr="005F089B" w:rsidRDefault="00C4748A" w:rsidP="00D63951">
            <w:pPr>
              <w:spacing w:before="0" w:line="240" w:lineRule="auto"/>
              <w:jc w:val="left"/>
              <w:rPr>
                <w:rFonts w:asciiTheme="majorHAnsi" w:hAnsiTheme="majorHAnsi" w:cs="Arial"/>
                <w:b/>
                <w:bCs/>
                <w:color w:val="FFFFFF"/>
                <w:sz w:val="20"/>
                <w:szCs w:val="20"/>
              </w:rPr>
            </w:pPr>
            <w:bookmarkStart w:id="286" w:name="_Ref414370138"/>
            <w:bookmarkStart w:id="287" w:name="_Toc527990496"/>
            <w:r w:rsidRPr="005F089B">
              <w:rPr>
                <w:rFonts w:asciiTheme="majorHAnsi" w:hAnsiTheme="majorHAnsi"/>
                <w:b/>
                <w:sz w:val="20"/>
                <w:szCs w:val="20"/>
              </w:rPr>
              <w:t xml:space="preserve">Tabela </w:t>
            </w:r>
            <w:r w:rsidRPr="004B2C3C">
              <w:rPr>
                <w:rFonts w:asciiTheme="majorHAnsi" w:hAnsiTheme="majorHAnsi"/>
                <w:b/>
                <w:sz w:val="20"/>
                <w:szCs w:val="20"/>
                <w:highlight w:val="lightGray"/>
              </w:rPr>
              <w:fldChar w:fldCharType="begin"/>
            </w:r>
            <w:r w:rsidRPr="004B2C3C">
              <w:rPr>
                <w:rFonts w:asciiTheme="majorHAnsi" w:hAnsiTheme="majorHAnsi"/>
                <w:b/>
                <w:sz w:val="20"/>
                <w:szCs w:val="20"/>
                <w:highlight w:val="lightGray"/>
              </w:rPr>
              <w:instrText xml:space="preserve"> SEQ Tabela \* ARABIC </w:instrText>
            </w:r>
            <w:r w:rsidRPr="004B2C3C">
              <w:rPr>
                <w:rFonts w:asciiTheme="majorHAnsi" w:hAnsiTheme="majorHAnsi"/>
                <w:b/>
                <w:sz w:val="20"/>
                <w:szCs w:val="20"/>
                <w:highlight w:val="lightGray"/>
              </w:rPr>
              <w:fldChar w:fldCharType="separate"/>
            </w:r>
            <w:r w:rsidR="00CD1E9E" w:rsidRPr="004B2C3C">
              <w:rPr>
                <w:rFonts w:asciiTheme="majorHAnsi" w:hAnsiTheme="majorHAnsi"/>
                <w:b/>
                <w:noProof/>
                <w:sz w:val="20"/>
                <w:szCs w:val="20"/>
                <w:highlight w:val="lightGray"/>
              </w:rPr>
              <w:t>21</w:t>
            </w:r>
            <w:r w:rsidRPr="004B2C3C">
              <w:rPr>
                <w:rFonts w:asciiTheme="majorHAnsi" w:hAnsiTheme="majorHAnsi"/>
                <w:b/>
                <w:noProof/>
                <w:sz w:val="20"/>
                <w:szCs w:val="20"/>
                <w:highlight w:val="lightGray"/>
              </w:rPr>
              <w:fldChar w:fldCharType="end"/>
            </w:r>
            <w:bookmarkEnd w:id="286"/>
            <w:r>
              <w:rPr>
                <w:rFonts w:asciiTheme="majorHAnsi" w:hAnsiTheme="majorHAnsi"/>
                <w:b/>
                <w:sz w:val="20"/>
                <w:szCs w:val="20"/>
              </w:rPr>
              <w:t>:</w:t>
            </w:r>
            <w:r w:rsidRPr="005F089B">
              <w:rPr>
                <w:rFonts w:asciiTheme="majorHAnsi" w:hAnsiTheme="majorHAnsi"/>
                <w:b/>
                <w:sz w:val="20"/>
                <w:szCs w:val="20"/>
              </w:rPr>
              <w:t xml:space="preserve"> Informações sobre os responsáveis técnicos pela elaboração </w:t>
            </w:r>
            <w:r w:rsidRPr="004B2C3C">
              <w:rPr>
                <w:rFonts w:asciiTheme="majorHAnsi" w:hAnsiTheme="majorHAnsi"/>
                <w:b/>
                <w:sz w:val="20"/>
                <w:szCs w:val="20"/>
                <w:highlight w:val="lightGray"/>
              </w:rPr>
              <w:t>desta versão</w:t>
            </w:r>
            <w:r w:rsidRPr="006A601E">
              <w:rPr>
                <w:rFonts w:asciiTheme="majorHAnsi" w:hAnsiTheme="majorHAnsi"/>
                <w:b/>
                <w:sz w:val="20"/>
                <w:szCs w:val="20"/>
              </w:rPr>
              <w:t xml:space="preserve"> do </w:t>
            </w:r>
            <w:r w:rsidRPr="005F089B">
              <w:rPr>
                <w:rFonts w:asciiTheme="majorHAnsi" w:hAnsiTheme="majorHAnsi"/>
                <w:b/>
                <w:sz w:val="20"/>
                <w:szCs w:val="20"/>
              </w:rPr>
              <w:t>Plano de Emergência Individual (PEI).</w:t>
            </w:r>
            <w:bookmarkEnd w:id="287"/>
          </w:p>
        </w:tc>
      </w:tr>
      <w:tr w:rsidR="00C4748A" w:rsidRPr="005F089B" w14:paraId="619DBB51" w14:textId="77777777" w:rsidTr="00D63951">
        <w:trPr>
          <w:cantSplit/>
          <w:tblHeader/>
          <w:jc w:val="center"/>
        </w:trPr>
        <w:tc>
          <w:tcPr>
            <w:tcW w:w="1012" w:type="pct"/>
            <w:shd w:val="clear" w:color="auto" w:fill="1F497D" w:themeFill="text2"/>
            <w:vAlign w:val="center"/>
          </w:tcPr>
          <w:p w14:paraId="0385896D" w14:textId="77777777" w:rsidR="00C4748A" w:rsidRPr="005F089B" w:rsidRDefault="00C4748A" w:rsidP="00D63951">
            <w:pPr>
              <w:pStyle w:val="Textodenotaderodap"/>
              <w:spacing w:before="0"/>
              <w:jc w:val="center"/>
              <w:rPr>
                <w:rFonts w:asciiTheme="majorHAnsi" w:hAnsiTheme="majorHAnsi" w:cs="Arial"/>
                <w:b/>
                <w:bCs/>
                <w:caps/>
                <w:color w:val="FFFFFF" w:themeColor="background1"/>
              </w:rPr>
            </w:pPr>
            <w:bookmarkStart w:id="288" w:name="_Hlk229988484"/>
            <w:r w:rsidRPr="005F089B">
              <w:rPr>
                <w:rFonts w:asciiTheme="majorHAnsi" w:hAnsiTheme="majorHAnsi" w:cs="Arial"/>
                <w:b/>
                <w:bCs/>
                <w:color w:val="FFFFFF" w:themeColor="background1"/>
              </w:rPr>
              <w:t>Nome &amp;</w:t>
            </w:r>
          </w:p>
          <w:p w14:paraId="34F5DF28" w14:textId="77777777" w:rsidR="00C4748A" w:rsidRPr="005F089B" w:rsidRDefault="00C4748A" w:rsidP="00D63951">
            <w:pPr>
              <w:pStyle w:val="Textodenotaderodap"/>
              <w:spacing w:before="0"/>
              <w:jc w:val="center"/>
              <w:rPr>
                <w:rFonts w:asciiTheme="majorHAnsi" w:hAnsiTheme="majorHAnsi" w:cs="Arial"/>
                <w:b/>
                <w:bCs/>
                <w:caps/>
                <w:color w:val="FFFFFF" w:themeColor="background1"/>
              </w:rPr>
            </w:pPr>
            <w:r w:rsidRPr="005F089B">
              <w:rPr>
                <w:rFonts w:asciiTheme="majorHAnsi" w:hAnsiTheme="majorHAnsi" w:cs="Arial"/>
                <w:b/>
                <w:bCs/>
                <w:color w:val="FFFFFF" w:themeColor="background1"/>
              </w:rPr>
              <w:t>Formação Profissional</w:t>
            </w:r>
          </w:p>
        </w:tc>
        <w:tc>
          <w:tcPr>
            <w:tcW w:w="613" w:type="pct"/>
            <w:shd w:val="clear" w:color="auto" w:fill="1F497D" w:themeFill="text2"/>
            <w:vAlign w:val="center"/>
          </w:tcPr>
          <w:p w14:paraId="577EE316" w14:textId="77777777" w:rsidR="00C4748A" w:rsidRPr="005F089B" w:rsidRDefault="00C4748A" w:rsidP="00D63951">
            <w:pPr>
              <w:spacing w:before="0" w:line="240" w:lineRule="auto"/>
              <w:jc w:val="center"/>
              <w:rPr>
                <w:rFonts w:asciiTheme="majorHAnsi" w:hAnsiTheme="majorHAnsi" w:cs="Arial"/>
                <w:b/>
                <w:bCs/>
                <w:caps/>
                <w:color w:val="FFFFFF" w:themeColor="background1"/>
                <w:sz w:val="20"/>
                <w:szCs w:val="20"/>
              </w:rPr>
            </w:pPr>
            <w:r w:rsidRPr="005F089B">
              <w:rPr>
                <w:rFonts w:asciiTheme="majorHAnsi" w:hAnsiTheme="majorHAnsi" w:cs="Arial"/>
                <w:b/>
                <w:bCs/>
                <w:color w:val="FFFFFF" w:themeColor="background1"/>
                <w:sz w:val="20"/>
                <w:szCs w:val="20"/>
              </w:rPr>
              <w:t>Empresa ou Instituição</w:t>
            </w:r>
          </w:p>
        </w:tc>
        <w:tc>
          <w:tcPr>
            <w:tcW w:w="775" w:type="pct"/>
            <w:shd w:val="clear" w:color="auto" w:fill="1F497D" w:themeFill="text2"/>
            <w:vAlign w:val="center"/>
          </w:tcPr>
          <w:p w14:paraId="39DAAFDD" w14:textId="77777777" w:rsidR="00C4748A" w:rsidRPr="005F089B" w:rsidRDefault="00C4748A" w:rsidP="00D63951">
            <w:pPr>
              <w:spacing w:before="0" w:line="240" w:lineRule="auto"/>
              <w:jc w:val="center"/>
              <w:rPr>
                <w:rFonts w:asciiTheme="majorHAnsi" w:hAnsiTheme="majorHAnsi" w:cs="Arial"/>
                <w:b/>
                <w:bCs/>
                <w:caps/>
                <w:color w:val="FFFFFF" w:themeColor="background1"/>
                <w:sz w:val="20"/>
                <w:szCs w:val="20"/>
              </w:rPr>
            </w:pPr>
            <w:r w:rsidRPr="005F089B">
              <w:rPr>
                <w:rFonts w:asciiTheme="majorHAnsi" w:hAnsiTheme="majorHAnsi" w:cs="Arial"/>
                <w:b/>
                <w:bCs/>
                <w:color w:val="FFFFFF" w:themeColor="background1"/>
                <w:sz w:val="20"/>
                <w:szCs w:val="20"/>
              </w:rPr>
              <w:t>Função</w:t>
            </w:r>
          </w:p>
        </w:tc>
        <w:tc>
          <w:tcPr>
            <w:tcW w:w="678" w:type="pct"/>
            <w:shd w:val="clear" w:color="auto" w:fill="1F497D" w:themeFill="text2"/>
            <w:vAlign w:val="center"/>
          </w:tcPr>
          <w:p w14:paraId="15998834" w14:textId="77777777" w:rsidR="00C4748A" w:rsidRPr="005F089B" w:rsidRDefault="00C4748A" w:rsidP="00D63951">
            <w:pPr>
              <w:pStyle w:val="Text"/>
              <w:spacing w:before="0" w:line="240" w:lineRule="auto"/>
              <w:jc w:val="center"/>
              <w:rPr>
                <w:rFonts w:asciiTheme="majorHAnsi" w:hAnsiTheme="majorHAnsi" w:cs="Arial"/>
                <w:b/>
                <w:bCs/>
                <w:caps/>
                <w:color w:val="FFFFFF" w:themeColor="background1"/>
                <w:lang w:val="pt-BR" w:eastAsia="pt-BR"/>
              </w:rPr>
            </w:pPr>
            <w:r w:rsidRPr="005F089B">
              <w:rPr>
                <w:rFonts w:asciiTheme="majorHAnsi" w:hAnsiTheme="majorHAnsi" w:cs="Arial"/>
                <w:b/>
                <w:bCs/>
                <w:color w:val="FFFFFF" w:themeColor="background1"/>
                <w:lang w:val="pt-BR" w:eastAsia="pt-BR"/>
              </w:rPr>
              <w:t>Registro de Classe</w:t>
            </w:r>
          </w:p>
        </w:tc>
        <w:tc>
          <w:tcPr>
            <w:tcW w:w="728" w:type="pct"/>
            <w:shd w:val="clear" w:color="auto" w:fill="1F497D" w:themeFill="text2"/>
            <w:vAlign w:val="center"/>
          </w:tcPr>
          <w:p w14:paraId="3E0B0157" w14:textId="77777777" w:rsidR="00C4748A" w:rsidRPr="005F089B" w:rsidRDefault="00C4748A" w:rsidP="00D63951">
            <w:pPr>
              <w:spacing w:before="0" w:line="240" w:lineRule="auto"/>
              <w:jc w:val="center"/>
              <w:rPr>
                <w:rFonts w:asciiTheme="majorHAnsi" w:hAnsiTheme="majorHAnsi" w:cs="Arial"/>
                <w:b/>
                <w:bCs/>
                <w:caps/>
                <w:color w:val="FFFFFF" w:themeColor="background1"/>
                <w:sz w:val="20"/>
                <w:szCs w:val="20"/>
              </w:rPr>
            </w:pPr>
            <w:r w:rsidRPr="005F089B">
              <w:rPr>
                <w:rFonts w:asciiTheme="majorHAnsi" w:hAnsiTheme="majorHAnsi" w:cs="Arial"/>
                <w:b/>
                <w:bCs/>
                <w:color w:val="FFFFFF" w:themeColor="background1"/>
                <w:sz w:val="20"/>
                <w:szCs w:val="20"/>
              </w:rPr>
              <w:t>Registro MMA/IBAMA</w:t>
            </w:r>
          </w:p>
        </w:tc>
        <w:tc>
          <w:tcPr>
            <w:tcW w:w="1194" w:type="pct"/>
            <w:shd w:val="clear" w:color="auto" w:fill="1F497D" w:themeFill="text2"/>
            <w:vAlign w:val="center"/>
          </w:tcPr>
          <w:p w14:paraId="473F4743" w14:textId="77777777" w:rsidR="00C4748A" w:rsidRPr="005F089B" w:rsidRDefault="00C4748A" w:rsidP="00D63951">
            <w:pPr>
              <w:spacing w:before="0" w:line="240" w:lineRule="auto"/>
              <w:jc w:val="center"/>
              <w:rPr>
                <w:rFonts w:asciiTheme="majorHAnsi" w:hAnsiTheme="majorHAnsi" w:cs="Arial"/>
                <w:b/>
                <w:bCs/>
                <w:caps/>
                <w:color w:val="FFFFFF" w:themeColor="background1"/>
                <w:sz w:val="20"/>
                <w:szCs w:val="20"/>
              </w:rPr>
            </w:pPr>
            <w:r w:rsidRPr="005F089B">
              <w:rPr>
                <w:rFonts w:asciiTheme="majorHAnsi" w:hAnsiTheme="majorHAnsi" w:cs="Arial"/>
                <w:b/>
                <w:bCs/>
                <w:color w:val="FFFFFF" w:themeColor="background1"/>
                <w:sz w:val="20"/>
                <w:szCs w:val="20"/>
              </w:rPr>
              <w:t>Assinatura</w:t>
            </w:r>
          </w:p>
        </w:tc>
      </w:tr>
      <w:bookmarkEnd w:id="288"/>
      <w:tr w:rsidR="00C4748A" w:rsidRPr="005F089B" w14:paraId="0A326E83" w14:textId="77777777" w:rsidTr="00D63951">
        <w:trPr>
          <w:cantSplit/>
          <w:jc w:val="center"/>
        </w:trPr>
        <w:tc>
          <w:tcPr>
            <w:tcW w:w="1012" w:type="pct"/>
            <w:shd w:val="clear" w:color="auto" w:fill="D9D9D9" w:themeFill="background1" w:themeFillShade="D9"/>
            <w:vAlign w:val="center"/>
          </w:tcPr>
          <w:p w14:paraId="7B27F46E" w14:textId="77777777" w:rsidR="00C4748A" w:rsidRDefault="00C4748A" w:rsidP="00D63951">
            <w:pPr>
              <w:spacing w:before="0" w:after="120" w:line="240" w:lineRule="auto"/>
              <w:jc w:val="left"/>
              <w:rPr>
                <w:rFonts w:asciiTheme="majorHAnsi" w:hAnsiTheme="majorHAnsi" w:cs="Arial"/>
                <w:sz w:val="20"/>
                <w:szCs w:val="20"/>
              </w:rPr>
            </w:pPr>
            <w:r w:rsidRPr="00E9093F">
              <w:rPr>
                <w:rFonts w:asciiTheme="majorHAnsi" w:hAnsiTheme="majorHAnsi" w:cs="Arial"/>
                <w:sz w:val="20"/>
                <w:szCs w:val="20"/>
              </w:rPr>
              <w:t>Luiz Pimenta</w:t>
            </w:r>
          </w:p>
          <w:p w14:paraId="46D91047" w14:textId="77777777" w:rsidR="00C4748A" w:rsidRPr="00E9093F" w:rsidRDefault="00C4748A" w:rsidP="00D63951">
            <w:pPr>
              <w:spacing w:before="0" w:line="240" w:lineRule="auto"/>
              <w:jc w:val="left"/>
              <w:rPr>
                <w:rFonts w:asciiTheme="majorHAnsi" w:hAnsiTheme="majorHAnsi" w:cs="Arial"/>
                <w:sz w:val="20"/>
                <w:szCs w:val="20"/>
              </w:rPr>
            </w:pPr>
            <w:r w:rsidRPr="007B3781">
              <w:rPr>
                <w:rFonts w:asciiTheme="majorHAnsi" w:hAnsiTheme="majorHAnsi" w:cs="Arial"/>
                <w:sz w:val="20"/>
                <w:szCs w:val="20"/>
              </w:rPr>
              <w:t>Coordenador de Gerenciamento de Crise e Continuidade &amp; Resposta à Emergência</w:t>
            </w:r>
          </w:p>
        </w:tc>
        <w:tc>
          <w:tcPr>
            <w:tcW w:w="613" w:type="pct"/>
            <w:shd w:val="clear" w:color="auto" w:fill="D9D9D9" w:themeFill="background1" w:themeFillShade="D9"/>
            <w:vAlign w:val="center"/>
          </w:tcPr>
          <w:p w14:paraId="1052586D" w14:textId="77777777" w:rsidR="00C4748A" w:rsidRPr="002C6FAB" w:rsidRDefault="00C4748A" w:rsidP="00D63951">
            <w:pPr>
              <w:spacing w:before="0" w:line="240" w:lineRule="auto"/>
              <w:jc w:val="center"/>
              <w:rPr>
                <w:rFonts w:asciiTheme="majorHAnsi" w:hAnsiTheme="majorHAnsi" w:cs="Arial"/>
                <w:sz w:val="20"/>
                <w:szCs w:val="20"/>
              </w:rPr>
            </w:pPr>
            <w:r w:rsidRPr="002C6FAB">
              <w:rPr>
                <w:rFonts w:asciiTheme="majorHAnsi" w:hAnsiTheme="majorHAnsi" w:cs="Arial"/>
                <w:sz w:val="20"/>
                <w:szCs w:val="20"/>
              </w:rPr>
              <w:t>BP Energy do Brasil Ltda.</w:t>
            </w:r>
          </w:p>
        </w:tc>
        <w:tc>
          <w:tcPr>
            <w:tcW w:w="775" w:type="pct"/>
            <w:shd w:val="clear" w:color="auto" w:fill="D9D9D9" w:themeFill="background1" w:themeFillShade="D9"/>
            <w:vAlign w:val="center"/>
          </w:tcPr>
          <w:p w14:paraId="4216FEE7" w14:textId="7110DEEB" w:rsidR="00C4748A" w:rsidRPr="002C6FAB" w:rsidRDefault="00C4748A" w:rsidP="00D63951">
            <w:pPr>
              <w:spacing w:before="0" w:line="240" w:lineRule="auto"/>
              <w:jc w:val="center"/>
              <w:rPr>
                <w:rFonts w:asciiTheme="majorHAnsi" w:hAnsiTheme="majorHAnsi" w:cs="Arial"/>
                <w:sz w:val="20"/>
                <w:szCs w:val="20"/>
              </w:rPr>
            </w:pPr>
            <w:r>
              <w:rPr>
                <w:rFonts w:asciiTheme="majorHAnsi" w:hAnsiTheme="majorHAnsi" w:cs="Arial"/>
                <w:sz w:val="20"/>
                <w:szCs w:val="20"/>
              </w:rPr>
              <w:t xml:space="preserve">Revisão da </w:t>
            </w:r>
            <w:r w:rsidRPr="004B2C3C">
              <w:rPr>
                <w:rFonts w:asciiTheme="majorHAnsi" w:hAnsiTheme="majorHAnsi" w:cs="Arial"/>
                <w:sz w:val="20"/>
                <w:szCs w:val="20"/>
                <w:highlight w:val="darkGray"/>
              </w:rPr>
              <w:t xml:space="preserve">versão </w:t>
            </w:r>
            <w:r w:rsidR="0029694E" w:rsidRPr="004B2C3C">
              <w:rPr>
                <w:rFonts w:asciiTheme="majorHAnsi" w:hAnsiTheme="majorHAnsi" w:cs="Arial"/>
                <w:sz w:val="20"/>
                <w:szCs w:val="20"/>
                <w:highlight w:val="darkGray"/>
              </w:rPr>
              <w:t>2</w:t>
            </w:r>
            <w:r w:rsidRPr="00AA4B91">
              <w:rPr>
                <w:rFonts w:asciiTheme="majorHAnsi" w:hAnsiTheme="majorHAnsi" w:cs="Arial"/>
                <w:sz w:val="20"/>
                <w:szCs w:val="20"/>
              </w:rPr>
              <w:t xml:space="preserve"> </w:t>
            </w:r>
            <w:r w:rsidRPr="002C6FAB">
              <w:rPr>
                <w:rFonts w:asciiTheme="majorHAnsi" w:hAnsiTheme="majorHAnsi" w:cs="Arial"/>
                <w:sz w:val="20"/>
                <w:szCs w:val="20"/>
              </w:rPr>
              <w:t>e</w:t>
            </w:r>
            <w:r>
              <w:rPr>
                <w:rFonts w:asciiTheme="majorHAnsi" w:hAnsiTheme="majorHAnsi" w:cs="Arial"/>
                <w:sz w:val="20"/>
                <w:szCs w:val="20"/>
              </w:rPr>
              <w:t xml:space="preserve"> </w:t>
            </w:r>
            <w:r w:rsidRPr="002C6FAB">
              <w:rPr>
                <w:rFonts w:asciiTheme="majorHAnsi" w:hAnsiTheme="majorHAnsi" w:cs="Arial"/>
                <w:sz w:val="20"/>
                <w:szCs w:val="20"/>
              </w:rPr>
              <w:t>Controle de Qualidade do Plano de Emergência Individual (PEI)</w:t>
            </w:r>
          </w:p>
        </w:tc>
        <w:tc>
          <w:tcPr>
            <w:tcW w:w="678" w:type="pct"/>
            <w:shd w:val="clear" w:color="auto" w:fill="D9D9D9" w:themeFill="background1" w:themeFillShade="D9"/>
            <w:vAlign w:val="center"/>
          </w:tcPr>
          <w:p w14:paraId="073DAB54" w14:textId="77777777" w:rsidR="00C4748A" w:rsidRPr="002C6FAB" w:rsidRDefault="00C4748A" w:rsidP="00D63951">
            <w:pPr>
              <w:pStyle w:val="Textodenotaderodap"/>
              <w:spacing w:before="0"/>
              <w:jc w:val="center"/>
              <w:rPr>
                <w:rFonts w:asciiTheme="majorHAnsi" w:hAnsiTheme="majorHAnsi" w:cs="Arial"/>
              </w:rPr>
            </w:pPr>
            <w:r w:rsidRPr="00511B28">
              <w:rPr>
                <w:rFonts w:asciiTheme="majorHAnsi" w:hAnsiTheme="majorHAnsi" w:cs="Arial"/>
              </w:rPr>
              <w:t>-</w:t>
            </w:r>
          </w:p>
        </w:tc>
        <w:tc>
          <w:tcPr>
            <w:tcW w:w="728" w:type="pct"/>
            <w:shd w:val="clear" w:color="auto" w:fill="D9D9D9" w:themeFill="background1" w:themeFillShade="D9"/>
            <w:vAlign w:val="center"/>
          </w:tcPr>
          <w:p w14:paraId="63E26CF6" w14:textId="77777777" w:rsidR="00C4748A" w:rsidRPr="002C6FAB" w:rsidRDefault="00C4748A" w:rsidP="00D63951">
            <w:pPr>
              <w:spacing w:before="0" w:line="240" w:lineRule="auto"/>
              <w:jc w:val="center"/>
              <w:rPr>
                <w:rFonts w:asciiTheme="majorHAnsi" w:hAnsiTheme="majorHAnsi" w:cs="Arial"/>
                <w:sz w:val="20"/>
                <w:szCs w:val="20"/>
              </w:rPr>
            </w:pPr>
            <w:r w:rsidRPr="002C6FAB">
              <w:rPr>
                <w:rFonts w:asciiTheme="majorHAnsi" w:hAnsiTheme="majorHAnsi" w:cs="Arial"/>
                <w:sz w:val="20"/>
                <w:szCs w:val="20"/>
              </w:rPr>
              <w:t>207260</w:t>
            </w:r>
          </w:p>
        </w:tc>
        <w:tc>
          <w:tcPr>
            <w:tcW w:w="1194" w:type="pct"/>
            <w:shd w:val="clear" w:color="auto" w:fill="D9D9D9" w:themeFill="background1" w:themeFillShade="D9"/>
            <w:vAlign w:val="center"/>
          </w:tcPr>
          <w:p w14:paraId="007B0318" w14:textId="4E3D3BF6" w:rsidR="00C4748A" w:rsidRPr="00AB2703" w:rsidRDefault="004B2C3C" w:rsidP="00D63951">
            <w:pPr>
              <w:spacing w:before="0" w:line="240" w:lineRule="auto"/>
              <w:jc w:val="center"/>
              <w:rPr>
                <w:rFonts w:asciiTheme="majorHAnsi" w:hAnsiTheme="majorHAnsi" w:cs="Arial"/>
                <w:sz w:val="20"/>
                <w:szCs w:val="20"/>
                <w:highlight w:val="yellow"/>
              </w:rPr>
            </w:pPr>
            <w:r>
              <w:rPr>
                <w:rFonts w:ascii="Times New Roman" w:eastAsia="Times New Roman" w:hAnsi="Times New Roman" w:cs="Times New Roman"/>
                <w:noProof/>
                <w:sz w:val="16"/>
                <w:szCs w:val="16"/>
              </w:rPr>
              <w:drawing>
                <wp:anchor distT="0" distB="0" distL="114300" distR="114300" simplePos="0" relativeHeight="251659264" behindDoc="0" locked="0" layoutInCell="1" allowOverlap="1" wp14:anchorId="1E322768" wp14:editId="1A42E982">
                  <wp:simplePos x="0" y="0"/>
                  <wp:positionH relativeFrom="column">
                    <wp:posOffset>-887095</wp:posOffset>
                  </wp:positionH>
                  <wp:positionV relativeFrom="paragraph">
                    <wp:posOffset>-161925</wp:posOffset>
                  </wp:positionV>
                  <wp:extent cx="1073150" cy="992505"/>
                  <wp:effectExtent l="0" t="0" r="0" b="0"/>
                  <wp:wrapThrough wrapText="bothSides">
                    <wp:wrapPolygon edited="0">
                      <wp:start x="12653" y="0"/>
                      <wp:lineTo x="4601" y="2488"/>
                      <wp:lineTo x="3067" y="3317"/>
                      <wp:lineTo x="3067" y="6633"/>
                      <wp:lineTo x="0" y="11608"/>
                      <wp:lineTo x="0" y="12438"/>
                      <wp:lineTo x="1534" y="14096"/>
                      <wp:lineTo x="2301" y="20315"/>
                      <wp:lineTo x="12653" y="21144"/>
                      <wp:lineTo x="14570" y="21144"/>
                      <wp:lineTo x="15337" y="19900"/>
                      <wp:lineTo x="20705" y="14096"/>
                      <wp:lineTo x="20705" y="12438"/>
                      <wp:lineTo x="17638" y="7048"/>
                      <wp:lineTo x="16488" y="6633"/>
                      <wp:lineTo x="14570" y="0"/>
                      <wp:lineTo x="12653"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073150" cy="99250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3DB53976" w14:textId="77777777" w:rsidR="00C4748A" w:rsidRPr="00EE0E12" w:rsidRDefault="00C4748A" w:rsidP="005F089B">
      <w:pPr>
        <w:pStyle w:val="tier1Itext"/>
      </w:pPr>
    </w:p>
    <w:p w14:paraId="56A37752" w14:textId="77777777" w:rsidR="0077170A" w:rsidRPr="009E316F" w:rsidRDefault="0077170A" w:rsidP="009D01BE">
      <w:pPr>
        <w:pStyle w:val="Ttulo1"/>
        <w:rPr>
          <w:lang w:val="pt-BR"/>
        </w:rPr>
      </w:pPr>
      <w:bookmarkStart w:id="289" w:name="_Ref414612820"/>
      <w:bookmarkStart w:id="290" w:name="_Ref414613028"/>
      <w:bookmarkStart w:id="291" w:name="_Toc527990446"/>
      <w:r w:rsidRPr="009E316F">
        <w:rPr>
          <w:lang w:val="pt-BR"/>
        </w:rPr>
        <w:lastRenderedPageBreak/>
        <w:t>RESPONSÁVEIS TÉCNICOS PELA EXECUÇÃO DO PEI</w:t>
      </w:r>
      <w:bookmarkEnd w:id="289"/>
      <w:bookmarkEnd w:id="290"/>
      <w:bookmarkEnd w:id="291"/>
    </w:p>
    <w:p w14:paraId="5825751B" w14:textId="5A4B590F" w:rsidR="001517D6" w:rsidRDefault="00241AFC" w:rsidP="001517D6">
      <w:pPr>
        <w:pStyle w:val="tier1Itext"/>
        <w:rPr>
          <w:szCs w:val="22"/>
        </w:rPr>
      </w:pPr>
      <w:r w:rsidRPr="00EE0E12">
        <w:t>Ser</w:t>
      </w:r>
      <w:r w:rsidR="00BE50FC" w:rsidRPr="00EE0E12">
        <w:t>ão</w:t>
      </w:r>
      <w:r w:rsidRPr="00EE0E12">
        <w:t xml:space="preserve"> responsáve</w:t>
      </w:r>
      <w:r w:rsidR="00BE50FC" w:rsidRPr="00EE0E12">
        <w:t>is</w:t>
      </w:r>
      <w:r w:rsidRPr="00EE0E12">
        <w:t xml:space="preserve"> </w:t>
      </w:r>
      <w:r w:rsidR="00BE50FC" w:rsidRPr="00EE0E12">
        <w:t xml:space="preserve">pela execução do Plano de Emergência Individual (PEI) o Comandante </w:t>
      </w:r>
      <w:r w:rsidR="003A4AA2" w:rsidRPr="00EE0E12">
        <w:t xml:space="preserve">Local </w:t>
      </w:r>
      <w:r w:rsidR="00BE50FC" w:rsidRPr="00EE0E12">
        <w:t>do Incidente (IC Local) e</w:t>
      </w:r>
      <w:r w:rsidR="003A4AA2" w:rsidRPr="00EE0E12">
        <w:t>, quando for acionada a Equipe de Gerenciamento de Incidentes (IMT), o</w:t>
      </w:r>
      <w:r w:rsidR="00BE50FC" w:rsidRPr="00EE0E12">
        <w:t xml:space="preserve"> Comandante do Incidente</w:t>
      </w:r>
      <w:r w:rsidR="003A4AA2" w:rsidRPr="00EE0E12">
        <w:t xml:space="preserve"> (IC), conforme apresentado na</w:t>
      </w:r>
      <w:r w:rsidR="00AD6624">
        <w:t xml:space="preserve"> </w:t>
      </w:r>
      <w:bookmarkStart w:id="292" w:name="_Ref414370115"/>
      <w:r w:rsidR="001517D6" w:rsidRPr="001517D6">
        <w:rPr>
          <w:szCs w:val="22"/>
        </w:rPr>
        <w:fldChar w:fldCharType="begin"/>
      </w:r>
      <w:r w:rsidR="001517D6" w:rsidRPr="001517D6">
        <w:rPr>
          <w:szCs w:val="22"/>
        </w:rPr>
        <w:instrText xml:space="preserve"> REF _Ref414639567 \h </w:instrText>
      </w:r>
      <w:r w:rsidR="001517D6">
        <w:rPr>
          <w:szCs w:val="22"/>
        </w:rPr>
        <w:instrText xml:space="preserve"> \* MERGEFORMAT </w:instrText>
      </w:r>
      <w:r w:rsidR="001517D6" w:rsidRPr="001517D6">
        <w:rPr>
          <w:szCs w:val="22"/>
        </w:rPr>
      </w:r>
      <w:r w:rsidR="001517D6" w:rsidRPr="001517D6">
        <w:rPr>
          <w:szCs w:val="22"/>
        </w:rPr>
        <w:fldChar w:fldCharType="separate"/>
      </w:r>
      <w:r w:rsidR="00CD1E9E" w:rsidRPr="00CD1E9E">
        <w:rPr>
          <w:b/>
          <w:szCs w:val="22"/>
        </w:rPr>
        <w:t xml:space="preserve">Tabela </w:t>
      </w:r>
      <w:r w:rsidR="00CD1E9E" w:rsidRPr="004B2C3C">
        <w:rPr>
          <w:b/>
          <w:noProof/>
          <w:szCs w:val="22"/>
          <w:highlight w:val="lightGray"/>
        </w:rPr>
        <w:t>22</w:t>
      </w:r>
      <w:r w:rsidR="001517D6" w:rsidRPr="001517D6">
        <w:rPr>
          <w:szCs w:val="22"/>
        </w:rPr>
        <w:fldChar w:fldCharType="end"/>
      </w:r>
      <w:r w:rsidR="001517D6">
        <w:rPr>
          <w:szCs w:val="22"/>
        </w:rPr>
        <w:t>.</w:t>
      </w:r>
    </w:p>
    <w:tbl>
      <w:tblPr>
        <w:tblW w:w="5000" w:type="pct"/>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left w:w="70" w:type="dxa"/>
          <w:right w:w="70" w:type="dxa"/>
        </w:tblCellMar>
        <w:tblLook w:val="0000" w:firstRow="0" w:lastRow="0" w:firstColumn="0" w:lastColumn="0" w:noHBand="0" w:noVBand="0"/>
      </w:tblPr>
      <w:tblGrid>
        <w:gridCol w:w="2375"/>
        <w:gridCol w:w="1304"/>
        <w:gridCol w:w="3390"/>
        <w:gridCol w:w="1971"/>
      </w:tblGrid>
      <w:tr w:rsidR="00C4748A" w:rsidRPr="005F089B" w14:paraId="5C025E6D" w14:textId="77777777" w:rsidTr="00D63951">
        <w:trPr>
          <w:cantSplit/>
          <w:trHeight w:val="397"/>
          <w:tblHeader/>
          <w:jc w:val="center"/>
        </w:trPr>
        <w:tc>
          <w:tcPr>
            <w:tcW w:w="5000" w:type="pct"/>
            <w:gridSpan w:val="4"/>
            <w:shd w:val="clear" w:color="auto" w:fill="auto"/>
            <w:vAlign w:val="center"/>
          </w:tcPr>
          <w:p w14:paraId="3A294329" w14:textId="3CAD4F0D" w:rsidR="00C4748A" w:rsidRPr="005F089B" w:rsidRDefault="00C4748A" w:rsidP="00D63951">
            <w:pPr>
              <w:spacing w:before="0" w:line="240" w:lineRule="auto"/>
              <w:jc w:val="left"/>
              <w:rPr>
                <w:rFonts w:asciiTheme="majorHAnsi" w:hAnsiTheme="majorHAnsi" w:cs="Arial"/>
                <w:b/>
                <w:bCs/>
                <w:caps/>
                <w:color w:val="FFFFFF"/>
                <w:sz w:val="20"/>
                <w:szCs w:val="20"/>
              </w:rPr>
            </w:pPr>
            <w:bookmarkStart w:id="293" w:name="_Ref414639567"/>
            <w:bookmarkStart w:id="294" w:name="_Toc527990497"/>
            <w:r w:rsidRPr="005F089B">
              <w:rPr>
                <w:rFonts w:asciiTheme="majorHAnsi" w:hAnsiTheme="majorHAnsi"/>
                <w:b/>
                <w:sz w:val="20"/>
                <w:szCs w:val="20"/>
              </w:rPr>
              <w:t xml:space="preserve">Tabela </w:t>
            </w:r>
            <w:r w:rsidRPr="004B2C3C">
              <w:rPr>
                <w:rFonts w:asciiTheme="majorHAnsi" w:hAnsiTheme="majorHAnsi"/>
                <w:b/>
                <w:sz w:val="20"/>
                <w:szCs w:val="20"/>
                <w:highlight w:val="lightGray"/>
              </w:rPr>
              <w:fldChar w:fldCharType="begin"/>
            </w:r>
            <w:r w:rsidRPr="004B2C3C">
              <w:rPr>
                <w:rFonts w:asciiTheme="majorHAnsi" w:hAnsiTheme="majorHAnsi"/>
                <w:b/>
                <w:sz w:val="20"/>
                <w:szCs w:val="20"/>
                <w:highlight w:val="lightGray"/>
              </w:rPr>
              <w:instrText xml:space="preserve"> SEQ Tabela \* ARABIC </w:instrText>
            </w:r>
            <w:r w:rsidRPr="004B2C3C">
              <w:rPr>
                <w:rFonts w:asciiTheme="majorHAnsi" w:hAnsiTheme="majorHAnsi"/>
                <w:b/>
                <w:sz w:val="20"/>
                <w:szCs w:val="20"/>
                <w:highlight w:val="lightGray"/>
              </w:rPr>
              <w:fldChar w:fldCharType="separate"/>
            </w:r>
            <w:r w:rsidR="00CD1E9E" w:rsidRPr="004B2C3C">
              <w:rPr>
                <w:rFonts w:asciiTheme="majorHAnsi" w:hAnsiTheme="majorHAnsi"/>
                <w:b/>
                <w:noProof/>
                <w:sz w:val="20"/>
                <w:szCs w:val="20"/>
                <w:highlight w:val="lightGray"/>
              </w:rPr>
              <w:t>22</w:t>
            </w:r>
            <w:r w:rsidRPr="004B2C3C">
              <w:rPr>
                <w:rFonts w:asciiTheme="majorHAnsi" w:hAnsiTheme="majorHAnsi"/>
                <w:b/>
                <w:sz w:val="20"/>
                <w:szCs w:val="20"/>
                <w:highlight w:val="lightGray"/>
              </w:rPr>
              <w:fldChar w:fldCharType="end"/>
            </w:r>
            <w:bookmarkEnd w:id="293"/>
            <w:r>
              <w:rPr>
                <w:rFonts w:asciiTheme="majorHAnsi" w:hAnsiTheme="majorHAnsi"/>
                <w:b/>
                <w:sz w:val="20"/>
                <w:szCs w:val="20"/>
              </w:rPr>
              <w:t>:</w:t>
            </w:r>
            <w:r w:rsidRPr="005F089B">
              <w:rPr>
                <w:rFonts w:asciiTheme="majorHAnsi" w:hAnsiTheme="majorHAnsi"/>
                <w:b/>
                <w:sz w:val="20"/>
                <w:szCs w:val="20"/>
              </w:rPr>
              <w:t xml:space="preserve"> Informações sobre os responsáveis técnicos pela execução do Plano de Emergência Individual (PEI).</w:t>
            </w:r>
            <w:bookmarkEnd w:id="294"/>
          </w:p>
        </w:tc>
      </w:tr>
      <w:tr w:rsidR="00C4748A" w:rsidRPr="005F089B" w14:paraId="1299B547" w14:textId="77777777" w:rsidTr="00D63951">
        <w:trPr>
          <w:cantSplit/>
          <w:tblHeader/>
          <w:jc w:val="center"/>
        </w:trPr>
        <w:tc>
          <w:tcPr>
            <w:tcW w:w="1314" w:type="pct"/>
            <w:shd w:val="clear" w:color="auto" w:fill="1F497D" w:themeFill="text2"/>
            <w:vAlign w:val="center"/>
          </w:tcPr>
          <w:p w14:paraId="61ED4FF7" w14:textId="77777777" w:rsidR="00C4748A" w:rsidRPr="005F089B" w:rsidRDefault="00C4748A" w:rsidP="00D63951">
            <w:pPr>
              <w:pStyle w:val="Textodenotaderodap"/>
              <w:spacing w:before="0"/>
              <w:jc w:val="center"/>
              <w:rPr>
                <w:rFonts w:asciiTheme="majorHAnsi" w:hAnsiTheme="majorHAnsi" w:cs="Arial"/>
                <w:b/>
                <w:bCs/>
                <w:caps/>
                <w:color w:val="FFFFFF" w:themeColor="background1"/>
              </w:rPr>
            </w:pPr>
            <w:r w:rsidRPr="005F089B">
              <w:rPr>
                <w:rFonts w:asciiTheme="majorHAnsi" w:hAnsiTheme="majorHAnsi" w:cs="Arial"/>
                <w:b/>
                <w:bCs/>
                <w:color w:val="FFFFFF" w:themeColor="background1"/>
              </w:rPr>
              <w:t>Nome &amp;</w:t>
            </w:r>
            <w:r w:rsidRPr="005F089B">
              <w:rPr>
                <w:rFonts w:asciiTheme="majorHAnsi" w:hAnsiTheme="majorHAnsi" w:cs="Arial"/>
                <w:b/>
                <w:bCs/>
                <w:caps/>
                <w:color w:val="FFFFFF" w:themeColor="background1"/>
              </w:rPr>
              <w:t xml:space="preserve"> </w:t>
            </w:r>
            <w:r w:rsidRPr="005F089B">
              <w:rPr>
                <w:rFonts w:asciiTheme="majorHAnsi" w:hAnsiTheme="majorHAnsi" w:cs="Arial"/>
                <w:b/>
                <w:bCs/>
                <w:color w:val="FFFFFF" w:themeColor="background1"/>
              </w:rPr>
              <w:t>Função</w:t>
            </w:r>
          </w:p>
        </w:tc>
        <w:tc>
          <w:tcPr>
            <w:tcW w:w="721" w:type="pct"/>
            <w:shd w:val="clear" w:color="auto" w:fill="1F497D" w:themeFill="text2"/>
            <w:vAlign w:val="center"/>
          </w:tcPr>
          <w:p w14:paraId="6821A4CC" w14:textId="77777777" w:rsidR="00C4748A" w:rsidRPr="005F089B" w:rsidRDefault="00C4748A" w:rsidP="00D63951">
            <w:pPr>
              <w:spacing w:before="0" w:line="240" w:lineRule="auto"/>
              <w:jc w:val="center"/>
              <w:rPr>
                <w:rFonts w:asciiTheme="majorHAnsi" w:hAnsiTheme="majorHAnsi" w:cs="Arial"/>
                <w:b/>
                <w:bCs/>
                <w:caps/>
                <w:color w:val="FFFFFF" w:themeColor="background1"/>
                <w:sz w:val="20"/>
                <w:szCs w:val="20"/>
              </w:rPr>
            </w:pPr>
            <w:r w:rsidRPr="005F089B">
              <w:rPr>
                <w:rFonts w:asciiTheme="majorHAnsi" w:hAnsiTheme="majorHAnsi" w:cs="Arial"/>
                <w:b/>
                <w:bCs/>
                <w:color w:val="FFFFFF" w:themeColor="background1"/>
                <w:sz w:val="20"/>
                <w:szCs w:val="20"/>
              </w:rPr>
              <w:t>Empresa ou Instituição</w:t>
            </w:r>
          </w:p>
        </w:tc>
        <w:tc>
          <w:tcPr>
            <w:tcW w:w="1875" w:type="pct"/>
            <w:shd w:val="clear" w:color="auto" w:fill="1F497D" w:themeFill="text2"/>
            <w:vAlign w:val="center"/>
          </w:tcPr>
          <w:p w14:paraId="6DBC1FCA" w14:textId="77777777" w:rsidR="00C4748A" w:rsidRPr="005F089B" w:rsidRDefault="00C4748A" w:rsidP="00D63951">
            <w:pPr>
              <w:spacing w:before="0" w:line="240" w:lineRule="auto"/>
              <w:jc w:val="center"/>
              <w:rPr>
                <w:rFonts w:asciiTheme="majorHAnsi" w:hAnsiTheme="majorHAnsi" w:cs="Arial"/>
                <w:b/>
                <w:bCs/>
                <w:caps/>
                <w:color w:val="FFFFFF" w:themeColor="background1"/>
                <w:sz w:val="20"/>
                <w:szCs w:val="20"/>
              </w:rPr>
            </w:pPr>
            <w:r w:rsidRPr="005F089B">
              <w:rPr>
                <w:rFonts w:asciiTheme="majorHAnsi" w:hAnsiTheme="majorHAnsi" w:cs="Arial"/>
                <w:b/>
                <w:bCs/>
                <w:color w:val="FFFFFF" w:themeColor="background1"/>
                <w:sz w:val="20"/>
                <w:szCs w:val="20"/>
              </w:rPr>
              <w:t>Função</w:t>
            </w:r>
          </w:p>
        </w:tc>
        <w:tc>
          <w:tcPr>
            <w:tcW w:w="1090" w:type="pct"/>
            <w:shd w:val="clear" w:color="auto" w:fill="1F497D" w:themeFill="text2"/>
            <w:vAlign w:val="center"/>
          </w:tcPr>
          <w:p w14:paraId="651C87FC" w14:textId="77777777" w:rsidR="00C4748A" w:rsidRPr="005F089B" w:rsidRDefault="00C4748A" w:rsidP="00D63951">
            <w:pPr>
              <w:spacing w:before="0" w:line="240" w:lineRule="auto"/>
              <w:jc w:val="center"/>
              <w:rPr>
                <w:rFonts w:asciiTheme="majorHAnsi" w:hAnsiTheme="majorHAnsi" w:cs="Arial"/>
                <w:b/>
                <w:bCs/>
                <w:caps/>
                <w:color w:val="FFFFFF" w:themeColor="background1"/>
                <w:sz w:val="20"/>
                <w:szCs w:val="20"/>
              </w:rPr>
            </w:pPr>
            <w:r w:rsidRPr="005F089B">
              <w:rPr>
                <w:rFonts w:asciiTheme="majorHAnsi" w:hAnsiTheme="majorHAnsi" w:cs="Arial"/>
                <w:b/>
                <w:bCs/>
                <w:color w:val="FFFFFF" w:themeColor="background1"/>
                <w:sz w:val="20"/>
                <w:szCs w:val="20"/>
              </w:rPr>
              <w:t>Assinatura</w:t>
            </w:r>
          </w:p>
        </w:tc>
      </w:tr>
      <w:tr w:rsidR="00C4748A" w:rsidRPr="005F089B" w14:paraId="28448091" w14:textId="77777777" w:rsidTr="00D63951">
        <w:trPr>
          <w:cantSplit/>
          <w:jc w:val="center"/>
        </w:trPr>
        <w:tc>
          <w:tcPr>
            <w:tcW w:w="1314" w:type="pct"/>
            <w:shd w:val="clear" w:color="auto" w:fill="D9D9D9" w:themeFill="background1" w:themeFillShade="D9"/>
            <w:vAlign w:val="center"/>
          </w:tcPr>
          <w:p w14:paraId="2DCC1965" w14:textId="77777777" w:rsidR="00C4748A" w:rsidRPr="002C6FAB" w:rsidRDefault="00C4748A" w:rsidP="00D63951">
            <w:pPr>
              <w:spacing w:before="0" w:line="240" w:lineRule="auto"/>
              <w:jc w:val="left"/>
              <w:rPr>
                <w:rFonts w:asciiTheme="majorHAnsi" w:hAnsiTheme="majorHAnsi" w:cs="Arial"/>
                <w:sz w:val="20"/>
                <w:szCs w:val="20"/>
              </w:rPr>
            </w:pPr>
            <w:r w:rsidRPr="002C6FAB">
              <w:rPr>
                <w:rFonts w:asciiTheme="majorHAnsi" w:hAnsiTheme="majorHAnsi" w:cs="Arial"/>
                <w:sz w:val="20"/>
                <w:szCs w:val="20"/>
              </w:rPr>
              <w:t>Comandante Local do Incidente (IC Local)</w:t>
            </w:r>
          </w:p>
        </w:tc>
        <w:tc>
          <w:tcPr>
            <w:tcW w:w="721" w:type="pct"/>
            <w:shd w:val="clear" w:color="auto" w:fill="D9D9D9" w:themeFill="background1" w:themeFillShade="D9"/>
            <w:vAlign w:val="center"/>
          </w:tcPr>
          <w:p w14:paraId="09F6FECD" w14:textId="77777777" w:rsidR="00C4748A" w:rsidRPr="002C6FAB" w:rsidRDefault="00C4748A" w:rsidP="00D63951">
            <w:pPr>
              <w:spacing w:before="0" w:line="240" w:lineRule="auto"/>
              <w:jc w:val="center"/>
              <w:rPr>
                <w:rFonts w:asciiTheme="majorHAnsi" w:hAnsiTheme="majorHAnsi" w:cs="Arial"/>
                <w:sz w:val="20"/>
                <w:szCs w:val="20"/>
              </w:rPr>
            </w:pPr>
            <w:r w:rsidRPr="002C6FAB">
              <w:rPr>
                <w:rFonts w:asciiTheme="majorHAnsi" w:hAnsiTheme="majorHAnsi" w:cs="Arial"/>
                <w:sz w:val="20"/>
                <w:szCs w:val="20"/>
              </w:rPr>
              <w:t>BP Energy do Brasil</w:t>
            </w:r>
            <w:r w:rsidRPr="002C6FAB">
              <w:rPr>
                <w:rStyle w:val="Refdenotaderodap"/>
                <w:rFonts w:asciiTheme="majorHAnsi" w:hAnsiTheme="majorHAnsi" w:cs="Arial"/>
                <w:sz w:val="20"/>
                <w:szCs w:val="20"/>
              </w:rPr>
              <w:footnoteReference w:id="53"/>
            </w:r>
          </w:p>
        </w:tc>
        <w:tc>
          <w:tcPr>
            <w:tcW w:w="1875" w:type="pct"/>
            <w:shd w:val="clear" w:color="auto" w:fill="D9D9D9" w:themeFill="background1" w:themeFillShade="D9"/>
            <w:vAlign w:val="center"/>
          </w:tcPr>
          <w:p w14:paraId="6399C068" w14:textId="77777777" w:rsidR="00C4748A" w:rsidRPr="002C6FAB" w:rsidRDefault="00C4748A" w:rsidP="00D63951">
            <w:pPr>
              <w:spacing w:before="0" w:line="240" w:lineRule="auto"/>
              <w:jc w:val="left"/>
              <w:rPr>
                <w:rFonts w:asciiTheme="majorHAnsi" w:hAnsiTheme="majorHAnsi" w:cs="Arial"/>
                <w:sz w:val="20"/>
                <w:szCs w:val="20"/>
              </w:rPr>
            </w:pPr>
            <w:r w:rsidRPr="002C6FAB">
              <w:rPr>
                <w:rFonts w:asciiTheme="majorHAnsi" w:hAnsiTheme="majorHAnsi" w:cs="Arial"/>
                <w:sz w:val="20"/>
                <w:szCs w:val="20"/>
              </w:rPr>
              <w:t>Garantir o acionamento e cumprimento do PEI na ocorrência de derramamento de óleo para o mar.</w:t>
            </w:r>
          </w:p>
        </w:tc>
        <w:tc>
          <w:tcPr>
            <w:tcW w:w="1090" w:type="pct"/>
            <w:shd w:val="clear" w:color="auto" w:fill="D9D9D9" w:themeFill="background1" w:themeFillShade="D9"/>
            <w:vAlign w:val="center"/>
          </w:tcPr>
          <w:p w14:paraId="1C774FFE" w14:textId="77777777" w:rsidR="00C4748A" w:rsidRPr="00E049DA" w:rsidRDefault="00C4748A" w:rsidP="00D63951">
            <w:pPr>
              <w:spacing w:before="0" w:line="240" w:lineRule="auto"/>
              <w:jc w:val="center"/>
              <w:rPr>
                <w:rFonts w:asciiTheme="majorHAnsi" w:hAnsiTheme="majorHAnsi" w:cs="Arial"/>
                <w:sz w:val="20"/>
                <w:szCs w:val="20"/>
                <w:highlight w:val="yellow"/>
              </w:rPr>
            </w:pPr>
          </w:p>
        </w:tc>
      </w:tr>
      <w:tr w:rsidR="00C4748A" w:rsidRPr="005F089B" w14:paraId="6EC7217F" w14:textId="77777777" w:rsidTr="00D63951">
        <w:trPr>
          <w:cantSplit/>
          <w:jc w:val="center"/>
        </w:trPr>
        <w:tc>
          <w:tcPr>
            <w:tcW w:w="1314" w:type="pct"/>
            <w:shd w:val="clear" w:color="auto" w:fill="D9D9D9" w:themeFill="background1" w:themeFillShade="D9"/>
            <w:vAlign w:val="center"/>
          </w:tcPr>
          <w:p w14:paraId="6705047A" w14:textId="77777777" w:rsidR="00C4748A" w:rsidRPr="005F089B" w:rsidRDefault="00C4748A" w:rsidP="00D63951">
            <w:pPr>
              <w:spacing w:before="0" w:line="240" w:lineRule="auto"/>
              <w:jc w:val="left"/>
              <w:rPr>
                <w:rFonts w:asciiTheme="majorHAnsi" w:hAnsiTheme="majorHAnsi" w:cs="Arial"/>
                <w:sz w:val="20"/>
                <w:szCs w:val="20"/>
              </w:rPr>
            </w:pPr>
            <w:r w:rsidRPr="005F089B">
              <w:rPr>
                <w:rFonts w:asciiTheme="majorHAnsi" w:hAnsiTheme="majorHAnsi" w:cs="Arial"/>
                <w:sz w:val="20"/>
                <w:szCs w:val="20"/>
              </w:rPr>
              <w:t>Comandante do Incidente (IC)</w:t>
            </w:r>
            <w:r w:rsidRPr="005F089B">
              <w:rPr>
                <w:rStyle w:val="Refdenotaderodap"/>
                <w:rFonts w:asciiTheme="majorHAnsi" w:hAnsiTheme="majorHAnsi" w:cs="Arial"/>
                <w:sz w:val="20"/>
                <w:szCs w:val="20"/>
              </w:rPr>
              <w:footnoteReference w:id="54"/>
            </w:r>
          </w:p>
        </w:tc>
        <w:tc>
          <w:tcPr>
            <w:tcW w:w="721" w:type="pct"/>
            <w:shd w:val="clear" w:color="auto" w:fill="D9D9D9" w:themeFill="background1" w:themeFillShade="D9"/>
            <w:vAlign w:val="center"/>
          </w:tcPr>
          <w:p w14:paraId="4689B94D" w14:textId="77777777" w:rsidR="00C4748A" w:rsidRPr="005F089B" w:rsidRDefault="00C4748A" w:rsidP="00D63951">
            <w:pPr>
              <w:spacing w:before="0" w:line="240" w:lineRule="auto"/>
              <w:jc w:val="center"/>
              <w:rPr>
                <w:rFonts w:asciiTheme="majorHAnsi" w:hAnsiTheme="majorHAnsi" w:cs="Arial"/>
                <w:sz w:val="20"/>
                <w:szCs w:val="20"/>
              </w:rPr>
            </w:pPr>
            <w:r w:rsidRPr="005F089B">
              <w:rPr>
                <w:rFonts w:asciiTheme="majorHAnsi" w:hAnsiTheme="majorHAnsi" w:cs="Arial"/>
                <w:sz w:val="20"/>
                <w:szCs w:val="20"/>
              </w:rPr>
              <w:t>BP Energy do Brasil</w:t>
            </w:r>
          </w:p>
        </w:tc>
        <w:tc>
          <w:tcPr>
            <w:tcW w:w="1875" w:type="pct"/>
            <w:shd w:val="clear" w:color="auto" w:fill="D9D9D9" w:themeFill="background1" w:themeFillShade="D9"/>
            <w:vAlign w:val="center"/>
          </w:tcPr>
          <w:p w14:paraId="2C9697EA" w14:textId="77777777" w:rsidR="00C4748A" w:rsidRPr="005F089B" w:rsidRDefault="00C4748A" w:rsidP="00D63951">
            <w:pPr>
              <w:spacing w:before="0" w:line="240" w:lineRule="auto"/>
              <w:jc w:val="left"/>
              <w:rPr>
                <w:rFonts w:asciiTheme="majorHAnsi" w:hAnsiTheme="majorHAnsi" w:cs="Arial"/>
                <w:sz w:val="20"/>
                <w:szCs w:val="20"/>
              </w:rPr>
            </w:pPr>
            <w:r w:rsidRPr="005F089B">
              <w:rPr>
                <w:rFonts w:asciiTheme="majorHAnsi" w:hAnsiTheme="majorHAnsi" w:cs="Arial"/>
                <w:sz w:val="20"/>
                <w:szCs w:val="20"/>
              </w:rPr>
              <w:t>Garantir o acionamento e cumprimento do PEI na ocorrência de derramamento de óleo para o mar.</w:t>
            </w:r>
          </w:p>
        </w:tc>
        <w:tc>
          <w:tcPr>
            <w:tcW w:w="1090" w:type="pct"/>
            <w:shd w:val="clear" w:color="auto" w:fill="D9D9D9" w:themeFill="background1" w:themeFillShade="D9"/>
            <w:vAlign w:val="center"/>
          </w:tcPr>
          <w:p w14:paraId="284EB6CA" w14:textId="77777777" w:rsidR="00C4748A" w:rsidRPr="005F089B" w:rsidRDefault="00C4748A" w:rsidP="00D63951">
            <w:pPr>
              <w:spacing w:before="0" w:line="240" w:lineRule="auto"/>
              <w:jc w:val="center"/>
              <w:rPr>
                <w:rFonts w:asciiTheme="majorHAnsi" w:hAnsiTheme="majorHAnsi" w:cs="Arial"/>
                <w:sz w:val="20"/>
                <w:szCs w:val="20"/>
                <w:highlight w:val="yellow"/>
              </w:rPr>
            </w:pPr>
          </w:p>
        </w:tc>
      </w:tr>
    </w:tbl>
    <w:p w14:paraId="1276DA20" w14:textId="27A5DDED" w:rsidR="00C4748A" w:rsidRDefault="00C4748A" w:rsidP="001517D6">
      <w:pPr>
        <w:pStyle w:val="tier1Itext"/>
        <w:rPr>
          <w:szCs w:val="22"/>
        </w:rPr>
      </w:pPr>
    </w:p>
    <w:p w14:paraId="227B0DAE" w14:textId="77777777" w:rsidR="0077170A" w:rsidRPr="009D01BE" w:rsidRDefault="0077170A" w:rsidP="009D01BE">
      <w:pPr>
        <w:pStyle w:val="Ttulo1"/>
      </w:pPr>
      <w:bookmarkStart w:id="295" w:name="_Ref414612808"/>
      <w:bookmarkStart w:id="296" w:name="_Ref414613019"/>
      <w:bookmarkStart w:id="297" w:name="_Toc527990447"/>
      <w:bookmarkEnd w:id="292"/>
      <w:r w:rsidRPr="009D01BE">
        <w:t>REFERÊNCIAS BIBLIOGRÁFICAS</w:t>
      </w:r>
      <w:bookmarkEnd w:id="295"/>
      <w:bookmarkEnd w:id="296"/>
      <w:bookmarkEnd w:id="297"/>
    </w:p>
    <w:tbl>
      <w:tblPr>
        <w:tblW w:w="9215" w:type="dxa"/>
        <w:tblInd w:w="-5" w:type="dxa"/>
        <w:tblCellMar>
          <w:left w:w="70" w:type="dxa"/>
          <w:right w:w="70" w:type="dxa"/>
        </w:tblCellMar>
        <w:tblLook w:val="04A0" w:firstRow="1" w:lastRow="0" w:firstColumn="1" w:lastColumn="0" w:noHBand="0" w:noVBand="1"/>
      </w:tblPr>
      <w:tblGrid>
        <w:gridCol w:w="9819"/>
      </w:tblGrid>
      <w:tr w:rsidR="00E049DA" w:rsidRPr="0015091A" w14:paraId="5C7D5F11" w14:textId="77777777" w:rsidTr="002C6FAB">
        <w:trPr>
          <w:trHeight w:val="20"/>
        </w:trPr>
        <w:tc>
          <w:tcPr>
            <w:tcW w:w="9215" w:type="dxa"/>
            <w:shd w:val="clear" w:color="auto" w:fill="auto"/>
            <w:vAlign w:val="center"/>
            <w:hideMark/>
          </w:tcPr>
          <w:bookmarkEnd w:id="17"/>
          <w:p w14:paraId="65C89EB4" w14:textId="3A4BDA14" w:rsidR="00D82944" w:rsidRPr="0015091A" w:rsidRDefault="00E049DA" w:rsidP="00D82944">
            <w:pPr>
              <w:spacing w:after="240" w:line="240" w:lineRule="auto"/>
              <w:jc w:val="left"/>
              <w:rPr>
                <w:rFonts w:ascii="Cambria" w:eastAsia="Times New Roman" w:hAnsi="Cambria" w:cs="Arial"/>
                <w:color w:val="000000"/>
              </w:rPr>
            </w:pPr>
            <w:r w:rsidRPr="0015091A">
              <w:rPr>
                <w:rFonts w:ascii="Cambria" w:eastAsia="Times New Roman" w:hAnsi="Cambria" w:cs="Arial"/>
                <w:color w:val="000000"/>
              </w:rPr>
              <w:t xml:space="preserve">AGÊNCIA NACIONAL DO PETRÓLEO, GÁS NATURAL E BIOCOMBUSTÍVEIS (ANP), </w:t>
            </w:r>
            <w:r w:rsidRPr="0015091A">
              <w:rPr>
                <w:rFonts w:ascii="Cambria" w:eastAsia="Times New Roman" w:hAnsi="Cambria" w:cs="Arial"/>
                <w:b/>
                <w:color w:val="000000"/>
              </w:rPr>
              <w:t>Resolução</w:t>
            </w:r>
            <w:r w:rsidRPr="0015091A">
              <w:rPr>
                <w:rFonts w:ascii="Cambria" w:eastAsia="Times New Roman" w:hAnsi="Cambria" w:cs="Arial"/>
                <w:color w:val="000000"/>
              </w:rPr>
              <w:t xml:space="preserve"> </w:t>
            </w:r>
            <w:r w:rsidRPr="0015091A">
              <w:rPr>
                <w:rFonts w:ascii="Cambria" w:eastAsia="Times New Roman" w:hAnsi="Cambria" w:cs="Arial"/>
                <w:b/>
                <w:color w:val="000000"/>
              </w:rPr>
              <w:t>ANP</w:t>
            </w:r>
            <w:r w:rsidRPr="0015091A">
              <w:rPr>
                <w:rFonts w:ascii="Cambria" w:eastAsia="Times New Roman" w:hAnsi="Cambria" w:cs="Arial"/>
                <w:color w:val="000000"/>
              </w:rPr>
              <w:t xml:space="preserve"> Nº 44, de 22 de dezembro de 2009, Publicada no DOU de 24 de dezembro de 2009. Estabelece procedimento para comunicação de incidentes a ANP, a ser adotado pelos concessionários e empresas autorizadas pela ANP a exercer as atividades da indústria do petróleo, do gás natural e dos biocombustíveis, bem como distribuição e revenda, 4p.</w:t>
            </w:r>
          </w:p>
        </w:tc>
      </w:tr>
      <w:tr w:rsidR="00D82944" w:rsidRPr="0015091A" w14:paraId="72B87DCC" w14:textId="77777777" w:rsidTr="00CE6488">
        <w:trPr>
          <w:trHeight w:val="20"/>
        </w:trPr>
        <w:tc>
          <w:tcPr>
            <w:tcW w:w="9215" w:type="dxa"/>
            <w:shd w:val="clear" w:color="auto" w:fill="auto"/>
            <w:vAlign w:val="center"/>
            <w:hideMark/>
          </w:tcPr>
          <w:p w14:paraId="7544FD5B" w14:textId="4C3F1F56" w:rsidR="00D82944" w:rsidRPr="0015091A" w:rsidRDefault="00D82944" w:rsidP="001B07F3">
            <w:pPr>
              <w:spacing w:before="0" w:line="240" w:lineRule="auto"/>
              <w:jc w:val="left"/>
              <w:rPr>
                <w:rFonts w:ascii="Cambria" w:eastAsia="Times New Roman" w:hAnsi="Cambria" w:cs="Arial"/>
                <w:color w:val="000000"/>
              </w:rPr>
            </w:pPr>
            <w:r w:rsidRPr="0015091A">
              <w:rPr>
                <w:rFonts w:ascii="Cambria" w:eastAsia="Times New Roman" w:hAnsi="Cambria" w:cs="Arial"/>
                <w:color w:val="000000"/>
              </w:rPr>
              <w:t xml:space="preserve">AGÊNCIA NACIONAL DO PETRÓLEO, GÁS NATURAL E BIOCOMBUSTÍVEIS (ANP), </w:t>
            </w:r>
            <w:r w:rsidRPr="00D82944">
              <w:rPr>
                <w:rFonts w:ascii="Cambria" w:eastAsia="Times New Roman" w:hAnsi="Cambria" w:cs="Arial"/>
                <w:b/>
                <w:color w:val="000000"/>
              </w:rPr>
              <w:t xml:space="preserve">Manual de Comunicação de Incidentes de Exploração e Produção de Petróleo e Gás </w:t>
            </w:r>
            <w:r>
              <w:rPr>
                <w:rFonts w:ascii="Cambria" w:eastAsia="Times New Roman" w:hAnsi="Cambria" w:cs="Arial"/>
                <w:b/>
                <w:color w:val="000000"/>
              </w:rPr>
              <w:t>N</w:t>
            </w:r>
            <w:r w:rsidRPr="00D82944">
              <w:rPr>
                <w:rFonts w:ascii="Cambria" w:eastAsia="Times New Roman" w:hAnsi="Cambria" w:cs="Arial"/>
                <w:b/>
                <w:color w:val="000000"/>
              </w:rPr>
              <w:t>atural</w:t>
            </w:r>
            <w:r>
              <w:rPr>
                <w:rFonts w:ascii="Cambria" w:eastAsia="Times New Roman" w:hAnsi="Cambria" w:cs="Arial"/>
                <w:b/>
                <w:color w:val="000000"/>
              </w:rPr>
              <w:t xml:space="preserve"> – Versão 3</w:t>
            </w:r>
            <w:r w:rsidRPr="0015091A">
              <w:rPr>
                <w:rFonts w:ascii="Cambria" w:eastAsia="Times New Roman" w:hAnsi="Cambria" w:cs="Arial"/>
                <w:color w:val="000000"/>
              </w:rPr>
              <w:t xml:space="preserve">, de </w:t>
            </w:r>
            <w:r>
              <w:rPr>
                <w:rFonts w:ascii="Cambria" w:eastAsia="Times New Roman" w:hAnsi="Cambria" w:cs="Arial"/>
                <w:color w:val="000000"/>
              </w:rPr>
              <w:t xml:space="preserve">19 </w:t>
            </w:r>
            <w:r w:rsidRPr="0015091A">
              <w:rPr>
                <w:rFonts w:ascii="Cambria" w:eastAsia="Times New Roman" w:hAnsi="Cambria" w:cs="Arial"/>
                <w:color w:val="000000"/>
              </w:rPr>
              <w:t xml:space="preserve">de </w:t>
            </w:r>
            <w:r>
              <w:rPr>
                <w:rFonts w:ascii="Cambria" w:eastAsia="Times New Roman" w:hAnsi="Cambria" w:cs="Arial"/>
                <w:color w:val="000000"/>
              </w:rPr>
              <w:t xml:space="preserve">janeiro </w:t>
            </w:r>
            <w:r w:rsidRPr="0015091A">
              <w:rPr>
                <w:rFonts w:ascii="Cambria" w:eastAsia="Times New Roman" w:hAnsi="Cambria" w:cs="Arial"/>
                <w:color w:val="000000"/>
              </w:rPr>
              <w:t>de 20</w:t>
            </w:r>
            <w:r>
              <w:rPr>
                <w:rFonts w:ascii="Cambria" w:eastAsia="Times New Roman" w:hAnsi="Cambria" w:cs="Arial"/>
                <w:color w:val="000000"/>
              </w:rPr>
              <w:t>17</w:t>
            </w:r>
            <w:r w:rsidRPr="0015091A">
              <w:rPr>
                <w:rFonts w:ascii="Cambria" w:eastAsia="Times New Roman" w:hAnsi="Cambria" w:cs="Arial"/>
                <w:color w:val="000000"/>
              </w:rPr>
              <w:t xml:space="preserve">,  </w:t>
            </w:r>
            <w:r w:rsidR="001B07F3">
              <w:rPr>
                <w:rFonts w:ascii="Cambria" w:eastAsia="Times New Roman" w:hAnsi="Cambria" w:cs="Arial"/>
                <w:color w:val="000000"/>
              </w:rPr>
              <w:t>67</w:t>
            </w:r>
            <w:r w:rsidRPr="0015091A">
              <w:rPr>
                <w:rFonts w:ascii="Cambria" w:eastAsia="Times New Roman" w:hAnsi="Cambria" w:cs="Arial"/>
                <w:color w:val="000000"/>
              </w:rPr>
              <w:t>p.</w:t>
            </w:r>
          </w:p>
        </w:tc>
      </w:tr>
      <w:tr w:rsidR="00E049DA" w:rsidRPr="0015091A" w14:paraId="4A52EDFC" w14:textId="77777777" w:rsidTr="002C6FAB">
        <w:trPr>
          <w:trHeight w:val="20"/>
        </w:trPr>
        <w:tc>
          <w:tcPr>
            <w:tcW w:w="9215" w:type="dxa"/>
            <w:shd w:val="clear" w:color="auto" w:fill="auto"/>
            <w:vAlign w:val="center"/>
            <w:hideMark/>
          </w:tcPr>
          <w:p w14:paraId="0AFA0BEF" w14:textId="77777777" w:rsidR="00D82944" w:rsidRDefault="00D82944" w:rsidP="00D82944">
            <w:pPr>
              <w:spacing w:before="0" w:after="120" w:line="240" w:lineRule="auto"/>
              <w:jc w:val="left"/>
              <w:rPr>
                <w:rFonts w:ascii="Cambria" w:eastAsia="Times New Roman" w:hAnsi="Cambria" w:cs="Times New Roman"/>
              </w:rPr>
            </w:pPr>
          </w:p>
          <w:p w14:paraId="50B4FCCC" w14:textId="77777777" w:rsidR="00E049DA" w:rsidRPr="0015091A" w:rsidRDefault="00E049DA" w:rsidP="00D82944">
            <w:pPr>
              <w:spacing w:before="0" w:after="120" w:line="240" w:lineRule="auto"/>
              <w:jc w:val="left"/>
              <w:rPr>
                <w:rFonts w:ascii="Cambria" w:eastAsia="Times New Roman" w:hAnsi="Cambria" w:cs="Times New Roman"/>
              </w:rPr>
            </w:pPr>
            <w:r w:rsidRPr="0015091A">
              <w:rPr>
                <w:rFonts w:ascii="Cambria" w:eastAsia="Times New Roman" w:hAnsi="Cambria" w:cs="Times New Roman"/>
              </w:rPr>
              <w:t>ANP, Website Institucional, Disponível em:&lt;</w:t>
            </w:r>
            <w:hyperlink r:id="rId84" w:history="1">
              <w:r w:rsidRPr="0015091A">
                <w:rPr>
                  <w:rStyle w:val="Hyperlink"/>
                  <w:rFonts w:ascii="Cambria" w:eastAsia="Times New Roman" w:hAnsi="Cambria" w:cs="Times New Roman"/>
                </w:rPr>
                <w:t>www.anp.gov.br</w:t>
              </w:r>
            </w:hyperlink>
            <w:r w:rsidRPr="0015091A">
              <w:rPr>
                <w:rFonts w:ascii="Cambria" w:eastAsia="Times New Roman" w:hAnsi="Cambria" w:cs="Times New Roman"/>
              </w:rPr>
              <w:t xml:space="preserve">&gt;. </w:t>
            </w:r>
            <w:r w:rsidRPr="002C6FAB">
              <w:rPr>
                <w:rFonts w:ascii="Cambria" w:eastAsia="Times New Roman" w:hAnsi="Cambria" w:cs="Times New Roman"/>
              </w:rPr>
              <w:t>Acesso em 31 ago. 2012.</w:t>
            </w:r>
          </w:p>
        </w:tc>
      </w:tr>
      <w:tr w:rsidR="00E049DA" w:rsidRPr="0015091A" w14:paraId="64BF9E35" w14:textId="77777777" w:rsidTr="002C6FAB">
        <w:trPr>
          <w:trHeight w:val="20"/>
        </w:trPr>
        <w:tc>
          <w:tcPr>
            <w:tcW w:w="9215" w:type="dxa"/>
            <w:shd w:val="clear" w:color="auto" w:fill="auto"/>
            <w:vAlign w:val="center"/>
            <w:hideMark/>
          </w:tcPr>
          <w:p w14:paraId="6A80A826" w14:textId="77777777" w:rsidR="00E049DA" w:rsidRPr="0015091A" w:rsidRDefault="00E049DA" w:rsidP="009D01BE">
            <w:pPr>
              <w:spacing w:after="120" w:line="240" w:lineRule="auto"/>
              <w:jc w:val="left"/>
              <w:rPr>
                <w:rFonts w:ascii="Cambria" w:eastAsia="Times New Roman" w:hAnsi="Cambria" w:cs="Arial"/>
              </w:rPr>
            </w:pPr>
            <w:r w:rsidRPr="0015091A">
              <w:rPr>
                <w:rFonts w:ascii="Cambria" w:eastAsia="Times New Roman" w:hAnsi="Cambria" w:cs="Arial"/>
                <w:lang w:val="en-US"/>
              </w:rPr>
              <w:t xml:space="preserve">ARPEL, </w:t>
            </w:r>
            <w:r w:rsidRPr="0015091A">
              <w:rPr>
                <w:rFonts w:ascii="Cambria" w:eastAsia="Times New Roman" w:hAnsi="Cambria" w:cs="Arial"/>
                <w:b/>
                <w:bCs/>
                <w:lang w:val="en-US"/>
              </w:rPr>
              <w:t xml:space="preserve">Guidelines for the Use of Dispersants on Oil Spills. </w:t>
            </w:r>
            <w:r w:rsidRPr="0015091A">
              <w:rPr>
                <w:rFonts w:ascii="Cambria" w:eastAsia="Times New Roman" w:hAnsi="Cambria" w:cs="Arial"/>
                <w:b/>
                <w:bCs/>
              </w:rPr>
              <w:t>ARPEL Environmental Guidelines Nº 41</w:t>
            </w:r>
            <w:r w:rsidRPr="0015091A">
              <w:rPr>
                <w:rFonts w:ascii="Cambria" w:eastAsia="Times New Roman" w:hAnsi="Cambria" w:cs="Arial"/>
              </w:rPr>
              <w:t xml:space="preserve">, Fevereiro, 2007, 65 pp. </w:t>
            </w:r>
          </w:p>
        </w:tc>
      </w:tr>
      <w:tr w:rsidR="00E049DA" w:rsidRPr="0015091A" w14:paraId="7E239D01" w14:textId="77777777" w:rsidTr="002C6FAB">
        <w:trPr>
          <w:trHeight w:val="20"/>
        </w:trPr>
        <w:tc>
          <w:tcPr>
            <w:tcW w:w="9215" w:type="dxa"/>
            <w:shd w:val="clear" w:color="auto" w:fill="auto"/>
            <w:vAlign w:val="center"/>
            <w:hideMark/>
          </w:tcPr>
          <w:p w14:paraId="26254061" w14:textId="57D639DA"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lang w:val="en-US"/>
              </w:rPr>
              <w:t xml:space="preserve">BONN AGREEMENT - Current Status of the BAOAC, 2007. </w:t>
            </w:r>
            <w:r w:rsidRPr="0015091A">
              <w:rPr>
                <w:rFonts w:ascii="Cambria" w:eastAsia="Times New Roman" w:hAnsi="Cambria" w:cs="Times New Roman"/>
                <w:color w:val="000000"/>
              </w:rPr>
              <w:t>Disponível em: &lt;http://www.bonnagreement.org/site/assets/files/3952/current-status-report-final-19jan07.pdf&gt; Acesso em</w:t>
            </w:r>
            <w:r w:rsidR="00656D39">
              <w:rPr>
                <w:rFonts w:ascii="Cambria" w:eastAsia="Times New Roman" w:hAnsi="Cambria" w:cs="Times New Roman"/>
                <w:color w:val="000000"/>
              </w:rPr>
              <w:t xml:space="preserve"> </w:t>
            </w:r>
            <w:r w:rsidRPr="0015091A">
              <w:rPr>
                <w:rFonts w:ascii="Cambria" w:eastAsia="Times New Roman" w:hAnsi="Cambria" w:cs="Times New Roman"/>
                <w:color w:val="000000"/>
              </w:rPr>
              <w:t>21 jan. 2015.</w:t>
            </w:r>
          </w:p>
        </w:tc>
      </w:tr>
      <w:tr w:rsidR="00E049DA" w:rsidRPr="009D286F" w14:paraId="5AD9DA82" w14:textId="77777777" w:rsidTr="002C6FAB">
        <w:trPr>
          <w:trHeight w:val="20"/>
        </w:trPr>
        <w:tc>
          <w:tcPr>
            <w:tcW w:w="9215" w:type="dxa"/>
            <w:shd w:val="clear" w:color="auto" w:fill="auto"/>
            <w:vAlign w:val="center"/>
            <w:hideMark/>
          </w:tcPr>
          <w:p w14:paraId="374B326A" w14:textId="77777777" w:rsidR="00E049DA" w:rsidRPr="0015091A" w:rsidRDefault="00E049DA" w:rsidP="009D01BE">
            <w:pPr>
              <w:spacing w:after="120" w:line="240" w:lineRule="auto"/>
              <w:jc w:val="left"/>
              <w:rPr>
                <w:rFonts w:ascii="Cambria" w:eastAsia="Times New Roman" w:hAnsi="Cambria" w:cs="Times New Roman"/>
                <w:lang w:val="en-US"/>
              </w:rPr>
            </w:pPr>
            <w:r w:rsidRPr="0015091A">
              <w:rPr>
                <w:rFonts w:ascii="Cambria" w:eastAsia="Times New Roman" w:hAnsi="Cambria" w:cs="Times New Roman"/>
                <w:bCs/>
                <w:lang w:val="en-US"/>
              </w:rPr>
              <w:t>BONN AGREEMENT</w:t>
            </w:r>
            <w:r w:rsidRPr="0015091A">
              <w:rPr>
                <w:rFonts w:ascii="Cambria" w:eastAsia="Times New Roman" w:hAnsi="Cambria" w:cs="Times New Roman"/>
                <w:b/>
                <w:bCs/>
                <w:lang w:val="en-US"/>
              </w:rPr>
              <w:t>, Bonn Agreement Oil Appearance Code</w:t>
            </w:r>
            <w:r w:rsidRPr="0015091A">
              <w:rPr>
                <w:rFonts w:ascii="Cambria" w:eastAsia="Times New Roman" w:hAnsi="Cambria" w:cs="Times New Roman"/>
                <w:lang w:val="en-US"/>
              </w:rPr>
              <w:t xml:space="preserve"> </w:t>
            </w:r>
            <w:r w:rsidRPr="0015091A">
              <w:rPr>
                <w:rFonts w:ascii="Cambria" w:eastAsia="Times New Roman" w:hAnsi="Cambria" w:cs="Times New Roman"/>
                <w:b/>
                <w:lang w:val="en-US"/>
              </w:rPr>
              <w:t>(BAOAC) Photo Atlas</w:t>
            </w:r>
            <w:r w:rsidRPr="0015091A">
              <w:rPr>
                <w:rFonts w:ascii="Cambria" w:eastAsia="Times New Roman" w:hAnsi="Cambria" w:cs="Times New Roman"/>
                <w:lang w:val="en-US"/>
              </w:rPr>
              <w:t xml:space="preserve">, Junho, 2011, 94 p. </w:t>
            </w:r>
          </w:p>
        </w:tc>
      </w:tr>
      <w:tr w:rsidR="00E049DA" w:rsidRPr="0015091A" w14:paraId="13EBC308" w14:textId="77777777" w:rsidTr="002C6FAB">
        <w:trPr>
          <w:trHeight w:val="20"/>
        </w:trPr>
        <w:tc>
          <w:tcPr>
            <w:tcW w:w="9215" w:type="dxa"/>
            <w:shd w:val="clear" w:color="auto" w:fill="auto"/>
            <w:vAlign w:val="center"/>
            <w:hideMark/>
          </w:tcPr>
          <w:p w14:paraId="72A08A6F" w14:textId="09E3D9C8" w:rsidR="00E049DA" w:rsidRPr="0015091A" w:rsidRDefault="00E049DA" w:rsidP="009D01BE">
            <w:pPr>
              <w:spacing w:after="120" w:line="240" w:lineRule="auto"/>
              <w:jc w:val="left"/>
              <w:rPr>
                <w:rFonts w:ascii="Cambria" w:eastAsia="Times New Roman" w:hAnsi="Cambria" w:cs="Arial"/>
                <w:color w:val="000000"/>
              </w:rPr>
            </w:pPr>
            <w:r w:rsidRPr="0015091A">
              <w:rPr>
                <w:rFonts w:ascii="Cambria" w:eastAsia="Times New Roman" w:hAnsi="Cambria" w:cs="Arial"/>
                <w:bCs/>
                <w:color w:val="000000"/>
                <w:lang w:val="en-US"/>
              </w:rPr>
              <w:lastRenderedPageBreak/>
              <w:t>BONN AGREEMENT.</w:t>
            </w:r>
            <w:r w:rsidRPr="0015091A">
              <w:rPr>
                <w:rFonts w:ascii="Cambria" w:eastAsia="Times New Roman" w:hAnsi="Cambria" w:cs="Arial"/>
                <w:b/>
                <w:bCs/>
                <w:color w:val="000000"/>
                <w:lang w:val="en-US"/>
              </w:rPr>
              <w:t xml:space="preserve"> Bonn Agreement Aerial Operations Handbook</w:t>
            </w:r>
            <w:r w:rsidRPr="0015091A">
              <w:rPr>
                <w:rFonts w:ascii="Cambria" w:eastAsia="Times New Roman" w:hAnsi="Cambria" w:cs="Arial"/>
                <w:color w:val="000000"/>
                <w:lang w:val="en-US"/>
              </w:rPr>
              <w:t xml:space="preserve">: Part 3 - Annex A – BAOAC. </w:t>
            </w:r>
            <w:r w:rsidRPr="0015091A">
              <w:rPr>
                <w:rFonts w:ascii="Cambria" w:eastAsia="Times New Roman" w:hAnsi="Cambria" w:cs="Arial"/>
                <w:color w:val="000000"/>
              </w:rPr>
              <w:t>Rev 19, Holanda, Maio, 2009</w:t>
            </w:r>
            <w:r w:rsidR="00656D39">
              <w:rPr>
                <w:rFonts w:ascii="Cambria" w:eastAsia="Times New Roman" w:hAnsi="Cambria" w:cs="Arial"/>
                <w:color w:val="000000"/>
              </w:rPr>
              <w:t>.</w:t>
            </w:r>
            <w:r w:rsidRPr="0015091A">
              <w:rPr>
                <w:rFonts w:ascii="Cambria" w:eastAsia="Times New Roman" w:hAnsi="Cambria" w:cs="Arial"/>
                <w:color w:val="000000"/>
              </w:rPr>
              <w:t>106 p.</w:t>
            </w:r>
          </w:p>
        </w:tc>
      </w:tr>
      <w:tr w:rsidR="002261AA" w:rsidRPr="0015091A" w14:paraId="30451FEE" w14:textId="77777777" w:rsidTr="002C6FAB">
        <w:trPr>
          <w:trHeight w:val="20"/>
        </w:trPr>
        <w:tc>
          <w:tcPr>
            <w:tcW w:w="9215" w:type="dxa"/>
            <w:shd w:val="clear" w:color="auto" w:fill="auto"/>
            <w:vAlign w:val="center"/>
            <w:hideMark/>
          </w:tcPr>
          <w:p w14:paraId="56A5C360" w14:textId="77777777" w:rsidR="002261AA" w:rsidRPr="0015091A" w:rsidRDefault="002261AA" w:rsidP="009D01BE">
            <w:pPr>
              <w:spacing w:after="120" w:line="240" w:lineRule="auto"/>
              <w:jc w:val="left"/>
              <w:rPr>
                <w:rFonts w:ascii="Cambria" w:eastAsia="Times New Roman" w:hAnsi="Cambria" w:cs="Arial"/>
                <w:color w:val="000000"/>
                <w:highlight w:val="green"/>
              </w:rPr>
            </w:pPr>
            <w:r w:rsidRPr="0015091A">
              <w:rPr>
                <w:rFonts w:ascii="Cambria" w:eastAsia="Times New Roman" w:hAnsi="Cambria" w:cs="Arial"/>
                <w:color w:val="000000"/>
              </w:rPr>
              <w:t xml:space="preserve">BP. </w:t>
            </w:r>
            <w:r w:rsidR="00511B28" w:rsidRPr="002C6FAB">
              <w:rPr>
                <w:rFonts w:ascii="Cambria" w:eastAsia="Times New Roman" w:hAnsi="Cambria" w:cs="Arial"/>
                <w:b/>
                <w:color w:val="000000"/>
              </w:rPr>
              <w:t>Global</w:t>
            </w:r>
            <w:r w:rsidR="00511B28">
              <w:rPr>
                <w:rFonts w:ascii="Cambria" w:eastAsia="Times New Roman" w:hAnsi="Cambria" w:cs="Arial"/>
                <w:color w:val="000000"/>
              </w:rPr>
              <w:t xml:space="preserve"> </w:t>
            </w:r>
            <w:r w:rsidRPr="0015091A">
              <w:rPr>
                <w:rFonts w:ascii="Cambria" w:eastAsia="Times New Roman" w:hAnsi="Cambria" w:cs="Arial"/>
                <w:b/>
                <w:color w:val="000000"/>
              </w:rPr>
              <w:t>Response Tactics Manual</w:t>
            </w:r>
            <w:r w:rsidRPr="0015091A">
              <w:rPr>
                <w:rFonts w:ascii="Cambria" w:eastAsia="Times New Roman" w:hAnsi="Cambria" w:cs="Arial"/>
                <w:color w:val="000000"/>
              </w:rPr>
              <w:t xml:space="preserve">, 2012, </w:t>
            </w:r>
            <w:r w:rsidRPr="00CF4C24">
              <w:rPr>
                <w:rFonts w:ascii="Cambria" w:eastAsia="Times New Roman" w:hAnsi="Cambria" w:cs="Arial"/>
                <w:color w:val="000000"/>
                <w:lang w:val="en-US"/>
              </w:rPr>
              <w:t>507 p.</w:t>
            </w:r>
          </w:p>
        </w:tc>
      </w:tr>
      <w:tr w:rsidR="00E049DA" w:rsidRPr="009D286F" w14:paraId="3AFD8EBC" w14:textId="77777777" w:rsidTr="002C6FAB">
        <w:trPr>
          <w:trHeight w:val="20"/>
        </w:trPr>
        <w:tc>
          <w:tcPr>
            <w:tcW w:w="9215" w:type="dxa"/>
            <w:shd w:val="clear" w:color="auto" w:fill="auto"/>
            <w:vAlign w:val="center"/>
            <w:hideMark/>
          </w:tcPr>
          <w:p w14:paraId="66E6B012" w14:textId="77777777" w:rsidR="00E049DA" w:rsidRPr="0015091A" w:rsidRDefault="00E049DA" w:rsidP="009D01BE">
            <w:pPr>
              <w:spacing w:after="120" w:line="240" w:lineRule="auto"/>
              <w:jc w:val="left"/>
              <w:rPr>
                <w:rFonts w:ascii="Cambria" w:eastAsia="Times New Roman" w:hAnsi="Cambria" w:cs="Arial"/>
                <w:color w:val="000000"/>
                <w:highlight w:val="green"/>
                <w:lang w:val="en-US"/>
              </w:rPr>
            </w:pPr>
            <w:r w:rsidRPr="0015091A">
              <w:rPr>
                <w:rFonts w:ascii="Cambria" w:eastAsia="Times New Roman" w:hAnsi="Cambria" w:cs="Arial"/>
                <w:color w:val="000000"/>
                <w:lang w:val="en-US"/>
              </w:rPr>
              <w:t xml:space="preserve">BP ENERGY DO BRASIL, 2011. </w:t>
            </w:r>
            <w:r w:rsidRPr="0015091A">
              <w:rPr>
                <w:rFonts w:ascii="Cambria" w:eastAsia="Times New Roman" w:hAnsi="Cambria" w:cs="Arial"/>
                <w:b/>
                <w:color w:val="000000"/>
                <w:lang w:val="en-US"/>
              </w:rPr>
              <w:t>Oil Spill Response Operations Plan (OSROP)</w:t>
            </w:r>
            <w:r w:rsidRPr="0015091A">
              <w:rPr>
                <w:rFonts w:ascii="Cambria" w:eastAsia="Times New Roman" w:hAnsi="Cambria" w:cs="Arial"/>
                <w:color w:val="000000"/>
                <w:lang w:val="en-US"/>
              </w:rPr>
              <w:t xml:space="preserve"> – BP-SOR-CR-A-P4.6-001, 2011, </w:t>
            </w:r>
            <w:r w:rsidR="004C02ED" w:rsidRPr="002C6FAB">
              <w:rPr>
                <w:rFonts w:ascii="Cambria" w:eastAsia="Times New Roman" w:hAnsi="Cambria" w:cs="Arial"/>
                <w:color w:val="000000"/>
                <w:lang w:val="en-US"/>
              </w:rPr>
              <w:t xml:space="preserve">156 </w:t>
            </w:r>
            <w:r w:rsidRPr="002C6FAB">
              <w:rPr>
                <w:rFonts w:ascii="Cambria" w:eastAsia="Times New Roman" w:hAnsi="Cambria" w:cs="Arial"/>
                <w:color w:val="000000"/>
                <w:lang w:val="en-US"/>
              </w:rPr>
              <w:t>p.</w:t>
            </w:r>
          </w:p>
        </w:tc>
      </w:tr>
      <w:tr w:rsidR="00E049DA" w:rsidRPr="009D286F" w14:paraId="06712940" w14:textId="77777777" w:rsidTr="002C6FAB">
        <w:trPr>
          <w:trHeight w:val="20"/>
        </w:trPr>
        <w:tc>
          <w:tcPr>
            <w:tcW w:w="9215" w:type="dxa"/>
            <w:shd w:val="clear" w:color="auto" w:fill="auto"/>
            <w:vAlign w:val="center"/>
            <w:hideMark/>
          </w:tcPr>
          <w:p w14:paraId="2C59A73A" w14:textId="77777777" w:rsidR="00E049DA" w:rsidRPr="0015091A" w:rsidRDefault="00E049DA" w:rsidP="009D01BE">
            <w:pPr>
              <w:spacing w:after="120" w:line="240" w:lineRule="auto"/>
              <w:jc w:val="left"/>
              <w:rPr>
                <w:rFonts w:ascii="Cambria" w:eastAsia="Times New Roman" w:hAnsi="Cambria" w:cs="Arial"/>
                <w:color w:val="000000"/>
                <w:highlight w:val="green"/>
                <w:lang w:val="en-US"/>
              </w:rPr>
            </w:pPr>
            <w:r w:rsidRPr="0015091A">
              <w:rPr>
                <w:rFonts w:ascii="Cambria" w:eastAsia="Times New Roman" w:hAnsi="Cambria" w:cs="Arial"/>
                <w:color w:val="000000"/>
                <w:lang w:val="en-US"/>
              </w:rPr>
              <w:t xml:space="preserve">BP ENERGY DO BRASIL, 2011. </w:t>
            </w:r>
            <w:r w:rsidRPr="0015091A">
              <w:rPr>
                <w:rFonts w:ascii="Cambria" w:eastAsia="Times New Roman" w:hAnsi="Cambria" w:cs="Arial"/>
                <w:b/>
                <w:color w:val="000000"/>
                <w:lang w:val="en-US"/>
              </w:rPr>
              <w:t>SCAT Programme Manual for Oil Spill Planning and Response Operations</w:t>
            </w:r>
            <w:r w:rsidRPr="0015091A">
              <w:rPr>
                <w:rFonts w:ascii="Cambria" w:eastAsia="Times New Roman" w:hAnsi="Cambria" w:cs="Arial"/>
                <w:color w:val="000000"/>
                <w:lang w:val="en-US"/>
              </w:rPr>
              <w:t xml:space="preserve"> - Polaris Applied Science Inc., 2011, </w:t>
            </w:r>
            <w:r w:rsidR="004C02ED" w:rsidRPr="002C6FAB">
              <w:rPr>
                <w:rFonts w:ascii="Cambria" w:eastAsia="Times New Roman" w:hAnsi="Cambria" w:cs="Arial"/>
                <w:color w:val="000000"/>
                <w:lang w:val="en-US"/>
              </w:rPr>
              <w:t xml:space="preserve">123 </w:t>
            </w:r>
            <w:r w:rsidRPr="002C6FAB">
              <w:rPr>
                <w:rFonts w:ascii="Cambria" w:eastAsia="Times New Roman" w:hAnsi="Cambria" w:cs="Arial"/>
                <w:color w:val="000000"/>
                <w:lang w:val="en-US"/>
              </w:rPr>
              <w:t>p.</w:t>
            </w:r>
          </w:p>
        </w:tc>
      </w:tr>
      <w:tr w:rsidR="00E049DA" w:rsidRPr="009D286F" w14:paraId="72DFFE4A" w14:textId="77777777" w:rsidTr="002C6FAB">
        <w:trPr>
          <w:trHeight w:val="20"/>
        </w:trPr>
        <w:tc>
          <w:tcPr>
            <w:tcW w:w="9215" w:type="dxa"/>
            <w:shd w:val="clear" w:color="auto" w:fill="auto"/>
            <w:vAlign w:val="center"/>
            <w:hideMark/>
          </w:tcPr>
          <w:p w14:paraId="3E48332C" w14:textId="77777777" w:rsidR="00E049DA" w:rsidRPr="0015091A" w:rsidRDefault="00E049DA" w:rsidP="009D01BE">
            <w:pPr>
              <w:spacing w:after="120" w:line="240" w:lineRule="auto"/>
              <w:jc w:val="left"/>
              <w:rPr>
                <w:rFonts w:ascii="Cambria" w:eastAsia="Times New Roman" w:hAnsi="Cambria" w:cs="Arial"/>
                <w:color w:val="000000"/>
                <w:highlight w:val="green"/>
                <w:lang w:val="en-US"/>
              </w:rPr>
            </w:pPr>
            <w:r w:rsidRPr="0015091A">
              <w:rPr>
                <w:rFonts w:ascii="Cambria" w:eastAsia="Times New Roman" w:hAnsi="Cambria" w:cs="Arial"/>
                <w:color w:val="000000"/>
                <w:lang w:val="en-US"/>
              </w:rPr>
              <w:t xml:space="preserve">BP ENERGY DO BRASIL. </w:t>
            </w:r>
            <w:r w:rsidRPr="0015091A">
              <w:rPr>
                <w:rFonts w:ascii="Cambria" w:eastAsia="Times New Roman" w:hAnsi="Cambria" w:cs="Arial"/>
                <w:b/>
                <w:color w:val="000000"/>
                <w:lang w:val="en-US"/>
              </w:rPr>
              <w:t>BP Brazil Capping and Containment Plan</w:t>
            </w:r>
            <w:r w:rsidR="004C02ED">
              <w:rPr>
                <w:rFonts w:ascii="Cambria" w:eastAsia="Times New Roman" w:hAnsi="Cambria" w:cs="Arial"/>
                <w:b/>
                <w:color w:val="000000"/>
                <w:lang w:val="en-US"/>
              </w:rPr>
              <w:t xml:space="preserve"> (BR00-DR-PLN-BP-0001)</w:t>
            </w:r>
            <w:r w:rsidRPr="0015091A">
              <w:rPr>
                <w:rFonts w:ascii="Cambria" w:eastAsia="Times New Roman" w:hAnsi="Cambria" w:cs="Arial"/>
                <w:color w:val="000000"/>
                <w:lang w:val="en-US"/>
              </w:rPr>
              <w:t xml:space="preserve">, 2012, </w:t>
            </w:r>
            <w:r w:rsidR="004C02ED" w:rsidRPr="002C6FAB">
              <w:rPr>
                <w:rFonts w:ascii="Cambria" w:eastAsia="Times New Roman" w:hAnsi="Cambria" w:cs="Arial"/>
                <w:color w:val="000000"/>
                <w:lang w:val="en-US"/>
              </w:rPr>
              <w:t xml:space="preserve">133 </w:t>
            </w:r>
            <w:r w:rsidRPr="002C6FAB">
              <w:rPr>
                <w:rFonts w:ascii="Cambria" w:eastAsia="Times New Roman" w:hAnsi="Cambria" w:cs="Arial"/>
                <w:color w:val="000000"/>
                <w:lang w:val="en-US"/>
              </w:rPr>
              <w:t>p.</w:t>
            </w:r>
          </w:p>
        </w:tc>
      </w:tr>
      <w:tr w:rsidR="00E049DA" w:rsidRPr="0015091A" w14:paraId="18E3E3A3" w14:textId="77777777" w:rsidTr="002C6FAB">
        <w:trPr>
          <w:trHeight w:val="20"/>
        </w:trPr>
        <w:tc>
          <w:tcPr>
            <w:tcW w:w="9215" w:type="dxa"/>
            <w:shd w:val="clear" w:color="auto" w:fill="auto"/>
            <w:vAlign w:val="center"/>
            <w:hideMark/>
          </w:tcPr>
          <w:p w14:paraId="162B5EE3" w14:textId="77777777" w:rsidR="00E049DA" w:rsidRPr="0015091A" w:rsidRDefault="00E049DA" w:rsidP="009D01BE">
            <w:pPr>
              <w:spacing w:after="120" w:line="240" w:lineRule="auto"/>
              <w:jc w:val="left"/>
              <w:rPr>
                <w:rFonts w:ascii="Cambria" w:eastAsia="Times New Roman" w:hAnsi="Cambria" w:cs="Arial"/>
                <w:color w:val="000000"/>
                <w:highlight w:val="green"/>
              </w:rPr>
            </w:pPr>
            <w:r w:rsidRPr="0015091A">
              <w:rPr>
                <w:rFonts w:ascii="Cambria" w:eastAsia="Times New Roman" w:hAnsi="Cambria" w:cs="Arial"/>
                <w:color w:val="000000"/>
              </w:rPr>
              <w:t xml:space="preserve">BP ENERGY DO BRASIL. </w:t>
            </w:r>
            <w:r w:rsidRPr="0015091A">
              <w:rPr>
                <w:rFonts w:ascii="Cambria" w:eastAsia="Times New Roman" w:hAnsi="Cambria" w:cs="Arial"/>
                <w:b/>
                <w:color w:val="000000"/>
              </w:rPr>
              <w:t>BP Brazil Waste Management Plan</w:t>
            </w:r>
            <w:r w:rsidRPr="0015091A">
              <w:rPr>
                <w:rFonts w:ascii="Cambria" w:eastAsia="Times New Roman" w:hAnsi="Cambria" w:cs="Arial"/>
                <w:color w:val="000000"/>
              </w:rPr>
              <w:t xml:space="preserve">, 2012 </w:t>
            </w:r>
            <w:r w:rsidR="002261AA" w:rsidRPr="002C6FAB">
              <w:rPr>
                <w:rFonts w:ascii="Cambria" w:eastAsia="Times New Roman" w:hAnsi="Cambria" w:cs="Arial"/>
                <w:color w:val="000000"/>
                <w:lang w:val="en-US"/>
              </w:rPr>
              <w:t xml:space="preserve">158 </w:t>
            </w:r>
            <w:r w:rsidRPr="002C6FAB">
              <w:rPr>
                <w:rFonts w:ascii="Cambria" w:eastAsia="Times New Roman" w:hAnsi="Cambria" w:cs="Arial"/>
                <w:color w:val="000000"/>
                <w:lang w:val="en-US"/>
              </w:rPr>
              <w:t>p.</w:t>
            </w:r>
          </w:p>
        </w:tc>
      </w:tr>
      <w:tr w:rsidR="00E049DA" w:rsidRPr="009D286F" w14:paraId="244F2BCA" w14:textId="77777777" w:rsidTr="002C6FAB">
        <w:trPr>
          <w:trHeight w:val="20"/>
        </w:trPr>
        <w:tc>
          <w:tcPr>
            <w:tcW w:w="9215" w:type="dxa"/>
            <w:shd w:val="clear" w:color="auto" w:fill="auto"/>
            <w:vAlign w:val="center"/>
            <w:hideMark/>
          </w:tcPr>
          <w:p w14:paraId="79A0AE64" w14:textId="77777777" w:rsidR="00E049DA" w:rsidRPr="0015091A" w:rsidRDefault="00E049DA" w:rsidP="009D01BE">
            <w:pPr>
              <w:spacing w:after="120" w:line="240" w:lineRule="auto"/>
              <w:jc w:val="left"/>
              <w:rPr>
                <w:rFonts w:ascii="Cambria" w:eastAsia="Times New Roman" w:hAnsi="Cambria" w:cs="Arial"/>
                <w:color w:val="000000"/>
                <w:highlight w:val="green"/>
                <w:lang w:val="en-US"/>
              </w:rPr>
            </w:pPr>
            <w:r w:rsidRPr="0015091A">
              <w:rPr>
                <w:rFonts w:ascii="Cambria" w:eastAsia="Times New Roman" w:hAnsi="Cambria" w:cs="Arial"/>
                <w:color w:val="000000"/>
                <w:lang w:val="en-US"/>
              </w:rPr>
              <w:t>BP</w:t>
            </w:r>
            <w:r w:rsidR="002261AA">
              <w:rPr>
                <w:rFonts w:ascii="Cambria" w:eastAsia="Times New Roman" w:hAnsi="Cambria" w:cs="Arial"/>
                <w:color w:val="000000"/>
                <w:lang w:val="en-US"/>
              </w:rPr>
              <w:t xml:space="preserve"> ENERGY DO BRASIL</w:t>
            </w:r>
            <w:r w:rsidRPr="0015091A">
              <w:rPr>
                <w:rFonts w:ascii="Cambria" w:eastAsia="Times New Roman" w:hAnsi="Cambria" w:cs="Arial"/>
                <w:color w:val="000000"/>
                <w:lang w:val="en-US"/>
              </w:rPr>
              <w:t xml:space="preserve">. </w:t>
            </w:r>
            <w:r w:rsidRPr="0015091A">
              <w:rPr>
                <w:rFonts w:ascii="Cambria" w:eastAsia="Times New Roman" w:hAnsi="Cambria" w:cs="Arial"/>
                <w:b/>
                <w:color w:val="000000"/>
                <w:lang w:val="en-US"/>
              </w:rPr>
              <w:t xml:space="preserve">Incident Management </w:t>
            </w:r>
            <w:r w:rsidR="002261AA">
              <w:rPr>
                <w:rFonts w:ascii="Cambria" w:eastAsia="Times New Roman" w:hAnsi="Cambria" w:cs="Arial"/>
                <w:b/>
                <w:color w:val="000000"/>
                <w:lang w:val="en-US"/>
              </w:rPr>
              <w:t>Plan (BR00SO-PLN-BP-0014)</w:t>
            </w:r>
            <w:r w:rsidRPr="0015091A">
              <w:rPr>
                <w:rFonts w:ascii="Cambria" w:eastAsia="Times New Roman" w:hAnsi="Cambria" w:cs="Arial"/>
                <w:color w:val="000000"/>
                <w:lang w:val="en-US"/>
              </w:rPr>
              <w:t xml:space="preserve">, </w:t>
            </w:r>
            <w:r w:rsidR="002261AA" w:rsidRPr="0015091A">
              <w:rPr>
                <w:rFonts w:ascii="Cambria" w:eastAsia="Times New Roman" w:hAnsi="Cambria" w:cs="Arial"/>
                <w:color w:val="000000"/>
                <w:lang w:val="en-US"/>
              </w:rPr>
              <w:t>20</w:t>
            </w:r>
            <w:r w:rsidR="002261AA">
              <w:rPr>
                <w:rFonts w:ascii="Cambria" w:eastAsia="Times New Roman" w:hAnsi="Cambria" w:cs="Arial"/>
                <w:color w:val="000000"/>
                <w:lang w:val="en-US"/>
              </w:rPr>
              <w:t>13</w:t>
            </w:r>
            <w:r w:rsidRPr="0015091A">
              <w:rPr>
                <w:rFonts w:ascii="Cambria" w:eastAsia="Times New Roman" w:hAnsi="Cambria" w:cs="Arial"/>
                <w:color w:val="000000"/>
                <w:lang w:val="en-US"/>
              </w:rPr>
              <w:t xml:space="preserve">, </w:t>
            </w:r>
            <w:r w:rsidR="002261AA">
              <w:rPr>
                <w:rFonts w:ascii="Cambria" w:eastAsia="Times New Roman" w:hAnsi="Cambria" w:cs="Arial"/>
                <w:color w:val="000000"/>
                <w:lang w:val="en-US"/>
              </w:rPr>
              <w:t>50</w:t>
            </w:r>
            <w:r w:rsidR="002261AA" w:rsidRPr="002C6FAB">
              <w:rPr>
                <w:rFonts w:ascii="Cambria" w:eastAsia="Times New Roman" w:hAnsi="Cambria" w:cs="Arial"/>
                <w:color w:val="000000"/>
                <w:lang w:val="en-US"/>
              </w:rPr>
              <w:t xml:space="preserve"> </w:t>
            </w:r>
            <w:r w:rsidRPr="002C6FAB">
              <w:rPr>
                <w:rFonts w:ascii="Cambria" w:eastAsia="Times New Roman" w:hAnsi="Cambria" w:cs="Arial"/>
                <w:color w:val="000000"/>
                <w:lang w:val="en-US"/>
              </w:rPr>
              <w:t>p.</w:t>
            </w:r>
          </w:p>
        </w:tc>
      </w:tr>
      <w:tr w:rsidR="00E049DA" w:rsidRPr="0015091A" w14:paraId="670B475D" w14:textId="77777777" w:rsidTr="002C6FAB">
        <w:trPr>
          <w:trHeight w:val="20"/>
        </w:trPr>
        <w:tc>
          <w:tcPr>
            <w:tcW w:w="9215" w:type="dxa"/>
            <w:shd w:val="clear" w:color="auto" w:fill="auto"/>
            <w:vAlign w:val="center"/>
            <w:hideMark/>
          </w:tcPr>
          <w:p w14:paraId="0C4FA8CC" w14:textId="77777777" w:rsidR="00E049DA" w:rsidRPr="0015091A" w:rsidRDefault="00E049DA" w:rsidP="009D01BE">
            <w:pPr>
              <w:spacing w:after="120" w:line="240" w:lineRule="auto"/>
              <w:jc w:val="left"/>
              <w:rPr>
                <w:rFonts w:ascii="Cambria" w:eastAsia="Times New Roman" w:hAnsi="Cambria" w:cs="Arial"/>
                <w:color w:val="000000"/>
                <w:highlight w:val="green"/>
              </w:rPr>
            </w:pPr>
            <w:r w:rsidRPr="0015091A">
              <w:rPr>
                <w:rFonts w:ascii="Cambria" w:eastAsia="Times New Roman" w:hAnsi="Cambria" w:cs="Arial"/>
                <w:color w:val="000000"/>
              </w:rPr>
              <w:t xml:space="preserve">BRASIL, </w:t>
            </w:r>
            <w:r w:rsidRPr="0015091A">
              <w:rPr>
                <w:rFonts w:ascii="Cambria" w:eastAsia="Times New Roman" w:hAnsi="Cambria" w:cs="Arial"/>
                <w:b/>
                <w:color w:val="000000"/>
              </w:rPr>
              <w:t>Decreto Federal</w:t>
            </w:r>
            <w:r w:rsidRPr="0015091A">
              <w:rPr>
                <w:rFonts w:ascii="Cambria" w:eastAsia="Times New Roman" w:hAnsi="Cambria" w:cs="Arial"/>
                <w:color w:val="000000"/>
              </w:rPr>
              <w:t xml:space="preserve"> Nº 4.136 de 20 de fevereiro de 2002. Dispõe sobre a especificação das sanções aplicáveis às infrações às regras de prevenção, controle e fiscalização da poluição causada por lançamento de óleo e outras substâncias nocivas ou perigosas em águas sob jurisdição nacional, prevista na Lei no 9.966, de 28 de abril de 2000, e dá outras providências. 2002.</w:t>
            </w:r>
          </w:p>
        </w:tc>
      </w:tr>
      <w:tr w:rsidR="00E049DA" w:rsidRPr="0015091A" w14:paraId="2611E0B9" w14:textId="77777777" w:rsidTr="002C6FAB">
        <w:trPr>
          <w:trHeight w:val="20"/>
        </w:trPr>
        <w:tc>
          <w:tcPr>
            <w:tcW w:w="9215" w:type="dxa"/>
            <w:shd w:val="clear" w:color="auto" w:fill="auto"/>
            <w:vAlign w:val="center"/>
            <w:hideMark/>
          </w:tcPr>
          <w:p w14:paraId="36BDAFE6" w14:textId="63FECD08" w:rsidR="00E049DA" w:rsidRPr="0015091A" w:rsidRDefault="00E049DA" w:rsidP="009D01BE">
            <w:pPr>
              <w:spacing w:after="120" w:line="240" w:lineRule="auto"/>
              <w:jc w:val="left"/>
              <w:rPr>
                <w:rFonts w:ascii="Cambria" w:eastAsia="Times New Roman" w:hAnsi="Cambria" w:cs="Arial"/>
                <w:color w:val="000000"/>
              </w:rPr>
            </w:pPr>
            <w:r w:rsidRPr="0015091A">
              <w:rPr>
                <w:rFonts w:ascii="Cambria" w:eastAsia="Times New Roman" w:hAnsi="Cambria" w:cs="Arial"/>
                <w:color w:val="000000"/>
              </w:rPr>
              <w:t xml:space="preserve">BRASIL, </w:t>
            </w:r>
            <w:r w:rsidRPr="0015091A">
              <w:rPr>
                <w:rFonts w:ascii="Cambria" w:eastAsia="Times New Roman" w:hAnsi="Cambria" w:cs="Arial"/>
                <w:b/>
                <w:color w:val="000000"/>
              </w:rPr>
              <w:t>Decreto Federal</w:t>
            </w:r>
            <w:r w:rsidRPr="0015091A">
              <w:rPr>
                <w:rFonts w:ascii="Cambria" w:eastAsia="Times New Roman" w:hAnsi="Cambria" w:cs="Arial"/>
                <w:color w:val="000000"/>
              </w:rPr>
              <w:t xml:space="preserve"> Nº 4.871/03, de 06 de novembro de 2003.</w:t>
            </w:r>
            <w:r w:rsidR="00656D39">
              <w:rPr>
                <w:rFonts w:ascii="Cambria" w:eastAsia="Times New Roman" w:hAnsi="Cambria" w:cs="Arial"/>
                <w:color w:val="000000"/>
              </w:rPr>
              <w:t xml:space="preserve"> </w:t>
            </w:r>
            <w:r w:rsidRPr="0015091A">
              <w:rPr>
                <w:rFonts w:ascii="Cambria" w:eastAsia="Times New Roman" w:hAnsi="Cambria" w:cs="Arial"/>
                <w:color w:val="000000"/>
              </w:rPr>
              <w:t>Dispõe sobre a instituição dos Planos de Áreas para o combate à poluição por óleo em águas sob jurisdição nacional e dá outras providências. 2003.</w:t>
            </w:r>
          </w:p>
        </w:tc>
      </w:tr>
      <w:tr w:rsidR="00E049DA" w:rsidRPr="0015091A" w14:paraId="34602C88" w14:textId="77777777" w:rsidTr="002C6FAB">
        <w:trPr>
          <w:trHeight w:val="20"/>
        </w:trPr>
        <w:tc>
          <w:tcPr>
            <w:tcW w:w="9215" w:type="dxa"/>
            <w:shd w:val="clear" w:color="auto" w:fill="auto"/>
            <w:vAlign w:val="center"/>
            <w:hideMark/>
          </w:tcPr>
          <w:p w14:paraId="16E6EEB4" w14:textId="77777777" w:rsidR="00E049DA" w:rsidRPr="0015091A" w:rsidRDefault="00E049DA" w:rsidP="009D01BE">
            <w:pPr>
              <w:spacing w:after="120" w:line="240" w:lineRule="auto"/>
              <w:jc w:val="left"/>
              <w:rPr>
                <w:rFonts w:ascii="Cambria" w:eastAsia="Times New Roman" w:hAnsi="Cambria" w:cs="Arial"/>
                <w:color w:val="000000"/>
                <w:highlight w:val="green"/>
              </w:rPr>
            </w:pPr>
            <w:r w:rsidRPr="0015091A">
              <w:rPr>
                <w:rFonts w:ascii="Cambria" w:eastAsia="Times New Roman" w:hAnsi="Cambria" w:cs="Arial"/>
                <w:color w:val="000000"/>
              </w:rPr>
              <w:t xml:space="preserve">BRASIL, </w:t>
            </w:r>
            <w:r w:rsidRPr="0015091A">
              <w:rPr>
                <w:rFonts w:ascii="Cambria" w:eastAsia="Times New Roman" w:hAnsi="Cambria" w:cs="Arial"/>
                <w:b/>
                <w:color w:val="000000"/>
              </w:rPr>
              <w:t>Lei Federal</w:t>
            </w:r>
            <w:r w:rsidRPr="0015091A">
              <w:rPr>
                <w:rFonts w:ascii="Cambria" w:eastAsia="Times New Roman" w:hAnsi="Cambria" w:cs="Arial"/>
                <w:color w:val="000000"/>
              </w:rPr>
              <w:t xml:space="preserve"> Nº 9.478/97, de 06 de agosto de 1997. Dispõe sobre a política energética nacional, as atividades relativas ao monopólio do petróleo, institui o Conselho Nacional de Política Energética e a Agência Nacional do Petróleo e dá outras providências. 1997.</w:t>
            </w:r>
          </w:p>
        </w:tc>
      </w:tr>
      <w:tr w:rsidR="00E049DA" w:rsidRPr="0015091A" w14:paraId="5A2B2F13" w14:textId="77777777" w:rsidTr="002C6FAB">
        <w:trPr>
          <w:trHeight w:val="20"/>
        </w:trPr>
        <w:tc>
          <w:tcPr>
            <w:tcW w:w="9215" w:type="dxa"/>
            <w:shd w:val="clear" w:color="auto" w:fill="auto"/>
            <w:vAlign w:val="center"/>
            <w:hideMark/>
          </w:tcPr>
          <w:p w14:paraId="68993FA3" w14:textId="77777777" w:rsidR="00E049DA" w:rsidRPr="0015091A" w:rsidRDefault="00E049DA" w:rsidP="009D01BE">
            <w:pPr>
              <w:spacing w:after="120" w:line="240" w:lineRule="auto"/>
              <w:jc w:val="left"/>
              <w:rPr>
                <w:rFonts w:ascii="Cambria" w:eastAsia="Times New Roman" w:hAnsi="Cambria" w:cs="Arial"/>
                <w:color w:val="000000"/>
                <w:highlight w:val="green"/>
              </w:rPr>
            </w:pPr>
            <w:r w:rsidRPr="0015091A">
              <w:rPr>
                <w:rFonts w:ascii="Cambria" w:eastAsia="Times New Roman" w:hAnsi="Cambria" w:cs="Arial"/>
                <w:color w:val="000000"/>
              </w:rPr>
              <w:t xml:space="preserve">BRASIL, </w:t>
            </w:r>
            <w:r w:rsidRPr="0015091A">
              <w:rPr>
                <w:rFonts w:ascii="Cambria" w:eastAsia="Times New Roman" w:hAnsi="Cambria" w:cs="Arial"/>
                <w:b/>
                <w:color w:val="000000"/>
              </w:rPr>
              <w:t>Lei Federal</w:t>
            </w:r>
            <w:r w:rsidRPr="0015091A">
              <w:rPr>
                <w:rFonts w:ascii="Cambria" w:eastAsia="Times New Roman" w:hAnsi="Cambria" w:cs="Arial"/>
                <w:color w:val="000000"/>
              </w:rPr>
              <w:t xml:space="preserve"> Nº 9.966/00, de 28 de abril de 2000. Dispõe sobre a prevenção, o controle e a fiscalização da poluição causada por lançamento de óleo e outras substâncias nocivas ou perigosas em águas sob jurisdição nacional e dá outras providências. 2000.</w:t>
            </w:r>
          </w:p>
        </w:tc>
      </w:tr>
      <w:tr w:rsidR="00E049DA" w:rsidRPr="0015091A" w14:paraId="02A49E8B" w14:textId="77777777" w:rsidTr="002C6FAB">
        <w:trPr>
          <w:trHeight w:val="20"/>
        </w:trPr>
        <w:tc>
          <w:tcPr>
            <w:tcW w:w="9215" w:type="dxa"/>
            <w:shd w:val="clear" w:color="auto" w:fill="auto"/>
            <w:vAlign w:val="center"/>
            <w:hideMark/>
          </w:tcPr>
          <w:p w14:paraId="45B9C418" w14:textId="77777777" w:rsidR="00E049DA" w:rsidRPr="0015091A" w:rsidRDefault="00E049DA" w:rsidP="009D01BE">
            <w:pPr>
              <w:spacing w:after="120" w:line="240" w:lineRule="auto"/>
              <w:jc w:val="left"/>
              <w:rPr>
                <w:rFonts w:ascii="Cambria" w:eastAsia="Times New Roman" w:hAnsi="Cambria" w:cs="Arial"/>
                <w:color w:val="000000"/>
                <w:highlight w:val="green"/>
              </w:rPr>
            </w:pPr>
            <w:r w:rsidRPr="0015091A">
              <w:rPr>
                <w:rFonts w:ascii="Cambria" w:eastAsia="Times New Roman" w:hAnsi="Cambria" w:cs="Arial"/>
                <w:color w:val="000000"/>
              </w:rPr>
              <w:t xml:space="preserve">BRASIL, Plano Nacional de Contingência para Incidentes de Poluição por Óleo em Águas Jurisdicionais Brasileiras – </w:t>
            </w:r>
            <w:r w:rsidRPr="0015091A">
              <w:rPr>
                <w:rFonts w:ascii="Cambria" w:eastAsia="Times New Roman" w:hAnsi="Cambria" w:cs="Arial"/>
                <w:b/>
                <w:color w:val="000000"/>
              </w:rPr>
              <w:t>Proposta de Decreto Federal</w:t>
            </w:r>
            <w:r w:rsidRPr="0015091A">
              <w:rPr>
                <w:rFonts w:ascii="Cambria" w:eastAsia="Times New Roman" w:hAnsi="Cambria" w:cs="Arial"/>
                <w:color w:val="000000"/>
              </w:rPr>
              <w:t xml:space="preserve"> – Versão da Marinha do Brasil, Janeiro, 2011.</w:t>
            </w:r>
          </w:p>
        </w:tc>
      </w:tr>
      <w:tr w:rsidR="00E049DA" w:rsidRPr="0015091A" w14:paraId="7055A3DA" w14:textId="77777777" w:rsidTr="002C6FAB">
        <w:trPr>
          <w:trHeight w:val="20"/>
        </w:trPr>
        <w:tc>
          <w:tcPr>
            <w:tcW w:w="9215" w:type="dxa"/>
            <w:shd w:val="clear" w:color="auto" w:fill="auto"/>
            <w:vAlign w:val="center"/>
            <w:hideMark/>
          </w:tcPr>
          <w:p w14:paraId="0062FB77" w14:textId="77777777" w:rsidR="00E049DA" w:rsidRPr="0015091A" w:rsidRDefault="00E049DA" w:rsidP="009D01BE">
            <w:pPr>
              <w:spacing w:after="120" w:line="240" w:lineRule="auto"/>
              <w:jc w:val="left"/>
              <w:rPr>
                <w:rFonts w:ascii="Cambria" w:eastAsia="Times New Roman" w:hAnsi="Cambria" w:cs="Times New Roman"/>
                <w:color w:val="000000"/>
                <w:highlight w:val="green"/>
              </w:rPr>
            </w:pPr>
            <w:r w:rsidRPr="0015091A">
              <w:rPr>
                <w:rFonts w:ascii="Cambria" w:eastAsia="Times New Roman" w:hAnsi="Cambria" w:cs="Times New Roman"/>
                <w:color w:val="000000"/>
              </w:rPr>
              <w:t xml:space="preserve">BRASIL, </w:t>
            </w:r>
            <w:r w:rsidRPr="0015091A">
              <w:rPr>
                <w:rFonts w:ascii="Cambria" w:eastAsia="Times New Roman" w:hAnsi="Cambria" w:cs="Times New Roman"/>
                <w:b/>
                <w:color w:val="000000"/>
              </w:rPr>
              <w:t>Resolução CONAMA</w:t>
            </w:r>
            <w:r w:rsidRPr="0015091A">
              <w:rPr>
                <w:rFonts w:ascii="Cambria" w:eastAsia="Times New Roman" w:hAnsi="Cambria" w:cs="Times New Roman"/>
                <w:color w:val="000000"/>
              </w:rPr>
              <w:t xml:space="preserve"> Nº 269 de 14 de setembro de 2000, Publicada no DOU nº 009, de 12/01/2001, Seção 1, páginas 58-61. Regulamenta o uso de dispersantes químicos em derrames de óleo no mar, 16 p.</w:t>
            </w:r>
          </w:p>
        </w:tc>
      </w:tr>
      <w:tr w:rsidR="00E049DA" w:rsidRPr="0015091A" w14:paraId="475C0FB6" w14:textId="77777777" w:rsidTr="002C6FAB">
        <w:trPr>
          <w:trHeight w:val="20"/>
        </w:trPr>
        <w:tc>
          <w:tcPr>
            <w:tcW w:w="9215" w:type="dxa"/>
            <w:shd w:val="clear" w:color="auto" w:fill="auto"/>
            <w:vAlign w:val="center"/>
            <w:hideMark/>
          </w:tcPr>
          <w:p w14:paraId="207BC5B2" w14:textId="77777777" w:rsidR="00E049DA" w:rsidRPr="0015091A" w:rsidRDefault="00E049DA" w:rsidP="009D01BE">
            <w:pPr>
              <w:spacing w:after="120" w:line="240" w:lineRule="auto"/>
              <w:jc w:val="left"/>
              <w:rPr>
                <w:rFonts w:ascii="Cambria" w:eastAsia="Times New Roman" w:hAnsi="Cambria" w:cs="Arial"/>
                <w:color w:val="000000"/>
              </w:rPr>
            </w:pPr>
            <w:r w:rsidRPr="0015091A">
              <w:rPr>
                <w:rFonts w:ascii="Cambria" w:eastAsia="Times New Roman" w:hAnsi="Cambria" w:cs="Arial"/>
                <w:color w:val="000000"/>
              </w:rPr>
              <w:t xml:space="preserve">BRASIL, </w:t>
            </w:r>
            <w:r w:rsidRPr="0015091A">
              <w:rPr>
                <w:rFonts w:ascii="Cambria" w:eastAsia="Times New Roman" w:hAnsi="Cambria" w:cs="Arial"/>
                <w:b/>
                <w:color w:val="000000"/>
              </w:rPr>
              <w:t>Resolução CONAMA</w:t>
            </w:r>
            <w:r w:rsidRPr="0015091A">
              <w:rPr>
                <w:rFonts w:ascii="Cambria" w:eastAsia="Times New Roman" w:hAnsi="Cambria" w:cs="Arial"/>
                <w:color w:val="000000"/>
              </w:rPr>
              <w:t xml:space="preserve"> Nº 398 de 11 de junho de 2008. Publicada no DOU nº 111, de 12 de junho de 2008, Seção 1, páginas 101-104 Dispõe sobre o conteúdo mínimo do Plano de Emergência Individual para incidentes de poluição por óleo em águas sob jurisdição nacional, originados em portos organizados, instalações, portuárias, terminais, dutos, sondas terrestres, plataformas e suas instalações de apoio, refinarias, estaleiros, marinas, clubes náuticos e instalações similares, e orienta a sua elaboração, 17p.</w:t>
            </w:r>
          </w:p>
        </w:tc>
      </w:tr>
      <w:tr w:rsidR="00E049DA" w:rsidRPr="0015091A" w14:paraId="1C213988" w14:textId="77777777" w:rsidTr="002C6FAB">
        <w:trPr>
          <w:trHeight w:val="20"/>
        </w:trPr>
        <w:tc>
          <w:tcPr>
            <w:tcW w:w="9215" w:type="dxa"/>
            <w:shd w:val="clear" w:color="auto" w:fill="auto"/>
            <w:vAlign w:val="center"/>
            <w:hideMark/>
          </w:tcPr>
          <w:p w14:paraId="31D38EFC" w14:textId="77777777" w:rsidR="00E049DA" w:rsidRPr="0015091A" w:rsidRDefault="00E049DA" w:rsidP="009D01BE">
            <w:pPr>
              <w:spacing w:after="120" w:line="240" w:lineRule="auto"/>
              <w:jc w:val="left"/>
              <w:rPr>
                <w:rFonts w:ascii="Cambria" w:eastAsia="Times New Roman" w:hAnsi="Cambria" w:cs="Arial"/>
                <w:color w:val="000000"/>
              </w:rPr>
            </w:pPr>
            <w:r w:rsidRPr="0015091A">
              <w:rPr>
                <w:rFonts w:ascii="Cambria" w:eastAsia="Times New Roman" w:hAnsi="Cambria" w:cs="Arial"/>
                <w:color w:val="000000"/>
              </w:rPr>
              <w:t xml:space="preserve">BRASIL. </w:t>
            </w:r>
            <w:r w:rsidRPr="0015091A">
              <w:rPr>
                <w:rFonts w:ascii="Cambria" w:eastAsia="Times New Roman" w:hAnsi="Cambria" w:cs="Arial"/>
                <w:b/>
                <w:color w:val="000000"/>
              </w:rPr>
              <w:t>Decreto Federal</w:t>
            </w:r>
            <w:r w:rsidRPr="0015091A">
              <w:rPr>
                <w:rFonts w:ascii="Cambria" w:eastAsia="Times New Roman" w:hAnsi="Cambria" w:cs="Arial"/>
                <w:color w:val="000000"/>
              </w:rPr>
              <w:t xml:space="preserve"> Nº 8127 de 22 outubro de 2013. Institui o Plano Nacional de Contingência para Incidentes de Poluição por Óleo em Águas sob Jurisdição Nacional, altera o Decreto nº 4.871, de 6 de novembro de 2003, e o Decreto nº 4.136, de 20 de fevereiro de 2002, e dá outras providências. 2013.</w:t>
            </w:r>
          </w:p>
        </w:tc>
      </w:tr>
      <w:tr w:rsidR="00E049DA" w:rsidRPr="0015091A" w14:paraId="0740E7A4" w14:textId="77777777" w:rsidTr="002C6FAB">
        <w:trPr>
          <w:trHeight w:val="20"/>
        </w:trPr>
        <w:tc>
          <w:tcPr>
            <w:tcW w:w="9215" w:type="dxa"/>
            <w:shd w:val="clear" w:color="auto" w:fill="auto"/>
            <w:vAlign w:val="center"/>
            <w:hideMark/>
          </w:tcPr>
          <w:p w14:paraId="41A8E408" w14:textId="77777777"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rPr>
              <w:lastRenderedPageBreak/>
              <w:t xml:space="preserve">BRASIL. </w:t>
            </w:r>
            <w:r w:rsidRPr="0015091A">
              <w:rPr>
                <w:rFonts w:ascii="Cambria" w:eastAsia="Times New Roman" w:hAnsi="Cambria" w:cs="Times New Roman"/>
                <w:b/>
                <w:color w:val="000000"/>
              </w:rPr>
              <w:t>Lei</w:t>
            </w:r>
            <w:r w:rsidRPr="0015091A">
              <w:rPr>
                <w:rFonts w:ascii="Cambria" w:eastAsia="Times New Roman" w:hAnsi="Cambria" w:cs="Times New Roman"/>
                <w:color w:val="000000"/>
              </w:rPr>
              <w:t xml:space="preserve"> Nº 12.608, de 10 de abril de 2012. Institui a Política Nacional de Proteção de Defesa Civil. Casa Civil. Subchefia para assuntos jurídicos.</w:t>
            </w:r>
          </w:p>
        </w:tc>
      </w:tr>
      <w:tr w:rsidR="00E049DA" w:rsidRPr="0015091A" w14:paraId="788113C7" w14:textId="77777777" w:rsidTr="002C6FAB">
        <w:trPr>
          <w:trHeight w:val="20"/>
        </w:trPr>
        <w:tc>
          <w:tcPr>
            <w:tcW w:w="9215" w:type="dxa"/>
            <w:shd w:val="clear" w:color="auto" w:fill="auto"/>
            <w:vAlign w:val="center"/>
            <w:hideMark/>
          </w:tcPr>
          <w:p w14:paraId="60034529" w14:textId="77777777"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rPr>
              <w:t xml:space="preserve">BRASIL. </w:t>
            </w:r>
            <w:r w:rsidRPr="0015091A">
              <w:rPr>
                <w:rFonts w:ascii="Cambria" w:eastAsia="Times New Roman" w:hAnsi="Cambria" w:cs="Times New Roman"/>
                <w:b/>
                <w:color w:val="000000"/>
              </w:rPr>
              <w:t>Lei</w:t>
            </w:r>
            <w:r w:rsidRPr="0015091A">
              <w:rPr>
                <w:rFonts w:ascii="Cambria" w:eastAsia="Times New Roman" w:hAnsi="Cambria" w:cs="Times New Roman"/>
                <w:color w:val="000000"/>
              </w:rPr>
              <w:t xml:space="preserve"> </w:t>
            </w:r>
            <w:r w:rsidRPr="0015091A">
              <w:rPr>
                <w:rFonts w:ascii="Cambria" w:eastAsia="Times New Roman" w:hAnsi="Cambria" w:cs="Arial"/>
                <w:color w:val="000000"/>
              </w:rPr>
              <w:t>Nº</w:t>
            </w:r>
            <w:r w:rsidRPr="0015091A">
              <w:rPr>
                <w:rFonts w:ascii="Cambria" w:eastAsia="Times New Roman" w:hAnsi="Cambria" w:cs="Times New Roman"/>
                <w:color w:val="000000"/>
              </w:rPr>
              <w:t xml:space="preserve"> 9.966, de 28 de abril de 2000. Dispõe sobre a prevenção, o controle e a fiscalização da poluição causada por lançamento de óleo e outras substâncias nocivas ou perigosas em águas sob jurisdição nacional e dá outras providências. Casa Civil. Subchefia para assuntos jurídicos.</w:t>
            </w:r>
          </w:p>
        </w:tc>
      </w:tr>
      <w:tr w:rsidR="00E049DA" w:rsidRPr="0015091A" w14:paraId="67E60994" w14:textId="77777777" w:rsidTr="002C6FAB">
        <w:trPr>
          <w:trHeight w:val="20"/>
        </w:trPr>
        <w:tc>
          <w:tcPr>
            <w:tcW w:w="9215" w:type="dxa"/>
            <w:shd w:val="clear" w:color="auto" w:fill="auto"/>
            <w:vAlign w:val="center"/>
            <w:hideMark/>
          </w:tcPr>
          <w:p w14:paraId="0AE0A9FD" w14:textId="77777777"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rPr>
              <w:t>CANADIAN SPACE AGENCY. Website Institucional, Disponível em &lt;</w:t>
            </w:r>
            <w:hyperlink r:id="rId85" w:history="1">
              <w:r w:rsidRPr="0015091A">
                <w:rPr>
                  <w:rStyle w:val="Hyperlink"/>
                  <w:rFonts w:ascii="Cambria" w:eastAsia="Times New Roman" w:hAnsi="Cambria" w:cs="Times New Roman"/>
                </w:rPr>
                <w:t>https://www.asc-csa.gc.ca/eng</w:t>
              </w:r>
            </w:hyperlink>
            <w:r w:rsidRPr="0015091A">
              <w:rPr>
                <w:rFonts w:ascii="Cambria" w:eastAsia="Times New Roman" w:hAnsi="Cambria" w:cs="Times New Roman"/>
                <w:color w:val="000000"/>
              </w:rPr>
              <w:t xml:space="preserve">&gt; </w:t>
            </w:r>
            <w:r w:rsidRPr="002C6FAB">
              <w:rPr>
                <w:rFonts w:ascii="Cambria" w:eastAsia="Times New Roman" w:hAnsi="Cambria" w:cs="Times New Roman"/>
              </w:rPr>
              <w:t>Acesso em 31 ago. 2012.</w:t>
            </w:r>
          </w:p>
        </w:tc>
      </w:tr>
      <w:tr w:rsidR="00E049DA" w:rsidRPr="0015091A" w14:paraId="4A74391C" w14:textId="77777777" w:rsidTr="002C6FAB">
        <w:trPr>
          <w:trHeight w:val="20"/>
        </w:trPr>
        <w:tc>
          <w:tcPr>
            <w:tcW w:w="9215" w:type="dxa"/>
            <w:shd w:val="clear" w:color="auto" w:fill="auto"/>
            <w:vAlign w:val="center"/>
          </w:tcPr>
          <w:p w14:paraId="7F0A5538" w14:textId="77777777" w:rsidR="00E049DA" w:rsidRPr="0015091A" w:rsidRDefault="00E049DA" w:rsidP="009D01BE">
            <w:pPr>
              <w:spacing w:after="120" w:line="240" w:lineRule="auto"/>
              <w:rPr>
                <w:rFonts w:ascii="Cambria" w:eastAsia="Times New Roman" w:hAnsi="Cambria" w:cs="Times New Roman"/>
                <w:color w:val="000000"/>
                <w:highlight w:val="green"/>
              </w:rPr>
            </w:pPr>
            <w:r w:rsidRPr="0015091A">
              <w:rPr>
                <w:rFonts w:ascii="Cambria" w:eastAsia="Times New Roman" w:hAnsi="Cambria" w:cs="Times New Roman"/>
                <w:color w:val="000000"/>
              </w:rPr>
              <w:t xml:space="preserve">CETESB – Limpeza de ambientes costeiros atingidos por óleo. Disponível em: </w:t>
            </w:r>
            <w:hyperlink r:id="rId86" w:history="1">
              <w:r w:rsidRPr="0015091A">
                <w:rPr>
                  <w:rStyle w:val="Hyperlink"/>
                  <w:rFonts w:ascii="Cambria" w:eastAsia="Times New Roman" w:hAnsi="Cambria" w:cs="Times New Roman"/>
                </w:rPr>
                <w:t>http://www.cetesb.sp.gov.br/gerenciamento-de-riscos/Vazamento%20de%20Oleo/228-Limpeza%20de%20Ambientes% 20Costeiros</w:t>
              </w:r>
            </w:hyperlink>
            <w:r w:rsidRPr="0015091A">
              <w:rPr>
                <w:rFonts w:ascii="Cambria" w:eastAsia="Times New Roman" w:hAnsi="Cambria" w:cs="Times New Roman"/>
                <w:color w:val="000000"/>
              </w:rPr>
              <w:t>&gt; Acessado em maio de 2012.</w:t>
            </w:r>
          </w:p>
        </w:tc>
      </w:tr>
      <w:tr w:rsidR="00E049DA" w:rsidRPr="0015091A" w14:paraId="4045B9D1" w14:textId="77777777" w:rsidTr="002C6FAB">
        <w:trPr>
          <w:trHeight w:val="20"/>
        </w:trPr>
        <w:tc>
          <w:tcPr>
            <w:tcW w:w="9215" w:type="dxa"/>
            <w:shd w:val="clear" w:color="auto" w:fill="auto"/>
            <w:vAlign w:val="center"/>
            <w:hideMark/>
          </w:tcPr>
          <w:p w14:paraId="67BFB312" w14:textId="77777777"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rPr>
              <w:t xml:space="preserve">DE OLIVEIRA, A.; SOARES, F.; PIMENTEL, F.; GARÇÃO,M.; CABRAL, M. </w:t>
            </w:r>
            <w:r w:rsidRPr="0015091A">
              <w:rPr>
                <w:rFonts w:ascii="Cambria" w:eastAsia="Times New Roman" w:hAnsi="Cambria" w:cs="Times New Roman"/>
                <w:b/>
                <w:bCs/>
                <w:color w:val="000000"/>
              </w:rPr>
              <w:t>Relatório Técnico de Modelagem Hidrodinâmica e Dispersão de Óleo, Bacia da Foz do Amazonas</w:t>
            </w:r>
            <w:r w:rsidRPr="0015091A">
              <w:rPr>
                <w:rFonts w:ascii="Cambria" w:eastAsia="Times New Roman" w:hAnsi="Cambria" w:cs="Times New Roman"/>
                <w:color w:val="000000"/>
              </w:rPr>
              <w:t>. Rio de Janeiro: PROOCEANO, Fevereiro, 2015. 212 p.</w:t>
            </w:r>
          </w:p>
        </w:tc>
      </w:tr>
      <w:tr w:rsidR="00E049DA" w:rsidRPr="0015091A" w14:paraId="7FBD12F1" w14:textId="77777777" w:rsidTr="002C6FAB">
        <w:trPr>
          <w:trHeight w:val="20"/>
        </w:trPr>
        <w:tc>
          <w:tcPr>
            <w:tcW w:w="9215" w:type="dxa"/>
            <w:shd w:val="clear" w:color="auto" w:fill="auto"/>
            <w:vAlign w:val="center"/>
          </w:tcPr>
          <w:p w14:paraId="4DF65F91" w14:textId="1CE8EEB8" w:rsidR="00E049DA" w:rsidRPr="0015091A" w:rsidRDefault="00E049DA" w:rsidP="009D01BE">
            <w:pPr>
              <w:spacing w:after="120" w:line="240" w:lineRule="auto"/>
              <w:jc w:val="left"/>
              <w:rPr>
                <w:rFonts w:ascii="Cambria" w:eastAsia="Times New Roman" w:hAnsi="Cambria" w:cs="Times New Roman"/>
                <w:color w:val="000000"/>
                <w:highlight w:val="yellow"/>
              </w:rPr>
            </w:pPr>
            <w:r w:rsidRPr="0015091A">
              <w:rPr>
                <w:rFonts w:ascii="Cambria" w:eastAsia="Times New Roman" w:hAnsi="Cambria" w:cs="Times New Roman"/>
                <w:color w:val="000000"/>
              </w:rPr>
              <w:t>ELASTEC –</w:t>
            </w:r>
            <w:r w:rsidR="00656D39">
              <w:rPr>
                <w:rFonts w:ascii="Cambria" w:eastAsia="Times New Roman" w:hAnsi="Cambria" w:cs="Times New Roman"/>
                <w:color w:val="000000"/>
              </w:rPr>
              <w:t xml:space="preserve"> </w:t>
            </w:r>
            <w:r w:rsidRPr="0015091A">
              <w:rPr>
                <w:rFonts w:ascii="Cambria" w:eastAsia="Times New Roman" w:hAnsi="Cambria" w:cs="Times New Roman"/>
                <w:color w:val="000000"/>
              </w:rPr>
              <w:t>ElaSpray. Disponível em &lt;</w:t>
            </w:r>
            <w:r w:rsidRPr="0015091A">
              <w:rPr>
                <w:rFonts w:ascii="Cambria" w:hAnsi="Cambria"/>
              </w:rPr>
              <w:t xml:space="preserve"> </w:t>
            </w:r>
            <w:hyperlink r:id="rId87" w:history="1">
              <w:r w:rsidRPr="0015091A">
                <w:rPr>
                  <w:rStyle w:val="Hyperlink"/>
                  <w:rFonts w:ascii="Cambria" w:eastAsia="Times New Roman" w:hAnsi="Cambria" w:cs="Times New Roman"/>
                </w:rPr>
                <w:t>http://www.elastec.com/oilspill/dispersant/elaspray/</w:t>
              </w:r>
            </w:hyperlink>
            <w:r w:rsidRPr="0015091A">
              <w:rPr>
                <w:rFonts w:ascii="Cambria" w:eastAsia="Times New Roman" w:hAnsi="Cambria" w:cs="Times New Roman"/>
                <w:color w:val="000000"/>
              </w:rPr>
              <w:t xml:space="preserve">&gt; </w:t>
            </w:r>
            <w:r w:rsidRPr="002C6FAB">
              <w:rPr>
                <w:rFonts w:ascii="Cambria" w:eastAsia="Times New Roman" w:hAnsi="Cambria" w:cs="Times New Roman"/>
                <w:color w:val="000000"/>
              </w:rPr>
              <w:t>A</w:t>
            </w:r>
            <w:r w:rsidRPr="002C6FAB">
              <w:rPr>
                <w:rFonts w:ascii="Cambria" w:eastAsia="Times New Roman" w:hAnsi="Cambria" w:cs="Times New Roman"/>
              </w:rPr>
              <w:t>cesso em 31 set. 2012.</w:t>
            </w:r>
          </w:p>
        </w:tc>
      </w:tr>
      <w:tr w:rsidR="00E049DA" w:rsidRPr="0015091A" w14:paraId="145D3C43" w14:textId="77777777" w:rsidTr="002C6FAB">
        <w:trPr>
          <w:trHeight w:val="20"/>
        </w:trPr>
        <w:tc>
          <w:tcPr>
            <w:tcW w:w="9215" w:type="dxa"/>
            <w:shd w:val="clear" w:color="auto" w:fill="auto"/>
            <w:vAlign w:val="center"/>
            <w:hideMark/>
          </w:tcPr>
          <w:p w14:paraId="138C9C84" w14:textId="77777777"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rPr>
              <w:t xml:space="preserve">ELASTEC – Oil Spill. Disponível em </w:t>
            </w:r>
            <w:hyperlink r:id="rId88" w:history="1">
              <w:r w:rsidRPr="0015091A">
                <w:rPr>
                  <w:rStyle w:val="Hyperlink"/>
                  <w:rFonts w:ascii="Cambria" w:eastAsia="Times New Roman" w:hAnsi="Cambria" w:cs="Times New Roman"/>
                </w:rPr>
                <w:t>https://www.elastec.com/oilspill</w:t>
              </w:r>
            </w:hyperlink>
            <w:r w:rsidRPr="0015091A">
              <w:rPr>
                <w:rFonts w:ascii="Cambria" w:eastAsia="Times New Roman" w:hAnsi="Cambria" w:cs="Times New Roman"/>
                <w:color w:val="000000"/>
              </w:rPr>
              <w:t>&gt;</w:t>
            </w:r>
            <w:r w:rsidRPr="002C6FAB">
              <w:rPr>
                <w:rFonts w:ascii="Cambria" w:eastAsia="Times New Roman" w:hAnsi="Cambria" w:cs="Times New Roman"/>
              </w:rPr>
              <w:t>Acesso em 31 set. 2012.</w:t>
            </w:r>
          </w:p>
        </w:tc>
      </w:tr>
      <w:tr w:rsidR="00E049DA" w:rsidRPr="0015091A" w14:paraId="6A9DB5D8" w14:textId="77777777" w:rsidTr="002C6FAB">
        <w:trPr>
          <w:trHeight w:val="20"/>
        </w:trPr>
        <w:tc>
          <w:tcPr>
            <w:tcW w:w="9215" w:type="dxa"/>
            <w:shd w:val="clear" w:color="auto" w:fill="auto"/>
            <w:vAlign w:val="center"/>
          </w:tcPr>
          <w:p w14:paraId="57DD94AE" w14:textId="77777777" w:rsidR="00E049DA" w:rsidRPr="0015091A" w:rsidRDefault="00E049DA" w:rsidP="009D01BE">
            <w:pPr>
              <w:spacing w:after="120" w:line="240" w:lineRule="auto"/>
              <w:jc w:val="left"/>
              <w:rPr>
                <w:rFonts w:ascii="Cambria" w:eastAsia="Times New Roman" w:hAnsi="Cambria" w:cs="Times New Roman"/>
                <w:color w:val="000000"/>
                <w:highlight w:val="green"/>
              </w:rPr>
            </w:pPr>
            <w:r w:rsidRPr="0015091A">
              <w:rPr>
                <w:rFonts w:ascii="Cambria" w:eastAsia="Times New Roman" w:hAnsi="Cambria" w:cs="Times New Roman"/>
                <w:color w:val="000000"/>
              </w:rPr>
              <w:t xml:space="preserve">ELASTEC, Website Institucional. Disponível em </w:t>
            </w:r>
            <w:hyperlink r:id="rId89" w:history="1">
              <w:r w:rsidRPr="0015091A">
                <w:rPr>
                  <w:rStyle w:val="Hyperlink"/>
                  <w:rFonts w:ascii="Cambria" w:eastAsia="Times New Roman" w:hAnsi="Cambria" w:cs="Times New Roman"/>
                </w:rPr>
                <w:t>https://www.elastec.com/</w:t>
              </w:r>
            </w:hyperlink>
            <w:r w:rsidRPr="0015091A">
              <w:rPr>
                <w:rFonts w:ascii="Cambria" w:eastAsia="Times New Roman" w:hAnsi="Cambria" w:cs="Times New Roman"/>
                <w:color w:val="000000"/>
              </w:rPr>
              <w:t xml:space="preserve">&gt; </w:t>
            </w:r>
            <w:r w:rsidRPr="0015091A">
              <w:rPr>
                <w:rFonts w:ascii="Cambria" w:eastAsia="Times New Roman" w:hAnsi="Cambria" w:cs="Times New Roman"/>
              </w:rPr>
              <w:t>Acesso em 27 fev. 2015.</w:t>
            </w:r>
          </w:p>
        </w:tc>
      </w:tr>
      <w:tr w:rsidR="00E049DA" w:rsidRPr="0015091A" w14:paraId="62A8A215" w14:textId="77777777" w:rsidTr="002C6FAB">
        <w:trPr>
          <w:trHeight w:val="20"/>
        </w:trPr>
        <w:tc>
          <w:tcPr>
            <w:tcW w:w="9215" w:type="dxa"/>
            <w:shd w:val="clear" w:color="auto" w:fill="auto"/>
            <w:vAlign w:val="center"/>
            <w:hideMark/>
          </w:tcPr>
          <w:p w14:paraId="3F56091E" w14:textId="77777777"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rPr>
              <w:t xml:space="preserve">EMBRAPA, Website Institucional. Disponível em &lt; </w:t>
            </w:r>
            <w:hyperlink r:id="rId90" w:history="1">
              <w:r w:rsidR="002545A3" w:rsidRPr="00AA16C9">
                <w:rPr>
                  <w:rStyle w:val="Hyperlink"/>
                  <w:rFonts w:ascii="Cambria" w:eastAsia="Times New Roman" w:hAnsi="Cambria" w:cs="Times New Roman"/>
                </w:rPr>
                <w:t>https://www.sat.cnpm.embrapa.br/ conteudo/radarsat.html</w:t>
              </w:r>
            </w:hyperlink>
            <w:r w:rsidRPr="0015091A">
              <w:rPr>
                <w:rFonts w:ascii="Cambria" w:eastAsia="Times New Roman" w:hAnsi="Cambria" w:cs="Times New Roman"/>
                <w:color w:val="000000"/>
              </w:rPr>
              <w:t xml:space="preserve">&gt; </w:t>
            </w:r>
            <w:r w:rsidRPr="002C6FAB">
              <w:rPr>
                <w:rFonts w:ascii="Cambria" w:eastAsia="Times New Roman" w:hAnsi="Cambria" w:cs="Times New Roman"/>
              </w:rPr>
              <w:t>Acesso em 31 set. 2012.</w:t>
            </w:r>
          </w:p>
        </w:tc>
      </w:tr>
      <w:tr w:rsidR="00E049DA" w:rsidRPr="009D286F" w14:paraId="25A3ECEE" w14:textId="77777777" w:rsidTr="002C6FAB">
        <w:trPr>
          <w:trHeight w:val="20"/>
        </w:trPr>
        <w:tc>
          <w:tcPr>
            <w:tcW w:w="9215" w:type="dxa"/>
            <w:shd w:val="clear" w:color="auto" w:fill="auto"/>
            <w:vAlign w:val="center"/>
          </w:tcPr>
          <w:p w14:paraId="7A5EE5D4" w14:textId="77777777" w:rsidR="00E049DA" w:rsidRPr="0015091A" w:rsidRDefault="00E049DA" w:rsidP="009D01BE">
            <w:pPr>
              <w:spacing w:after="120" w:line="240" w:lineRule="auto"/>
              <w:ind w:left="284" w:hanging="284"/>
              <w:rPr>
                <w:rFonts w:ascii="Cambria" w:hAnsi="Cambria"/>
                <w:lang w:val="en-US"/>
              </w:rPr>
            </w:pPr>
            <w:r w:rsidRPr="0015091A">
              <w:rPr>
                <w:rFonts w:ascii="Cambria" w:hAnsi="Cambria" w:cs="Calibri"/>
                <w:lang w:val="en-US"/>
              </w:rPr>
              <w:t xml:space="preserve">FINGAS, M. </w:t>
            </w:r>
            <w:r w:rsidRPr="0015091A">
              <w:rPr>
                <w:rFonts w:ascii="Cambria" w:hAnsi="Cambria" w:cs="Calibri"/>
                <w:b/>
                <w:lang w:val="en-US"/>
              </w:rPr>
              <w:t>The Basics of Oil Spill Clean-up</w:t>
            </w:r>
            <w:r w:rsidRPr="0015091A">
              <w:rPr>
                <w:rFonts w:ascii="Cambria" w:hAnsi="Cambria" w:cs="Calibri"/>
                <w:lang w:val="en-US"/>
              </w:rPr>
              <w:t>, CRC Press, Estados Unidos, 2000, 286 p.</w:t>
            </w:r>
          </w:p>
        </w:tc>
      </w:tr>
      <w:tr w:rsidR="00E049DA" w:rsidRPr="0015091A" w14:paraId="5207CC45" w14:textId="77777777" w:rsidTr="002C6FAB">
        <w:trPr>
          <w:trHeight w:val="20"/>
        </w:trPr>
        <w:tc>
          <w:tcPr>
            <w:tcW w:w="9215" w:type="dxa"/>
            <w:shd w:val="clear" w:color="auto" w:fill="auto"/>
            <w:vAlign w:val="center"/>
            <w:hideMark/>
          </w:tcPr>
          <w:p w14:paraId="1CC52421" w14:textId="77777777"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rPr>
              <w:t xml:space="preserve">INMET - Glossário. Disponível em: </w:t>
            </w:r>
            <w:hyperlink r:id="rId91" w:history="1">
              <w:r w:rsidR="00F84193" w:rsidRPr="00AA16C9">
                <w:rPr>
                  <w:rStyle w:val="Hyperlink"/>
                  <w:rFonts w:ascii="Cambria" w:eastAsia="Times New Roman" w:hAnsi="Cambria" w:cs="Times New Roman"/>
                </w:rPr>
                <w:t>http://www.inmet.gov.br/html/informacoes/glossario/ glossario.html</w:t>
              </w:r>
            </w:hyperlink>
            <w:r w:rsidRPr="0015091A">
              <w:rPr>
                <w:rFonts w:ascii="Cambria" w:eastAsia="Times New Roman" w:hAnsi="Cambria" w:cs="Times New Roman"/>
                <w:color w:val="000000"/>
              </w:rPr>
              <w:t>&gt; Acesso em 21 jan. 2015.</w:t>
            </w:r>
          </w:p>
        </w:tc>
      </w:tr>
      <w:tr w:rsidR="00E049DA" w:rsidRPr="009D286F" w14:paraId="43A4D8DD" w14:textId="77777777" w:rsidTr="002C6FAB">
        <w:trPr>
          <w:trHeight w:val="20"/>
        </w:trPr>
        <w:tc>
          <w:tcPr>
            <w:tcW w:w="9215" w:type="dxa"/>
            <w:shd w:val="clear" w:color="auto" w:fill="auto"/>
            <w:vAlign w:val="center"/>
          </w:tcPr>
          <w:p w14:paraId="10345B72" w14:textId="77777777" w:rsidR="00E049DA" w:rsidRPr="0015091A" w:rsidRDefault="00E049DA" w:rsidP="009D01BE">
            <w:pPr>
              <w:spacing w:after="120" w:line="240" w:lineRule="auto"/>
              <w:ind w:left="6"/>
              <w:rPr>
                <w:rFonts w:ascii="Cambria" w:eastAsia="Times New Roman" w:hAnsi="Cambria" w:cs="Arial"/>
                <w:color w:val="000000"/>
                <w:lang w:val="en-US"/>
              </w:rPr>
            </w:pPr>
            <w:r w:rsidRPr="0015091A">
              <w:rPr>
                <w:rFonts w:ascii="Cambria" w:eastAsia="Times New Roman" w:hAnsi="Cambria" w:cs="Arial"/>
                <w:color w:val="000000"/>
                <w:lang w:val="en-US"/>
              </w:rPr>
              <w:t xml:space="preserve">IPIECA. </w:t>
            </w:r>
            <w:r w:rsidRPr="0015091A">
              <w:rPr>
                <w:rFonts w:ascii="Cambria" w:eastAsia="Times New Roman" w:hAnsi="Cambria" w:cs="Arial"/>
                <w:b/>
                <w:color w:val="000000"/>
                <w:lang w:val="en-US"/>
              </w:rPr>
              <w:t>Oil Spill Preparedness and Response: Report Series Summary</w:t>
            </w:r>
            <w:r w:rsidRPr="0015091A">
              <w:rPr>
                <w:rFonts w:ascii="Cambria" w:eastAsia="Times New Roman" w:hAnsi="Cambria" w:cs="Arial"/>
                <w:color w:val="000000"/>
                <w:lang w:val="en-US"/>
              </w:rPr>
              <w:t>: 1998 – 2008, Reino Unido, 44 p.</w:t>
            </w:r>
          </w:p>
        </w:tc>
      </w:tr>
      <w:tr w:rsidR="00E049DA" w:rsidRPr="00511B28" w14:paraId="4654C378" w14:textId="77777777" w:rsidTr="002C6FAB">
        <w:trPr>
          <w:trHeight w:val="20"/>
        </w:trPr>
        <w:tc>
          <w:tcPr>
            <w:tcW w:w="9215" w:type="dxa"/>
            <w:shd w:val="clear" w:color="auto" w:fill="auto"/>
            <w:vAlign w:val="center"/>
            <w:hideMark/>
          </w:tcPr>
          <w:p w14:paraId="262075D2" w14:textId="31AE70D4" w:rsidR="00E049DA" w:rsidRPr="002C6FAB" w:rsidRDefault="00E049DA" w:rsidP="009D01BE">
            <w:pPr>
              <w:spacing w:after="120" w:line="240" w:lineRule="auto"/>
              <w:jc w:val="left"/>
              <w:rPr>
                <w:rFonts w:ascii="Cambria" w:eastAsia="Times New Roman" w:hAnsi="Cambria" w:cs="Arial"/>
                <w:color w:val="000000"/>
              </w:rPr>
            </w:pPr>
            <w:r w:rsidRPr="0015091A">
              <w:rPr>
                <w:rFonts w:ascii="Cambria" w:eastAsia="Times New Roman" w:hAnsi="Cambria" w:cs="Arial"/>
                <w:color w:val="000000"/>
                <w:lang w:val="en-US"/>
              </w:rPr>
              <w:t xml:space="preserve">IPIECA. </w:t>
            </w:r>
            <w:r w:rsidRPr="0015091A">
              <w:rPr>
                <w:rFonts w:ascii="Cambria" w:eastAsia="Times New Roman" w:hAnsi="Cambria" w:cs="Arial"/>
                <w:b/>
                <w:color w:val="000000"/>
                <w:lang w:val="en-US"/>
              </w:rPr>
              <w:t>Oil Spill Report Series:</w:t>
            </w:r>
            <w:r w:rsidRPr="0015091A">
              <w:rPr>
                <w:rFonts w:ascii="Cambria" w:eastAsia="Times New Roman" w:hAnsi="Cambria" w:cs="Arial"/>
                <w:color w:val="000000"/>
                <w:lang w:val="en-US"/>
              </w:rPr>
              <w:t xml:space="preserve"> </w:t>
            </w:r>
            <w:r w:rsidR="00511B28" w:rsidRPr="0015091A">
              <w:rPr>
                <w:rFonts w:ascii="Cambria" w:eastAsia="Times New Roman" w:hAnsi="Cambria" w:cs="Arial"/>
                <w:color w:val="000000"/>
                <w:lang w:val="en-US"/>
              </w:rPr>
              <w:t>200</w:t>
            </w:r>
            <w:r w:rsidR="00511B28">
              <w:rPr>
                <w:rFonts w:ascii="Cambria" w:eastAsia="Times New Roman" w:hAnsi="Cambria" w:cs="Arial"/>
                <w:color w:val="000000"/>
                <w:lang w:val="en-US"/>
              </w:rPr>
              <w:t>8</w:t>
            </w:r>
            <w:r w:rsidRPr="0015091A">
              <w:rPr>
                <w:rFonts w:ascii="Cambria" w:eastAsia="Times New Roman" w:hAnsi="Cambria" w:cs="Arial"/>
                <w:color w:val="000000"/>
                <w:lang w:val="en-US"/>
              </w:rPr>
              <w:t>-</w:t>
            </w:r>
            <w:r w:rsidR="00511B28" w:rsidRPr="0015091A">
              <w:rPr>
                <w:rFonts w:ascii="Cambria" w:eastAsia="Times New Roman" w:hAnsi="Cambria" w:cs="Arial"/>
                <w:color w:val="000000"/>
                <w:lang w:val="en-US"/>
              </w:rPr>
              <w:t>201</w:t>
            </w:r>
            <w:r w:rsidR="00511B28">
              <w:rPr>
                <w:rFonts w:ascii="Cambria" w:eastAsia="Times New Roman" w:hAnsi="Cambria" w:cs="Arial"/>
                <w:color w:val="000000"/>
                <w:lang w:val="en-US"/>
              </w:rPr>
              <w:t>4</w:t>
            </w:r>
            <w:r w:rsidRPr="0015091A">
              <w:rPr>
                <w:rFonts w:ascii="Cambria" w:eastAsia="Times New Roman" w:hAnsi="Cambria" w:cs="Arial"/>
                <w:color w:val="000000"/>
                <w:lang w:val="en-US"/>
              </w:rPr>
              <w:t>, Reino Unido</w:t>
            </w:r>
            <w:r w:rsidR="00511B28">
              <w:rPr>
                <w:rFonts w:ascii="Cambria" w:eastAsia="Times New Roman" w:hAnsi="Cambria" w:cs="Arial"/>
                <w:color w:val="000000"/>
                <w:lang w:val="en-US"/>
              </w:rPr>
              <w:t xml:space="preserve">. </w:t>
            </w:r>
            <w:r w:rsidR="00511B28" w:rsidRPr="002C6FAB">
              <w:rPr>
                <w:rFonts w:ascii="Cambria" w:eastAsia="Times New Roman" w:hAnsi="Cambria" w:cs="Arial"/>
                <w:color w:val="000000"/>
              </w:rPr>
              <w:t xml:space="preserve">Disponível em </w:t>
            </w:r>
            <w:hyperlink r:id="rId92" w:history="1">
              <w:r w:rsidR="00511B28" w:rsidRPr="006279A2">
                <w:rPr>
                  <w:rStyle w:val="Hyperlink"/>
                  <w:rFonts w:ascii="Cambria" w:eastAsia="Times New Roman" w:hAnsi="Cambria" w:cs="Arial"/>
                </w:rPr>
                <w:t>http://www.ipieca.org/library?tid[0]=8&amp;language=en&amp;date_filter[value][year]=&amp;keys=&amp;_x=30&amp;_y=11</w:t>
              </w:r>
            </w:hyperlink>
            <w:r w:rsidR="00656D39">
              <w:rPr>
                <w:rFonts w:ascii="Cambria" w:eastAsia="Times New Roman" w:hAnsi="Cambria" w:cs="Arial"/>
                <w:color w:val="000000"/>
              </w:rPr>
              <w:t xml:space="preserve"> </w:t>
            </w:r>
          </w:p>
        </w:tc>
      </w:tr>
      <w:tr w:rsidR="00F84193" w:rsidRPr="009D286F" w14:paraId="51703BA2" w14:textId="77777777" w:rsidTr="002C6FAB">
        <w:trPr>
          <w:trHeight w:val="20"/>
        </w:trPr>
        <w:tc>
          <w:tcPr>
            <w:tcW w:w="9215" w:type="dxa"/>
            <w:shd w:val="clear" w:color="auto" w:fill="auto"/>
            <w:vAlign w:val="center"/>
          </w:tcPr>
          <w:p w14:paraId="4670BE93" w14:textId="0A62B848" w:rsidR="00D275CF" w:rsidRDefault="00D275CF" w:rsidP="009D01BE">
            <w:pPr>
              <w:spacing w:after="120" w:line="240" w:lineRule="auto"/>
              <w:jc w:val="left"/>
              <w:rPr>
                <w:rFonts w:ascii="Cambria" w:eastAsia="Times New Roman" w:hAnsi="Cambria" w:cs="Times New Roman"/>
                <w:color w:val="000000"/>
              </w:rPr>
            </w:pPr>
            <w:r w:rsidRPr="00081378">
              <w:rPr>
                <w:rFonts w:ascii="Cambria" w:eastAsia="Times New Roman" w:hAnsi="Cambria" w:cs="Times New Roman"/>
                <w:color w:val="000000"/>
                <w:lang w:val="en-US"/>
              </w:rPr>
              <w:t>IPIECA/IOGP</w:t>
            </w:r>
            <w:r w:rsidR="00AA4B91" w:rsidRPr="00081378">
              <w:rPr>
                <w:rFonts w:ascii="Cambria" w:eastAsia="Times New Roman" w:hAnsi="Cambria" w:cs="Times New Roman"/>
                <w:color w:val="000000"/>
                <w:lang w:val="en-US"/>
              </w:rPr>
              <w:t xml:space="preserve">, </w:t>
            </w:r>
            <w:r w:rsidR="00AA4B91" w:rsidRPr="00B210AC">
              <w:rPr>
                <w:rFonts w:ascii="Cambria" w:eastAsia="Times New Roman" w:hAnsi="Cambria" w:cs="Times New Roman"/>
                <w:color w:val="000000"/>
                <w:highlight w:val="lightGray"/>
                <w:lang w:val="en-US"/>
              </w:rPr>
              <w:t>2013</w:t>
            </w:r>
            <w:r w:rsidR="00AA4B91" w:rsidRPr="00081378">
              <w:rPr>
                <w:rFonts w:ascii="Cambria" w:eastAsia="Times New Roman" w:hAnsi="Cambria" w:cs="Times New Roman"/>
                <w:color w:val="000000"/>
                <w:lang w:val="en-US"/>
              </w:rPr>
              <w:t xml:space="preserve">. </w:t>
            </w:r>
            <w:r w:rsidRPr="00AA4B91">
              <w:rPr>
                <w:rFonts w:ascii="Cambria" w:eastAsia="Times New Roman" w:hAnsi="Cambria" w:cs="Times New Roman"/>
                <w:b/>
                <w:color w:val="000000"/>
                <w:lang w:val="en-US"/>
              </w:rPr>
              <w:t xml:space="preserve">The use of decanting offshore oil spill recovery operations </w:t>
            </w:r>
            <w:r w:rsidRPr="00B210AC">
              <w:rPr>
                <w:rFonts w:ascii="Cambria" w:eastAsia="Times New Roman" w:hAnsi="Cambria" w:cs="Times New Roman"/>
                <w:b/>
                <w:color w:val="000000"/>
                <w:highlight w:val="lightGray"/>
                <w:lang w:val="en-US"/>
              </w:rPr>
              <w:t>(</w:t>
            </w:r>
            <w:r w:rsidR="00AA4B91" w:rsidRPr="00B210AC">
              <w:rPr>
                <w:rFonts w:ascii="Cambria" w:eastAsia="Times New Roman" w:hAnsi="Cambria" w:cs="Times New Roman"/>
                <w:b/>
                <w:color w:val="000000"/>
                <w:highlight w:val="lightGray"/>
                <w:lang w:val="en-US"/>
              </w:rPr>
              <w:t>JIT 17</w:t>
            </w:r>
            <w:r w:rsidRPr="00B210AC">
              <w:rPr>
                <w:rFonts w:ascii="Cambria" w:eastAsia="Times New Roman" w:hAnsi="Cambria" w:cs="Times New Roman"/>
                <w:b/>
                <w:color w:val="000000"/>
                <w:highlight w:val="lightGray"/>
                <w:lang w:val="en-US"/>
              </w:rPr>
              <w:t>)</w:t>
            </w:r>
            <w:r w:rsidR="00032904" w:rsidRPr="00B210AC">
              <w:rPr>
                <w:rFonts w:ascii="Cambria" w:eastAsia="Times New Roman" w:hAnsi="Cambria" w:cs="Times New Roman"/>
                <w:color w:val="000000"/>
                <w:highlight w:val="lightGray"/>
                <w:lang w:val="en-US"/>
              </w:rPr>
              <w:t xml:space="preserve">. </w:t>
            </w:r>
            <w:r w:rsidR="00AA4B91" w:rsidRPr="00B210AC">
              <w:rPr>
                <w:rFonts w:ascii="Cambria" w:eastAsia="Times New Roman" w:hAnsi="Cambria" w:cs="Times New Roman"/>
                <w:color w:val="000000"/>
                <w:highlight w:val="lightGray"/>
              </w:rPr>
              <w:t xml:space="preserve">12 p. </w:t>
            </w:r>
            <w:r w:rsidR="00032904" w:rsidRPr="00B210AC">
              <w:rPr>
                <w:rFonts w:ascii="Cambria" w:eastAsia="Times New Roman" w:hAnsi="Cambria" w:cs="Times New Roman"/>
                <w:color w:val="000000"/>
                <w:highlight w:val="lightGray"/>
              </w:rPr>
              <w:t xml:space="preserve">Disponível em </w:t>
            </w:r>
            <w:hyperlink r:id="rId93" w:history="1">
              <w:r w:rsidR="00032904" w:rsidRPr="00B210AC">
                <w:rPr>
                  <w:rStyle w:val="Hyperlink"/>
                  <w:rFonts w:ascii="Cambria" w:eastAsia="Times New Roman" w:hAnsi="Cambria" w:cs="Times New Roman"/>
                  <w:highlight w:val="lightGray"/>
                </w:rPr>
                <w:t>http://www.oilspillresponseproject.org/wp-content/uploads/2016/02/JIP-17-Decanting.pdf</w:t>
              </w:r>
            </w:hyperlink>
            <w:r w:rsidR="00032904">
              <w:rPr>
                <w:rFonts w:ascii="Cambria" w:eastAsia="Times New Roman" w:hAnsi="Cambria" w:cs="Times New Roman"/>
                <w:color w:val="000000"/>
              </w:rPr>
              <w:t xml:space="preserve"> </w:t>
            </w:r>
          </w:p>
          <w:p w14:paraId="67C30CDA" w14:textId="77777777" w:rsidR="00AA4B91" w:rsidRPr="00AA4B91" w:rsidRDefault="00AA4B91" w:rsidP="00AA4B91">
            <w:pPr>
              <w:spacing w:after="120" w:line="240" w:lineRule="auto"/>
              <w:jc w:val="left"/>
              <w:rPr>
                <w:rFonts w:ascii="Cambria" w:eastAsia="Times New Roman" w:hAnsi="Cambria" w:cs="Times New Roman"/>
                <w:color w:val="000000"/>
              </w:rPr>
            </w:pPr>
            <w:r w:rsidRPr="00B210AC">
              <w:rPr>
                <w:rFonts w:ascii="Cambria" w:eastAsia="Times New Roman" w:hAnsi="Cambria" w:cs="Times New Roman"/>
                <w:color w:val="000000"/>
                <w:highlight w:val="lightGray"/>
                <w:lang w:val="en-US"/>
              </w:rPr>
              <w:t xml:space="preserve">IPIECA/IOGP, 2016. </w:t>
            </w:r>
            <w:r w:rsidRPr="00B210AC">
              <w:rPr>
                <w:rFonts w:ascii="Cambria" w:eastAsia="Times New Roman" w:hAnsi="Cambria" w:cs="Times New Roman"/>
                <w:b/>
                <w:color w:val="000000"/>
                <w:highlight w:val="lightGray"/>
                <w:lang w:val="en-US"/>
              </w:rPr>
              <w:t>Work Package 5: Common Operating Picture – Recommended Practice for Common Operating Picture architecture for oil spill response – Final Report</w:t>
            </w:r>
            <w:r w:rsidRPr="00B210AC">
              <w:rPr>
                <w:rFonts w:ascii="Cambria" w:eastAsia="Times New Roman" w:hAnsi="Cambria" w:cs="Times New Roman"/>
                <w:color w:val="000000"/>
                <w:highlight w:val="lightGray"/>
                <w:lang w:val="en-US"/>
              </w:rPr>
              <w:t xml:space="preserve">. </w:t>
            </w:r>
            <w:r w:rsidRPr="00B210AC">
              <w:rPr>
                <w:rFonts w:ascii="Cambria" w:eastAsia="Times New Roman" w:hAnsi="Cambria" w:cs="Times New Roman"/>
                <w:color w:val="000000"/>
                <w:highlight w:val="lightGray"/>
              </w:rPr>
              <w:t xml:space="preserve">109 p. Disponível em: </w:t>
            </w:r>
            <w:hyperlink r:id="rId94" w:history="1">
              <w:r w:rsidRPr="00B210AC">
                <w:rPr>
                  <w:rStyle w:val="Hyperlink"/>
                  <w:rFonts w:ascii="Cambria" w:eastAsia="Times New Roman" w:hAnsi="Cambria" w:cs="Times New Roman"/>
                  <w:highlight w:val="lightGray"/>
                </w:rPr>
                <w:t>http://www.oilspillresponseproject.org/wp-content/uploads/2016/02/IOGP-IPIECA-RP-for-COP-architecture-release-2.2-plus-annexes.pdf</w:t>
              </w:r>
            </w:hyperlink>
            <w:r>
              <w:rPr>
                <w:rFonts w:ascii="Cambria" w:eastAsia="Times New Roman" w:hAnsi="Cambria" w:cs="Times New Roman"/>
                <w:color w:val="000000"/>
              </w:rPr>
              <w:t xml:space="preserve"> </w:t>
            </w:r>
          </w:p>
          <w:p w14:paraId="08446752" w14:textId="77777777" w:rsidR="00AA4B91" w:rsidRPr="00032904" w:rsidRDefault="00AA4B91" w:rsidP="009D01BE">
            <w:pPr>
              <w:spacing w:after="120" w:line="240" w:lineRule="auto"/>
              <w:jc w:val="left"/>
              <w:rPr>
                <w:rFonts w:ascii="Cambria" w:eastAsia="Times New Roman" w:hAnsi="Cambria" w:cs="Times New Roman"/>
                <w:color w:val="000000"/>
              </w:rPr>
            </w:pPr>
          </w:p>
          <w:p w14:paraId="1F18BD5D" w14:textId="6B280762" w:rsidR="00D275CF" w:rsidRDefault="00D275CF" w:rsidP="009D01BE">
            <w:pPr>
              <w:spacing w:after="120" w:line="240" w:lineRule="auto"/>
              <w:jc w:val="left"/>
              <w:rPr>
                <w:rFonts w:ascii="Cambria" w:eastAsia="Times New Roman" w:hAnsi="Cambria" w:cs="Times New Roman"/>
                <w:color w:val="000000"/>
                <w:lang w:val="en-US"/>
              </w:rPr>
            </w:pPr>
            <w:r w:rsidRPr="00D275CF">
              <w:rPr>
                <w:rFonts w:ascii="Cambria" w:eastAsia="Times New Roman" w:hAnsi="Cambria" w:cs="Times New Roman"/>
                <w:color w:val="000000"/>
                <w:lang w:val="en-US"/>
              </w:rPr>
              <w:t>ISCO: Guidelines for decanting settled out water (2012)</w:t>
            </w:r>
          </w:p>
          <w:p w14:paraId="3CDBA5B1" w14:textId="77777777" w:rsidR="00F84193" w:rsidRPr="00F84193" w:rsidRDefault="00F84193" w:rsidP="009D01BE">
            <w:pPr>
              <w:spacing w:after="120" w:line="240" w:lineRule="auto"/>
              <w:jc w:val="left"/>
              <w:rPr>
                <w:rFonts w:ascii="Cambria" w:eastAsia="Times New Roman" w:hAnsi="Cambria" w:cs="Times New Roman"/>
                <w:color w:val="000000"/>
                <w:lang w:val="en-US"/>
              </w:rPr>
            </w:pPr>
            <w:r w:rsidRPr="00F84193">
              <w:rPr>
                <w:rFonts w:ascii="Cambria" w:eastAsia="Times New Roman" w:hAnsi="Cambria" w:cs="Times New Roman"/>
                <w:color w:val="000000"/>
                <w:lang w:val="en-US"/>
              </w:rPr>
              <w:t>ITOPF, Aerial Observation of Oil: Technical Information Paper Nº1, 2009, Reino Unido, 8 p.</w:t>
            </w:r>
          </w:p>
        </w:tc>
      </w:tr>
      <w:tr w:rsidR="00E049DA" w:rsidRPr="0015091A" w14:paraId="4FD71F85" w14:textId="77777777" w:rsidTr="002C6FAB">
        <w:trPr>
          <w:trHeight w:val="20"/>
        </w:trPr>
        <w:tc>
          <w:tcPr>
            <w:tcW w:w="9215" w:type="dxa"/>
            <w:shd w:val="clear" w:color="auto" w:fill="auto"/>
            <w:vAlign w:val="center"/>
            <w:hideMark/>
          </w:tcPr>
          <w:p w14:paraId="59ACA8DE" w14:textId="77777777"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rPr>
              <w:t>ITOPF - Countries &amp; Regions Profile. Disponível em: &lt;http://www.itopf.com/knowledge-resources/countries-regions/&gt; Acesso em 16 jan. 2015.</w:t>
            </w:r>
          </w:p>
        </w:tc>
      </w:tr>
      <w:tr w:rsidR="00E049DA" w:rsidRPr="0015091A" w14:paraId="75DA962F" w14:textId="77777777" w:rsidTr="002C6FAB">
        <w:trPr>
          <w:trHeight w:val="20"/>
        </w:trPr>
        <w:tc>
          <w:tcPr>
            <w:tcW w:w="9215" w:type="dxa"/>
            <w:shd w:val="clear" w:color="auto" w:fill="auto"/>
            <w:vAlign w:val="center"/>
          </w:tcPr>
          <w:p w14:paraId="0AE1071D" w14:textId="77777777"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rPr>
              <w:lastRenderedPageBreak/>
              <w:t xml:space="preserve">MARINE ROBOTICS – Ocean Eye. Disponível em </w:t>
            </w:r>
            <w:hyperlink r:id="rId95" w:history="1">
              <w:r w:rsidR="00F84193" w:rsidRPr="00AA16C9">
                <w:rPr>
                  <w:rStyle w:val="Hyperlink"/>
                  <w:rFonts w:ascii="Cambria" w:eastAsia="Times New Roman" w:hAnsi="Cambria" w:cs="Times New Roman"/>
                </w:rPr>
                <w:t>http://www.maritimerobotics.com/systems/ ocean-eye/</w:t>
              </w:r>
            </w:hyperlink>
            <w:r w:rsidRPr="0015091A">
              <w:rPr>
                <w:rFonts w:ascii="Cambria" w:eastAsia="Times New Roman" w:hAnsi="Cambria" w:cs="Times New Roman"/>
                <w:color w:val="000000"/>
              </w:rPr>
              <w:t>&gt; Acesso em 20 mar. 2015.</w:t>
            </w:r>
          </w:p>
        </w:tc>
      </w:tr>
      <w:tr w:rsidR="00E049DA" w:rsidRPr="0015091A" w14:paraId="3D28C882" w14:textId="77777777" w:rsidTr="002C6FAB">
        <w:trPr>
          <w:trHeight w:val="20"/>
        </w:trPr>
        <w:tc>
          <w:tcPr>
            <w:tcW w:w="9215" w:type="dxa"/>
            <w:shd w:val="clear" w:color="auto" w:fill="auto"/>
            <w:vAlign w:val="center"/>
            <w:hideMark/>
          </w:tcPr>
          <w:p w14:paraId="5DC0812F" w14:textId="77777777"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rPr>
              <w:t xml:space="preserve">MARINE TRAFFIC, Website Institucional, Disponível em </w:t>
            </w:r>
            <w:hyperlink r:id="rId96" w:history="1">
              <w:r w:rsidRPr="0015091A">
                <w:rPr>
                  <w:rStyle w:val="Hyperlink"/>
                  <w:rFonts w:ascii="Cambria" w:eastAsia="Times New Roman" w:hAnsi="Cambria" w:cs="Times New Roman"/>
                </w:rPr>
                <w:t>https://www.MarineTraffic.com</w:t>
              </w:r>
            </w:hyperlink>
            <w:r w:rsidRPr="0015091A">
              <w:rPr>
                <w:rFonts w:ascii="Cambria" w:eastAsia="Times New Roman" w:hAnsi="Cambria" w:cs="Times New Roman"/>
                <w:color w:val="000000"/>
              </w:rPr>
              <w:t xml:space="preserve">&gt; </w:t>
            </w:r>
            <w:r w:rsidRPr="002C6FAB">
              <w:rPr>
                <w:rFonts w:ascii="Cambria" w:eastAsia="Times New Roman" w:hAnsi="Cambria" w:cs="Times New Roman"/>
              </w:rPr>
              <w:t>Acesso em 31 set. 2012.</w:t>
            </w:r>
          </w:p>
        </w:tc>
      </w:tr>
      <w:tr w:rsidR="00E049DA" w:rsidRPr="00656D39" w14:paraId="19C8F5FB" w14:textId="77777777" w:rsidTr="002C6FAB">
        <w:trPr>
          <w:trHeight w:val="20"/>
        </w:trPr>
        <w:tc>
          <w:tcPr>
            <w:tcW w:w="9215" w:type="dxa"/>
            <w:shd w:val="clear" w:color="auto" w:fill="auto"/>
            <w:vAlign w:val="center"/>
            <w:hideMark/>
          </w:tcPr>
          <w:p w14:paraId="60A0F44C" w14:textId="32401AFF" w:rsidR="00E049DA" w:rsidRPr="0015091A" w:rsidRDefault="00E049DA" w:rsidP="009D01BE">
            <w:pPr>
              <w:spacing w:after="120" w:line="240" w:lineRule="auto"/>
              <w:jc w:val="left"/>
              <w:rPr>
                <w:rFonts w:ascii="Cambria" w:eastAsia="Times New Roman" w:hAnsi="Cambria" w:cs="Arial"/>
                <w:color w:val="000000"/>
                <w:lang w:val="en-US"/>
              </w:rPr>
            </w:pPr>
            <w:r w:rsidRPr="0015091A">
              <w:rPr>
                <w:rFonts w:ascii="Cambria" w:eastAsia="Times New Roman" w:hAnsi="Cambria" w:cs="Arial"/>
                <w:color w:val="000000"/>
                <w:lang w:val="en-US"/>
              </w:rPr>
              <w:t>MILLS, C.; MERRICK, G.; DEAL, V.; DE BETTENCOURT, M. AND DEAL, T</w:t>
            </w:r>
            <w:r w:rsidR="00656D39">
              <w:rPr>
                <w:rFonts w:ascii="Cambria" w:eastAsia="Times New Roman" w:hAnsi="Cambria" w:cs="Arial"/>
                <w:color w:val="000000"/>
                <w:lang w:val="en-US"/>
              </w:rPr>
              <w:t>.</w:t>
            </w:r>
            <w:r w:rsidRPr="0015091A">
              <w:rPr>
                <w:rFonts w:ascii="Cambria" w:eastAsia="Times New Roman" w:hAnsi="Cambria" w:cs="Arial"/>
                <w:b/>
                <w:bCs/>
                <w:color w:val="000000"/>
                <w:lang w:val="en-US"/>
              </w:rPr>
              <w:t>Beyond Initial Response – Using the National Incident Management System’s Incident Command System.</w:t>
            </w:r>
            <w:r w:rsidRPr="0015091A">
              <w:rPr>
                <w:rFonts w:ascii="Cambria" w:eastAsia="Times New Roman" w:hAnsi="Cambria" w:cs="Arial"/>
                <w:color w:val="000000"/>
                <w:lang w:val="en-US"/>
              </w:rPr>
              <w:t xml:space="preserve"> 2</w:t>
            </w:r>
            <w:r w:rsidRPr="0015091A">
              <w:rPr>
                <w:rFonts w:ascii="Cambria" w:eastAsia="Times New Roman" w:hAnsi="Cambria" w:cs="Arial"/>
                <w:color w:val="000000"/>
                <w:vertAlign w:val="superscript"/>
                <w:lang w:val="en-US"/>
              </w:rPr>
              <w:t>nd</w:t>
            </w:r>
            <w:r w:rsidRPr="0015091A">
              <w:rPr>
                <w:rFonts w:ascii="Cambria" w:eastAsia="Times New Roman" w:hAnsi="Cambria" w:cs="Arial"/>
                <w:color w:val="000000"/>
                <w:lang w:val="en-US"/>
              </w:rPr>
              <w:t xml:space="preserve"> Ed. ISBN 978-1-4389-8861-0. Bloomington – IN, Maio, 2006, 320 p.</w:t>
            </w:r>
          </w:p>
        </w:tc>
      </w:tr>
      <w:tr w:rsidR="00E049DA" w:rsidRPr="0015091A" w14:paraId="5E29CD35" w14:textId="77777777" w:rsidTr="002C6FAB">
        <w:trPr>
          <w:trHeight w:val="20"/>
        </w:trPr>
        <w:tc>
          <w:tcPr>
            <w:tcW w:w="9215" w:type="dxa"/>
            <w:shd w:val="clear" w:color="auto" w:fill="auto"/>
            <w:vAlign w:val="center"/>
            <w:hideMark/>
          </w:tcPr>
          <w:p w14:paraId="4D916703" w14:textId="77777777"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rPr>
              <w:t xml:space="preserve">MODIS, Website Institucional. Disponível em </w:t>
            </w:r>
            <w:hyperlink r:id="rId97" w:history="1">
              <w:r w:rsidRPr="0015091A">
                <w:rPr>
                  <w:rStyle w:val="Hyperlink"/>
                  <w:rFonts w:ascii="Cambria" w:eastAsia="Times New Roman" w:hAnsi="Cambria" w:cs="Times New Roman"/>
                </w:rPr>
                <w:t>http://modis.gsfc.nasa.gov</w:t>
              </w:r>
            </w:hyperlink>
            <w:r w:rsidRPr="0015091A">
              <w:rPr>
                <w:rFonts w:ascii="Cambria" w:eastAsia="Times New Roman" w:hAnsi="Cambria" w:cs="Times New Roman"/>
                <w:color w:val="000000"/>
              </w:rPr>
              <w:t xml:space="preserve">&gt; </w:t>
            </w:r>
            <w:r w:rsidRPr="002C6FAB">
              <w:rPr>
                <w:rFonts w:ascii="Cambria" w:eastAsia="Times New Roman" w:hAnsi="Cambria" w:cs="Times New Roman"/>
              </w:rPr>
              <w:t>Acesso em 31 ago. 2012.</w:t>
            </w:r>
          </w:p>
        </w:tc>
      </w:tr>
      <w:tr w:rsidR="00E049DA" w:rsidRPr="0015091A" w14:paraId="481025B0" w14:textId="77777777" w:rsidTr="002C6FAB">
        <w:trPr>
          <w:trHeight w:val="20"/>
        </w:trPr>
        <w:tc>
          <w:tcPr>
            <w:tcW w:w="9215" w:type="dxa"/>
            <w:shd w:val="clear" w:color="auto" w:fill="auto"/>
            <w:vAlign w:val="center"/>
            <w:hideMark/>
          </w:tcPr>
          <w:p w14:paraId="04B25268" w14:textId="77777777" w:rsidR="00E049DA" w:rsidRPr="0015091A" w:rsidRDefault="00E049DA" w:rsidP="009D01BE">
            <w:pPr>
              <w:spacing w:after="120" w:line="240" w:lineRule="auto"/>
              <w:jc w:val="left"/>
              <w:rPr>
                <w:rFonts w:ascii="Cambria" w:eastAsia="Times New Roman" w:hAnsi="Cambria" w:cs="Times New Roman"/>
                <w:color w:val="000000"/>
              </w:rPr>
            </w:pPr>
            <w:r w:rsidRPr="002C6FAB">
              <w:rPr>
                <w:rFonts w:ascii="Cambria" w:eastAsia="Times New Roman" w:hAnsi="Cambria" w:cs="Times New Roman"/>
                <w:color w:val="000000"/>
                <w:lang w:val="en-US"/>
              </w:rPr>
              <w:t xml:space="preserve">NESDIS - National Environmental Satellite, Data, and Information Service. </w:t>
            </w:r>
            <w:r w:rsidRPr="0015091A">
              <w:rPr>
                <w:rFonts w:ascii="Cambria" w:eastAsia="Times New Roman" w:hAnsi="Cambria" w:cs="Times New Roman"/>
                <w:color w:val="000000"/>
              </w:rPr>
              <w:t xml:space="preserve">NOAA. Disponível em: </w:t>
            </w:r>
            <w:hyperlink r:id="rId98" w:history="1">
              <w:r w:rsidRPr="0015091A">
                <w:rPr>
                  <w:rStyle w:val="Hyperlink"/>
                  <w:rFonts w:ascii="Cambria" w:eastAsia="Times New Roman" w:hAnsi="Cambria" w:cs="Times New Roman"/>
                </w:rPr>
                <w:t>http://www.nesdis.noaa.gov/news_archives/valdez_anniversary.html</w:t>
              </w:r>
            </w:hyperlink>
            <w:r w:rsidRPr="0015091A">
              <w:rPr>
                <w:rFonts w:ascii="Cambria" w:eastAsia="Times New Roman" w:hAnsi="Cambria" w:cs="Times New Roman"/>
                <w:color w:val="000000"/>
              </w:rPr>
              <w:t>&gt; Acesso em 26 jan. 2015.</w:t>
            </w:r>
          </w:p>
        </w:tc>
      </w:tr>
      <w:tr w:rsidR="00E049DA" w:rsidRPr="0015091A" w14:paraId="689326CC" w14:textId="77777777" w:rsidTr="002C6FAB">
        <w:trPr>
          <w:trHeight w:val="20"/>
        </w:trPr>
        <w:tc>
          <w:tcPr>
            <w:tcW w:w="9215" w:type="dxa"/>
            <w:shd w:val="clear" w:color="auto" w:fill="auto"/>
            <w:vAlign w:val="center"/>
            <w:hideMark/>
          </w:tcPr>
          <w:p w14:paraId="2E82BCD6" w14:textId="77777777" w:rsidR="00E049DA" w:rsidRPr="0015091A" w:rsidRDefault="00E049DA" w:rsidP="009D01BE">
            <w:pPr>
              <w:spacing w:after="120" w:line="240" w:lineRule="auto"/>
              <w:jc w:val="left"/>
              <w:rPr>
                <w:rFonts w:ascii="Cambria" w:eastAsia="Times New Roman" w:hAnsi="Cambria" w:cs="Arial"/>
                <w:color w:val="000000"/>
              </w:rPr>
            </w:pPr>
            <w:r w:rsidRPr="0015091A">
              <w:rPr>
                <w:rFonts w:ascii="Cambria" w:eastAsia="Times New Roman" w:hAnsi="Cambria" w:cs="Arial"/>
                <w:color w:val="000000"/>
                <w:lang w:val="en-US"/>
              </w:rPr>
              <w:t>NOAA,</w:t>
            </w:r>
            <w:r w:rsidRPr="0015091A">
              <w:rPr>
                <w:rFonts w:ascii="Cambria" w:eastAsia="Times New Roman" w:hAnsi="Cambria" w:cs="Arial"/>
                <w:b/>
                <w:color w:val="000000"/>
                <w:lang w:val="en-US"/>
              </w:rPr>
              <w:t xml:space="preserve"> Characteristic Coastal Habitats</w:t>
            </w:r>
            <w:r w:rsidRPr="0015091A">
              <w:rPr>
                <w:rFonts w:ascii="Cambria" w:eastAsia="Times New Roman" w:hAnsi="Cambria" w:cs="Arial"/>
                <w:color w:val="000000"/>
                <w:lang w:val="en-US"/>
              </w:rPr>
              <w:t>: Choosing Spill Response Alternatives. 2000, Seattle, Washington, 86 p.</w:t>
            </w:r>
          </w:p>
        </w:tc>
      </w:tr>
      <w:tr w:rsidR="001C7262" w:rsidRPr="0015091A" w14:paraId="05028A5C" w14:textId="77777777" w:rsidTr="002C6FAB">
        <w:trPr>
          <w:trHeight w:val="20"/>
        </w:trPr>
        <w:tc>
          <w:tcPr>
            <w:tcW w:w="9215" w:type="dxa"/>
            <w:shd w:val="clear" w:color="auto" w:fill="auto"/>
            <w:vAlign w:val="center"/>
          </w:tcPr>
          <w:p w14:paraId="70443DC4" w14:textId="77777777" w:rsidR="001C7262" w:rsidRPr="001C7262" w:rsidRDefault="001C7262" w:rsidP="009D01BE">
            <w:pPr>
              <w:spacing w:after="120" w:line="240" w:lineRule="auto"/>
              <w:jc w:val="left"/>
              <w:rPr>
                <w:rFonts w:ascii="Cambria" w:eastAsia="Times New Roman" w:hAnsi="Cambria" w:cs="Arial"/>
                <w:color w:val="000000"/>
              </w:rPr>
            </w:pPr>
            <w:r w:rsidRPr="001C7262">
              <w:rPr>
                <w:rFonts w:ascii="Cambria" w:eastAsia="Times New Roman" w:hAnsi="Cambria" w:cs="Arial"/>
                <w:color w:val="000000"/>
              </w:rPr>
              <w:t>NOA</w:t>
            </w:r>
            <w:r>
              <w:rPr>
                <w:rFonts w:ascii="Cambria" w:eastAsia="Times New Roman" w:hAnsi="Cambria" w:cs="Arial"/>
                <w:color w:val="000000"/>
              </w:rPr>
              <w:t xml:space="preserve">A - Satellites, Disponível em: </w:t>
            </w:r>
            <w:r w:rsidRPr="001C7262">
              <w:rPr>
                <w:rStyle w:val="Hyperlink"/>
                <w:rFonts w:cs="Times New Roman"/>
              </w:rPr>
              <w:t>http://www.noaa.gov/satellites.html</w:t>
            </w:r>
            <w:r w:rsidRPr="001C7262">
              <w:rPr>
                <w:rFonts w:ascii="Cambria" w:eastAsia="Times New Roman" w:hAnsi="Cambria" w:cs="Arial"/>
                <w:color w:val="000000"/>
              </w:rPr>
              <w:t>&gt; Acesso em 27 fev. 2015.</w:t>
            </w:r>
          </w:p>
        </w:tc>
      </w:tr>
      <w:tr w:rsidR="00E049DA" w:rsidRPr="0015091A" w14:paraId="24480F8F" w14:textId="77777777" w:rsidTr="002C6FAB">
        <w:trPr>
          <w:trHeight w:val="20"/>
        </w:trPr>
        <w:tc>
          <w:tcPr>
            <w:tcW w:w="9215" w:type="dxa"/>
            <w:shd w:val="clear" w:color="auto" w:fill="auto"/>
            <w:vAlign w:val="center"/>
            <w:hideMark/>
          </w:tcPr>
          <w:p w14:paraId="4D828C2A" w14:textId="77777777"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rPr>
              <w:t xml:space="preserve">NOFI - Current Buster, Disponível em: </w:t>
            </w:r>
            <w:hyperlink r:id="rId99" w:history="1">
              <w:r w:rsidRPr="0015091A">
                <w:rPr>
                  <w:rStyle w:val="Hyperlink"/>
                  <w:rFonts w:ascii="Cambria" w:eastAsia="Times New Roman" w:hAnsi="Cambria" w:cs="Times New Roman"/>
                </w:rPr>
                <w:t>http://www.nofi.no/nofi-current-busterareg-8.4663345-139608.html</w:t>
              </w:r>
            </w:hyperlink>
            <w:r w:rsidRPr="0015091A">
              <w:rPr>
                <w:rFonts w:ascii="Cambria" w:eastAsia="Times New Roman" w:hAnsi="Cambria" w:cs="Times New Roman"/>
                <w:color w:val="000000"/>
              </w:rPr>
              <w:t xml:space="preserve">&gt; Acesso </w:t>
            </w:r>
            <w:r w:rsidRPr="0015091A">
              <w:rPr>
                <w:rFonts w:ascii="Cambria" w:eastAsia="Times New Roman" w:hAnsi="Cambria" w:cs="Times New Roman"/>
              </w:rPr>
              <w:t>em 05 mar. 2015.</w:t>
            </w:r>
          </w:p>
        </w:tc>
      </w:tr>
      <w:tr w:rsidR="00E049DA" w:rsidRPr="0015091A" w14:paraId="6CE9B366" w14:textId="77777777" w:rsidTr="002C6FAB">
        <w:trPr>
          <w:trHeight w:val="20"/>
        </w:trPr>
        <w:tc>
          <w:tcPr>
            <w:tcW w:w="9215" w:type="dxa"/>
            <w:shd w:val="clear" w:color="auto" w:fill="auto"/>
            <w:vAlign w:val="center"/>
          </w:tcPr>
          <w:p w14:paraId="7B89B4CA" w14:textId="77777777" w:rsidR="00E049DA" w:rsidRPr="0015091A" w:rsidRDefault="00E049DA" w:rsidP="009D01BE">
            <w:pPr>
              <w:spacing w:after="120" w:line="240" w:lineRule="auto"/>
              <w:rPr>
                <w:rFonts w:ascii="Cambria" w:hAnsi="Cambria" w:cs="Calibri"/>
                <w:lang w:val="en-US"/>
              </w:rPr>
            </w:pPr>
            <w:r w:rsidRPr="0015091A">
              <w:rPr>
                <w:rFonts w:ascii="Cambria" w:hAnsi="Cambria" w:cs="Calibri"/>
                <w:lang w:val="en-US"/>
              </w:rPr>
              <w:t xml:space="preserve">NUKA REASEARCH AND PLANNING GROUP. </w:t>
            </w:r>
            <w:r w:rsidRPr="0015091A">
              <w:rPr>
                <w:rFonts w:ascii="Cambria" w:hAnsi="Cambria" w:cs="Calibri"/>
                <w:b/>
                <w:lang w:val="en-US"/>
              </w:rPr>
              <w:t>Spill Tactics for Alaska Responders</w:t>
            </w:r>
            <w:r w:rsidRPr="0015091A">
              <w:rPr>
                <w:rFonts w:ascii="Cambria" w:hAnsi="Cambria" w:cs="Calibri"/>
                <w:lang w:val="en-US"/>
              </w:rPr>
              <w:t>. Alaska, Março, 2014, 274 p.</w:t>
            </w:r>
          </w:p>
        </w:tc>
      </w:tr>
      <w:tr w:rsidR="00E049DA" w:rsidRPr="0015091A" w14:paraId="3E766124" w14:textId="77777777" w:rsidTr="002C6FAB">
        <w:trPr>
          <w:trHeight w:val="20"/>
        </w:trPr>
        <w:tc>
          <w:tcPr>
            <w:tcW w:w="9215" w:type="dxa"/>
            <w:shd w:val="clear" w:color="auto" w:fill="auto"/>
            <w:vAlign w:val="center"/>
            <w:hideMark/>
          </w:tcPr>
          <w:p w14:paraId="5C94405F" w14:textId="77777777" w:rsidR="00E049DA" w:rsidRPr="0015091A" w:rsidRDefault="00E049DA" w:rsidP="009D01BE">
            <w:pPr>
              <w:spacing w:after="120" w:line="240" w:lineRule="auto"/>
              <w:jc w:val="left"/>
              <w:rPr>
                <w:rFonts w:ascii="Cambria" w:eastAsia="Times New Roman" w:hAnsi="Cambria" w:cs="Times New Roman"/>
              </w:rPr>
            </w:pPr>
            <w:r w:rsidRPr="0015091A">
              <w:rPr>
                <w:rFonts w:ascii="Cambria" w:eastAsia="Times New Roman" w:hAnsi="Cambria" w:cs="Times New Roman"/>
                <w:bCs/>
                <w:lang w:val="en-US"/>
              </w:rPr>
              <w:t>OIL SPILL RESPONSE,</w:t>
            </w:r>
            <w:r w:rsidRPr="0015091A">
              <w:rPr>
                <w:rFonts w:ascii="Cambria" w:eastAsia="Times New Roman" w:hAnsi="Cambria" w:cs="Times New Roman"/>
                <w:b/>
                <w:bCs/>
                <w:lang w:val="en-US"/>
              </w:rPr>
              <w:t xml:space="preserve"> Aerial Surveillance Field Guide: A guide to aerial surveillance for oil spill operations. </w:t>
            </w:r>
            <w:r w:rsidRPr="0015091A">
              <w:rPr>
                <w:rFonts w:ascii="Cambria" w:eastAsia="Times New Roman" w:hAnsi="Cambria" w:cs="Times New Roman"/>
                <w:bCs/>
                <w:lang w:val="en-US"/>
              </w:rPr>
              <w:t>Dezembro, 2011, 20 p.</w:t>
            </w:r>
          </w:p>
        </w:tc>
      </w:tr>
      <w:tr w:rsidR="00E049DA" w:rsidRPr="009D286F" w14:paraId="75405BCA" w14:textId="77777777" w:rsidTr="002C6FAB">
        <w:trPr>
          <w:trHeight w:val="20"/>
        </w:trPr>
        <w:tc>
          <w:tcPr>
            <w:tcW w:w="9215" w:type="dxa"/>
            <w:shd w:val="clear" w:color="auto" w:fill="auto"/>
            <w:vAlign w:val="center"/>
            <w:hideMark/>
          </w:tcPr>
          <w:p w14:paraId="5E7979BE" w14:textId="77777777" w:rsidR="00E049DA" w:rsidRPr="0015091A" w:rsidRDefault="00E049DA" w:rsidP="009D01BE">
            <w:pPr>
              <w:spacing w:after="120" w:line="240" w:lineRule="auto"/>
              <w:jc w:val="left"/>
              <w:rPr>
                <w:rFonts w:ascii="Cambria" w:eastAsia="Times New Roman" w:hAnsi="Cambria" w:cs="Arial"/>
                <w:color w:val="000000"/>
                <w:lang w:val="en-US"/>
              </w:rPr>
            </w:pPr>
            <w:r w:rsidRPr="0015091A">
              <w:rPr>
                <w:rFonts w:ascii="Cambria" w:eastAsia="Times New Roman" w:hAnsi="Cambria" w:cs="Arial"/>
                <w:bCs/>
                <w:color w:val="000000"/>
                <w:lang w:val="en-US"/>
              </w:rPr>
              <w:t>OSRL,</w:t>
            </w:r>
            <w:r w:rsidRPr="0015091A">
              <w:rPr>
                <w:rFonts w:ascii="Cambria" w:eastAsia="Times New Roman" w:hAnsi="Cambria" w:cs="Arial"/>
                <w:b/>
                <w:bCs/>
                <w:color w:val="000000"/>
                <w:lang w:val="en-US"/>
              </w:rPr>
              <w:t xml:space="preserve"> Dispersant Application Field Guide:</w:t>
            </w:r>
            <w:r w:rsidRPr="0015091A">
              <w:rPr>
                <w:rFonts w:ascii="Cambria" w:eastAsia="Times New Roman" w:hAnsi="Cambria" w:cs="Arial"/>
                <w:color w:val="000000"/>
                <w:lang w:val="en-US"/>
              </w:rPr>
              <w:t xml:space="preserve"> Oil Spill Response Series Number 9, Dezembro, 2011, 20 pp.</w:t>
            </w:r>
          </w:p>
        </w:tc>
      </w:tr>
      <w:tr w:rsidR="00E049DA" w:rsidRPr="0015091A" w14:paraId="5E68294F" w14:textId="77777777" w:rsidTr="002C6FAB">
        <w:trPr>
          <w:trHeight w:val="20"/>
        </w:trPr>
        <w:tc>
          <w:tcPr>
            <w:tcW w:w="9215" w:type="dxa"/>
            <w:shd w:val="clear" w:color="auto" w:fill="auto"/>
            <w:vAlign w:val="center"/>
          </w:tcPr>
          <w:p w14:paraId="410E588E" w14:textId="3E8F741F" w:rsidR="00E049DA" w:rsidRPr="0015091A" w:rsidRDefault="00E049DA" w:rsidP="009D01BE">
            <w:pPr>
              <w:spacing w:after="120" w:line="240" w:lineRule="auto"/>
              <w:ind w:left="5"/>
              <w:rPr>
                <w:rFonts w:ascii="Cambria" w:hAnsi="Cambria" w:cs="Calibri"/>
              </w:rPr>
            </w:pPr>
            <w:r w:rsidRPr="0015091A">
              <w:rPr>
                <w:rFonts w:ascii="Cambria" w:hAnsi="Cambria" w:cs="Calibri"/>
              </w:rPr>
              <w:t xml:space="preserve">POLARIS. Apostila do Curso: </w:t>
            </w:r>
            <w:r w:rsidRPr="0015091A">
              <w:rPr>
                <w:rFonts w:ascii="Cambria" w:hAnsi="Cambria" w:cs="Calibri"/>
                <w:b/>
              </w:rPr>
              <w:t>Shoreline and Oil Spill Response</w:t>
            </w:r>
            <w:r w:rsidRPr="0015091A">
              <w:rPr>
                <w:rFonts w:ascii="Cambria" w:hAnsi="Cambria" w:cs="Calibri"/>
              </w:rPr>
              <w:t>, Versão 3.1</w:t>
            </w:r>
            <w:r w:rsidR="00656D39">
              <w:rPr>
                <w:rFonts w:ascii="Cambria" w:hAnsi="Cambria" w:cs="Calibri"/>
              </w:rPr>
              <w:t>.</w:t>
            </w:r>
            <w:r w:rsidRPr="0015091A">
              <w:rPr>
                <w:rFonts w:ascii="Cambria" w:hAnsi="Cambria" w:cs="Calibri"/>
              </w:rPr>
              <w:t>Novembro, 2011</w:t>
            </w:r>
            <w:r w:rsidR="00023481">
              <w:rPr>
                <w:rFonts w:ascii="Cambria" w:hAnsi="Cambria" w:cs="Calibri"/>
              </w:rPr>
              <w:t>, 226 pp.</w:t>
            </w:r>
          </w:p>
        </w:tc>
      </w:tr>
      <w:tr w:rsidR="00E049DA" w:rsidRPr="0015091A" w14:paraId="3BF8AD47" w14:textId="77777777" w:rsidTr="002C6FAB">
        <w:trPr>
          <w:trHeight w:val="20"/>
        </w:trPr>
        <w:tc>
          <w:tcPr>
            <w:tcW w:w="9215" w:type="dxa"/>
            <w:shd w:val="clear" w:color="auto" w:fill="auto"/>
            <w:vAlign w:val="center"/>
          </w:tcPr>
          <w:p w14:paraId="3E3FEFF4" w14:textId="272AED58" w:rsidR="007F445E" w:rsidRPr="007F445E" w:rsidRDefault="007F445E" w:rsidP="007F445E">
            <w:pPr>
              <w:spacing w:after="120" w:line="240" w:lineRule="auto"/>
              <w:rPr>
                <w:rFonts w:ascii="Cambria" w:eastAsia="Times New Roman" w:hAnsi="Cambria" w:cs="Times New Roman"/>
                <w:color w:val="000000"/>
              </w:rPr>
            </w:pPr>
            <w:r w:rsidRPr="00B210AC">
              <w:rPr>
                <w:rFonts w:ascii="Cambria" w:eastAsia="Times New Roman" w:hAnsi="Cambria" w:cs="Times New Roman"/>
                <w:color w:val="000000"/>
                <w:highlight w:val="lightGray"/>
                <w:lang w:val="en-US"/>
              </w:rPr>
              <w:t>SCHULER, P</w:t>
            </w:r>
            <w:r w:rsidR="00AA4B91" w:rsidRPr="00B210AC">
              <w:rPr>
                <w:rFonts w:ascii="Cambria" w:eastAsia="Times New Roman" w:hAnsi="Cambria" w:cs="Times New Roman"/>
                <w:color w:val="000000"/>
                <w:highlight w:val="lightGray"/>
                <w:lang w:val="en-US"/>
              </w:rPr>
              <w:t>, 2014</w:t>
            </w:r>
            <w:r w:rsidRPr="00B210AC">
              <w:rPr>
                <w:rFonts w:ascii="Cambria" w:eastAsia="Times New Roman" w:hAnsi="Cambria" w:cs="Times New Roman"/>
                <w:color w:val="000000"/>
                <w:highlight w:val="lightGray"/>
                <w:lang w:val="en-US"/>
              </w:rPr>
              <w:t xml:space="preserve">. </w:t>
            </w:r>
            <w:r w:rsidRPr="00B210AC">
              <w:rPr>
                <w:rFonts w:ascii="Cambria" w:eastAsia="Times New Roman" w:hAnsi="Cambria" w:cs="Times New Roman"/>
                <w:b/>
                <w:color w:val="000000"/>
                <w:highlight w:val="lightGray"/>
                <w:lang w:val="en-US"/>
              </w:rPr>
              <w:t>MOBEX Cayenne 2013:</w:t>
            </w:r>
            <w:r w:rsidRPr="00B210AC">
              <w:rPr>
                <w:rFonts w:ascii="Cambria" w:eastAsia="Times New Roman" w:hAnsi="Cambria" w:cs="Times New Roman"/>
                <w:color w:val="000000"/>
                <w:highlight w:val="lightGray"/>
                <w:lang w:val="en-US"/>
              </w:rPr>
              <w:t xml:space="preserve"> </w:t>
            </w:r>
            <w:r w:rsidRPr="00B210AC">
              <w:rPr>
                <w:rFonts w:ascii="Cambria" w:eastAsia="Times New Roman" w:hAnsi="Cambria" w:cs="Times New Roman"/>
                <w:b/>
                <w:color w:val="000000"/>
                <w:highlight w:val="lightGray"/>
                <w:lang w:val="en-US"/>
              </w:rPr>
              <w:t>Lessons learned &amp; response enhancements derived from the international mobilization, preparedness &amp; response exercise in French Guiana</w:t>
            </w:r>
            <w:r w:rsidRPr="00B210AC">
              <w:rPr>
                <w:rFonts w:ascii="Cambria" w:eastAsia="Times New Roman" w:hAnsi="Cambria" w:cs="Times New Roman"/>
                <w:color w:val="000000"/>
                <w:highlight w:val="lightGray"/>
                <w:lang w:val="en-US"/>
              </w:rPr>
              <w:t xml:space="preserve">. </w:t>
            </w:r>
            <w:r w:rsidRPr="00B210AC">
              <w:rPr>
                <w:rFonts w:ascii="Cambria" w:eastAsia="Times New Roman" w:hAnsi="Cambria" w:cs="Times New Roman"/>
                <w:color w:val="000000"/>
                <w:highlight w:val="lightGray"/>
              </w:rPr>
              <w:t xml:space="preserve">Maio, 2014. 8 pp.  Disponível em  </w:t>
            </w:r>
            <w:hyperlink r:id="rId100" w:history="1">
              <w:r w:rsidRPr="00B210AC">
                <w:rPr>
                  <w:rStyle w:val="Hyperlink"/>
                  <w:highlight w:val="lightGray"/>
                </w:rPr>
                <w:t>https://www.researchgate.net/publication/271231994</w:t>
              </w:r>
            </w:hyperlink>
            <w:r w:rsidRPr="00B210AC">
              <w:rPr>
                <w:highlight w:val="lightGray"/>
              </w:rPr>
              <w:t xml:space="preserve"> &gt; Acesso em 16/abr/2018.</w:t>
            </w:r>
          </w:p>
          <w:p w14:paraId="5D05A0DA" w14:textId="36FA5FF4" w:rsidR="00E049DA" w:rsidRPr="007F445E" w:rsidRDefault="00E049DA" w:rsidP="007F445E">
            <w:pPr>
              <w:spacing w:after="120" w:line="240" w:lineRule="auto"/>
              <w:rPr>
                <w:rFonts w:ascii="Cambria" w:eastAsia="Times New Roman" w:hAnsi="Cambria" w:cs="Times New Roman"/>
                <w:color w:val="000000"/>
                <w:lang w:eastAsia="en-US"/>
              </w:rPr>
            </w:pPr>
            <w:r w:rsidRPr="0015091A">
              <w:rPr>
                <w:rFonts w:ascii="Cambria" w:eastAsia="Times New Roman" w:hAnsi="Cambria" w:cs="Times New Roman"/>
                <w:color w:val="000000"/>
              </w:rPr>
              <w:t xml:space="preserve">SECRETARIA DE ESTADO DE JUSTIÇA E SEGURANÇA PÚBLICA, </w:t>
            </w:r>
            <w:r w:rsidRPr="0015091A">
              <w:rPr>
                <w:rFonts w:ascii="Cambria" w:eastAsia="Times New Roman" w:hAnsi="Cambria" w:cs="Times New Roman"/>
                <w:b/>
                <w:color w:val="000000"/>
              </w:rPr>
              <w:t>Norma Técnica</w:t>
            </w:r>
            <w:r w:rsidRPr="0015091A">
              <w:rPr>
                <w:rFonts w:ascii="Cambria" w:eastAsia="Times New Roman" w:hAnsi="Cambria" w:cs="Times New Roman"/>
                <w:color w:val="000000"/>
              </w:rPr>
              <w:t xml:space="preserve"> nº 03/2013, Terminologia Plano de Emergência Contra Incêndio. Publicado no DOEMS N° 8429 – Suplemento n° 01.</w:t>
            </w:r>
          </w:p>
        </w:tc>
      </w:tr>
      <w:tr w:rsidR="00E049DA" w:rsidRPr="004C02ED" w14:paraId="2EDE45EA" w14:textId="77777777" w:rsidTr="002C6FAB">
        <w:trPr>
          <w:trHeight w:val="20"/>
        </w:trPr>
        <w:tc>
          <w:tcPr>
            <w:tcW w:w="9215" w:type="dxa"/>
            <w:shd w:val="clear" w:color="auto" w:fill="auto"/>
            <w:vAlign w:val="center"/>
            <w:hideMark/>
          </w:tcPr>
          <w:p w14:paraId="4E1C4DB7" w14:textId="77777777" w:rsidR="00E049DA" w:rsidRPr="004C02ED" w:rsidRDefault="00E049DA" w:rsidP="009D01BE">
            <w:pPr>
              <w:spacing w:after="120" w:line="240" w:lineRule="auto"/>
              <w:jc w:val="left"/>
              <w:rPr>
                <w:rFonts w:ascii="Cambria" w:eastAsia="Times New Roman" w:hAnsi="Cambria" w:cs="Times New Roman"/>
                <w:color w:val="000000"/>
              </w:rPr>
            </w:pPr>
            <w:r w:rsidRPr="004C02ED">
              <w:rPr>
                <w:rFonts w:ascii="Cambria" w:eastAsia="Times New Roman" w:hAnsi="Cambria" w:cs="Times New Roman"/>
                <w:color w:val="000000"/>
              </w:rPr>
              <w:t xml:space="preserve">SINTEF, Website Institucional. Disponível em </w:t>
            </w:r>
            <w:hyperlink r:id="rId101" w:history="1">
              <w:r w:rsidRPr="004C02ED">
                <w:rPr>
                  <w:rStyle w:val="Hyperlink"/>
                  <w:rFonts w:ascii="Cambria" w:eastAsia="Times New Roman" w:hAnsi="Cambria" w:cs="Times New Roman"/>
                </w:rPr>
                <w:t>https://www.sintef.no</w:t>
              </w:r>
            </w:hyperlink>
            <w:r w:rsidRPr="004C02ED">
              <w:rPr>
                <w:rFonts w:ascii="Cambria" w:eastAsia="Times New Roman" w:hAnsi="Cambria" w:cs="Times New Roman"/>
                <w:color w:val="000000"/>
              </w:rPr>
              <w:t xml:space="preserve">&gt; </w:t>
            </w:r>
            <w:r w:rsidRPr="002C6FAB">
              <w:rPr>
                <w:rFonts w:ascii="Cambria" w:eastAsia="Times New Roman" w:hAnsi="Cambria" w:cs="Times New Roman"/>
              </w:rPr>
              <w:t>Acesso em 31 ago. 2012.</w:t>
            </w:r>
          </w:p>
        </w:tc>
      </w:tr>
      <w:tr w:rsidR="00E049DA" w:rsidRPr="0015091A" w14:paraId="777634A2" w14:textId="77777777" w:rsidTr="002C6FAB">
        <w:trPr>
          <w:trHeight w:val="20"/>
        </w:trPr>
        <w:tc>
          <w:tcPr>
            <w:tcW w:w="9215" w:type="dxa"/>
            <w:shd w:val="clear" w:color="auto" w:fill="auto"/>
            <w:vAlign w:val="center"/>
            <w:hideMark/>
          </w:tcPr>
          <w:p w14:paraId="79B032EF" w14:textId="2A0F4C48" w:rsidR="00D275CF" w:rsidRPr="00D275CF" w:rsidRDefault="00D275CF" w:rsidP="009D01BE">
            <w:pPr>
              <w:spacing w:after="120" w:line="240" w:lineRule="auto"/>
              <w:jc w:val="left"/>
              <w:rPr>
                <w:rFonts w:ascii="Cambria" w:eastAsia="Times New Roman" w:hAnsi="Cambria" w:cs="Arial"/>
                <w:color w:val="000000"/>
                <w:lang w:val="en-US"/>
              </w:rPr>
            </w:pPr>
            <w:r w:rsidRPr="00D275CF">
              <w:rPr>
                <w:rFonts w:ascii="Cambria" w:eastAsia="Times New Roman" w:hAnsi="Cambria" w:cs="Arial" w:hint="eastAsia"/>
                <w:color w:val="000000"/>
                <w:lang w:val="en-US"/>
              </w:rPr>
              <w:t>SOSC: Oil Spill Decanting Application/Autorization Form (Alaska ‐ 2005)</w:t>
            </w:r>
          </w:p>
          <w:p w14:paraId="202CF315" w14:textId="1D18C7C8" w:rsidR="00E049DA" w:rsidRPr="0015091A" w:rsidRDefault="00E049DA" w:rsidP="009D01BE">
            <w:pPr>
              <w:spacing w:after="120" w:line="240" w:lineRule="auto"/>
              <w:jc w:val="left"/>
              <w:rPr>
                <w:rFonts w:ascii="Cambria" w:eastAsia="Times New Roman" w:hAnsi="Cambria" w:cs="Arial"/>
                <w:color w:val="000000"/>
              </w:rPr>
            </w:pPr>
            <w:r w:rsidRPr="0015091A">
              <w:rPr>
                <w:rFonts w:ascii="Cambria" w:eastAsia="Times New Roman" w:hAnsi="Cambria" w:cs="Arial"/>
                <w:color w:val="000000"/>
              </w:rPr>
              <w:t>THOMAS, J. E</w:t>
            </w:r>
            <w:r w:rsidR="00656D39">
              <w:rPr>
                <w:rFonts w:ascii="Cambria" w:eastAsia="Times New Roman" w:hAnsi="Cambria" w:cs="Arial"/>
                <w:color w:val="000000"/>
              </w:rPr>
              <w:t>.</w:t>
            </w:r>
            <w:r w:rsidRPr="0015091A">
              <w:rPr>
                <w:rFonts w:ascii="Cambria" w:eastAsia="Times New Roman" w:hAnsi="Cambria" w:cs="Arial"/>
                <w:b/>
                <w:bCs/>
                <w:color w:val="000000"/>
              </w:rPr>
              <w:t>Fundamentos da Engenharia do Petróleo.</w:t>
            </w:r>
            <w:r w:rsidRPr="0015091A">
              <w:rPr>
                <w:rFonts w:ascii="Cambria" w:eastAsia="Times New Roman" w:hAnsi="Cambria" w:cs="Arial"/>
                <w:color w:val="000000"/>
              </w:rPr>
              <w:t xml:space="preserve"> Rio de Janeiro: Interciência</w:t>
            </w:r>
            <w:r w:rsidRPr="0015091A">
              <w:rPr>
                <w:rFonts w:ascii="Cambria" w:eastAsia="Times New Roman" w:hAnsi="Cambria" w:cs="Arial"/>
              </w:rPr>
              <w:t xml:space="preserve">, </w:t>
            </w:r>
            <w:r w:rsidRPr="0015091A">
              <w:rPr>
                <w:rFonts w:ascii="Cambria" w:eastAsia="Times New Roman" w:hAnsi="Cambria"/>
                <w:bCs/>
              </w:rPr>
              <w:t>2004, 272 p</w:t>
            </w:r>
            <w:r w:rsidRPr="0015091A">
              <w:rPr>
                <w:rFonts w:ascii="Cambria" w:eastAsia="Times New Roman" w:hAnsi="Cambria"/>
                <w:b/>
                <w:bCs/>
              </w:rPr>
              <w:t>.</w:t>
            </w:r>
          </w:p>
        </w:tc>
      </w:tr>
      <w:tr w:rsidR="00E049DA" w:rsidRPr="0015091A" w14:paraId="59CA071D" w14:textId="77777777" w:rsidTr="002C6FAB">
        <w:trPr>
          <w:trHeight w:val="20"/>
        </w:trPr>
        <w:tc>
          <w:tcPr>
            <w:tcW w:w="9215" w:type="dxa"/>
            <w:shd w:val="clear" w:color="auto" w:fill="auto"/>
            <w:vAlign w:val="center"/>
            <w:hideMark/>
          </w:tcPr>
          <w:p w14:paraId="0CCE1A0C" w14:textId="77777777"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rPr>
              <w:t xml:space="preserve">THREETEK Soluções em Geomática, Website Institucional. Disponível em </w:t>
            </w:r>
            <w:hyperlink r:id="rId102" w:history="1">
              <w:r w:rsidRPr="0015091A">
                <w:rPr>
                  <w:rStyle w:val="Hyperlink"/>
                  <w:rFonts w:ascii="Cambria" w:eastAsia="Times New Roman" w:hAnsi="Cambria" w:cs="Times New Roman"/>
                </w:rPr>
                <w:t>https://www.threetek.com</w:t>
              </w:r>
            </w:hyperlink>
            <w:r w:rsidRPr="0015091A">
              <w:rPr>
                <w:rFonts w:ascii="Cambria" w:eastAsia="Times New Roman" w:hAnsi="Cambria" w:cs="Times New Roman"/>
                <w:color w:val="000000"/>
              </w:rPr>
              <w:t xml:space="preserve">&gt; </w:t>
            </w:r>
            <w:r w:rsidRPr="002C6FAB">
              <w:rPr>
                <w:rFonts w:ascii="Cambria" w:eastAsia="Times New Roman" w:hAnsi="Cambria" w:cs="Times New Roman"/>
              </w:rPr>
              <w:t>Acesso em 31 ago. 2012.</w:t>
            </w:r>
          </w:p>
        </w:tc>
      </w:tr>
      <w:tr w:rsidR="00E049DA" w:rsidRPr="0015091A" w14:paraId="5FB5E4D8" w14:textId="77777777" w:rsidTr="002C6FAB">
        <w:trPr>
          <w:trHeight w:val="20"/>
        </w:trPr>
        <w:tc>
          <w:tcPr>
            <w:tcW w:w="9215" w:type="dxa"/>
            <w:shd w:val="clear" w:color="auto" w:fill="auto"/>
            <w:vAlign w:val="center"/>
            <w:hideMark/>
          </w:tcPr>
          <w:p w14:paraId="367FCBB0" w14:textId="77777777" w:rsidR="00E049DA" w:rsidRPr="0015091A" w:rsidRDefault="00E049DA" w:rsidP="009D01BE">
            <w:pPr>
              <w:spacing w:after="120" w:line="240" w:lineRule="auto"/>
              <w:jc w:val="left"/>
              <w:rPr>
                <w:rFonts w:ascii="Cambria" w:eastAsia="Times New Roman" w:hAnsi="Cambria" w:cs="Arial"/>
                <w:color w:val="000000"/>
              </w:rPr>
            </w:pPr>
            <w:r w:rsidRPr="0015091A">
              <w:rPr>
                <w:rFonts w:ascii="Cambria" w:eastAsia="Times New Roman" w:hAnsi="Cambria" w:cs="Arial"/>
                <w:color w:val="000000"/>
                <w:lang w:val="en-US"/>
              </w:rPr>
              <w:t xml:space="preserve">US Coast Guard (USCG), </w:t>
            </w:r>
            <w:r w:rsidRPr="0015091A">
              <w:rPr>
                <w:rFonts w:ascii="Cambria" w:eastAsia="Times New Roman" w:hAnsi="Cambria" w:cs="Arial"/>
                <w:b/>
                <w:color w:val="000000"/>
                <w:lang w:val="en-US"/>
              </w:rPr>
              <w:t>Incident Management Handbook</w:t>
            </w:r>
            <w:r w:rsidRPr="0015091A">
              <w:rPr>
                <w:rFonts w:ascii="Cambria" w:eastAsia="Times New Roman" w:hAnsi="Cambria" w:cs="Arial"/>
                <w:color w:val="000000"/>
                <w:lang w:val="en-US"/>
              </w:rPr>
              <w:t>: Incident Command System (ICS) - COMDTPUB P3120.17A. ISBN 978-0-16-077139-2. Washington - DC. 2006, 372 p.</w:t>
            </w:r>
          </w:p>
        </w:tc>
      </w:tr>
      <w:tr w:rsidR="00E049DA" w:rsidRPr="0015091A" w14:paraId="3EAEC534" w14:textId="77777777" w:rsidTr="002C6FAB">
        <w:trPr>
          <w:trHeight w:val="20"/>
        </w:trPr>
        <w:tc>
          <w:tcPr>
            <w:tcW w:w="9215" w:type="dxa"/>
            <w:shd w:val="clear" w:color="auto" w:fill="auto"/>
            <w:vAlign w:val="center"/>
          </w:tcPr>
          <w:p w14:paraId="60191E5D" w14:textId="77777777" w:rsidR="00E049DA" w:rsidRPr="0015091A" w:rsidRDefault="00E049DA" w:rsidP="009D01BE">
            <w:pPr>
              <w:spacing w:after="120" w:line="240" w:lineRule="auto"/>
              <w:ind w:left="284" w:hanging="284"/>
              <w:rPr>
                <w:rFonts w:ascii="Cambria" w:hAnsi="Cambria" w:cs="Calibri"/>
              </w:rPr>
            </w:pPr>
            <w:r w:rsidRPr="0015091A">
              <w:rPr>
                <w:rFonts w:ascii="Cambria" w:hAnsi="Cambria" w:cs="Calibri"/>
              </w:rPr>
              <w:t>WITT|O’BRIEN’S BRASIL. Apostila do Curso: OPRC/IMO Nível 1, Dezembro 2014.</w:t>
            </w:r>
          </w:p>
        </w:tc>
      </w:tr>
    </w:tbl>
    <w:p w14:paraId="51D0398D" w14:textId="77777777" w:rsidR="00791641" w:rsidRDefault="00791641" w:rsidP="00DC461D">
      <w:pPr>
        <w:pStyle w:val="tier1Itext"/>
      </w:pPr>
    </w:p>
    <w:sectPr w:rsidR="00791641" w:rsidSect="00656D39">
      <w:headerReference w:type="default" r:id="rId103"/>
      <w:footerReference w:type="default" r:id="rId104"/>
      <w:pgSz w:w="11906" w:h="16838" w:code="9"/>
      <w:pgMar w:top="1418" w:right="1418" w:bottom="1418" w:left="1418" w:header="17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46771A" w14:textId="77777777" w:rsidR="00A70C70" w:rsidRDefault="00A70C70" w:rsidP="00901F9B">
      <w:r>
        <w:separator/>
      </w:r>
    </w:p>
    <w:p w14:paraId="1953E276" w14:textId="77777777" w:rsidR="00A70C70" w:rsidRDefault="00A70C70"/>
    <w:p w14:paraId="42237D51" w14:textId="77777777" w:rsidR="00A70C70" w:rsidRDefault="00A70C70" w:rsidP="004365B6"/>
  </w:endnote>
  <w:endnote w:type="continuationSeparator" w:id="0">
    <w:p w14:paraId="0DB9868D" w14:textId="77777777" w:rsidR="00A70C70" w:rsidRDefault="00A70C70" w:rsidP="00901F9B">
      <w:r>
        <w:continuationSeparator/>
      </w:r>
    </w:p>
    <w:p w14:paraId="216B7BF5" w14:textId="77777777" w:rsidR="00A70C70" w:rsidRDefault="00A70C70"/>
    <w:p w14:paraId="337F2A57" w14:textId="77777777" w:rsidR="00A70C70" w:rsidRDefault="00A70C70" w:rsidP="004365B6"/>
  </w:endnote>
  <w:endnote w:type="continuationNotice" w:id="1">
    <w:p w14:paraId="70176ED8" w14:textId="77777777" w:rsidR="00A70C70" w:rsidRDefault="00A70C70">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Univers 45 Light">
    <w:altName w:val="Calibri"/>
    <w:charset w:val="00"/>
    <w:family w:val="auto"/>
    <w:pitch w:val="variable"/>
    <w:sig w:usb0="80000027"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ucida Grande">
    <w:altName w:val="Arial"/>
    <w:charset w:val="00"/>
    <w:family w:val="auto"/>
    <w:pitch w:val="variable"/>
    <w:sig w:usb0="00000000" w:usb1="5000A1FF" w:usb2="00000000" w:usb3="00000000" w:csb0="000001B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TT1D8t00">
    <w:panose1 w:val="00000000000000000000"/>
    <w:charset w:val="00"/>
    <w:family w:val="auto"/>
    <w:notTrueType/>
    <w:pitch w:val="default"/>
    <w:sig w:usb0="00000003" w:usb1="00000000" w:usb2="00000000" w:usb3="00000000" w:csb0="00000001" w:csb1="00000000"/>
  </w:font>
  <w:font w:name="Univers-45Light">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1E3EE9" w14:textId="77777777" w:rsidR="00A70C70" w:rsidRDefault="00A70C70">
    <w:pPr>
      <w:pStyle w:val="Rodap"/>
    </w:pPr>
    <w:r>
      <w:rPr>
        <w:noProof/>
        <w:lang w:val="en-US" w:eastAsia="en-US"/>
      </w:rPr>
      <mc:AlternateContent>
        <mc:Choice Requires="wps">
          <w:drawing>
            <wp:anchor distT="0" distB="0" distL="114300" distR="114300" simplePos="0" relativeHeight="251662336" behindDoc="0" locked="0" layoutInCell="1" allowOverlap="1" wp14:anchorId="758975E7" wp14:editId="7E06F617">
              <wp:simplePos x="0" y="0"/>
              <wp:positionH relativeFrom="column">
                <wp:posOffset>4162425</wp:posOffset>
              </wp:positionH>
              <wp:positionV relativeFrom="paragraph">
                <wp:posOffset>-1073150</wp:posOffset>
              </wp:positionV>
              <wp:extent cx="2362200" cy="1729105"/>
              <wp:effectExtent l="0" t="0" r="0" b="635"/>
              <wp:wrapNone/>
              <wp:docPr id="307" name="Caixa de texto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2200" cy="1729105"/>
                      </a:xfrm>
                      <a:prstGeom prst="rect">
                        <a:avLst/>
                      </a:prstGeom>
                      <a:noFill/>
                      <a:ln w="9525">
                        <a:noFill/>
                        <a:miter lim="800000"/>
                        <a:headEnd/>
                        <a:tailEnd/>
                      </a:ln>
                      <a:effectLst/>
                    </wps:spPr>
                    <wps:txbx>
                      <w:txbxContent>
                        <w:p w14:paraId="701876D0" w14:textId="77777777" w:rsidR="00A70C70" w:rsidRPr="00342EAD" w:rsidRDefault="00A70C70" w:rsidP="001500A7">
                          <w:pPr>
                            <w:spacing w:line="276" w:lineRule="auto"/>
                            <w:jc w:val="left"/>
                            <w:rPr>
                              <w:rFonts w:ascii="Cambria" w:hAnsi="Cambria"/>
                              <w:b/>
                              <w:color w:val="FFFFFF"/>
                              <w:sz w:val="16"/>
                            </w:rPr>
                          </w:pPr>
                          <w:r w:rsidRPr="00342EAD">
                            <w:rPr>
                              <w:rFonts w:ascii="Cambria" w:hAnsi="Cambria"/>
                              <w:b/>
                              <w:color w:val="FFFFFF"/>
                              <w:sz w:val="16"/>
                            </w:rPr>
                            <w:t>Witt|O’Brien’s Brasil www.wittobriens.com.br</w:t>
                          </w:r>
                        </w:p>
                        <w:p w14:paraId="7592FAA0" w14:textId="77777777" w:rsidR="00A70C70" w:rsidRPr="00342EAD" w:rsidRDefault="00A70C70" w:rsidP="001500A7">
                          <w:pPr>
                            <w:spacing w:line="276" w:lineRule="auto"/>
                            <w:jc w:val="left"/>
                            <w:rPr>
                              <w:rFonts w:ascii="Cambria" w:hAnsi="Cambria"/>
                              <w:b/>
                              <w:color w:val="FFFFFF"/>
                              <w:sz w:val="16"/>
                            </w:rPr>
                          </w:pPr>
                          <w:r w:rsidRPr="00342EAD">
                            <w:rPr>
                              <w:rFonts w:ascii="Cambria" w:hAnsi="Cambria"/>
                              <w:b/>
                              <w:color w:val="FFFFFF"/>
                              <w:sz w:val="16"/>
                            </w:rPr>
                            <w:t>Rua da Gloria, 306 - 13º Andar | Glória</w:t>
                          </w:r>
                        </w:p>
                        <w:p w14:paraId="22A5D013" w14:textId="77777777" w:rsidR="00A70C70" w:rsidRPr="00342EAD" w:rsidRDefault="00A70C70" w:rsidP="001500A7">
                          <w:pPr>
                            <w:spacing w:line="276" w:lineRule="auto"/>
                            <w:jc w:val="left"/>
                            <w:rPr>
                              <w:rFonts w:ascii="Cambria" w:hAnsi="Cambria"/>
                              <w:b/>
                              <w:color w:val="FFFFFF"/>
                              <w:sz w:val="16"/>
                            </w:rPr>
                          </w:pPr>
                          <w:r w:rsidRPr="00342EAD">
                            <w:rPr>
                              <w:rFonts w:ascii="Cambria" w:hAnsi="Cambria"/>
                              <w:b/>
                              <w:color w:val="FFFFFF"/>
                              <w:sz w:val="16"/>
                            </w:rPr>
                            <w:t>Rio de Janeiro - RJ | Brasil</w:t>
                          </w:r>
                        </w:p>
                        <w:p w14:paraId="4E2C3DCC" w14:textId="77777777" w:rsidR="00A70C70" w:rsidRPr="00342EAD" w:rsidRDefault="00A70C70" w:rsidP="001500A7">
                          <w:pPr>
                            <w:spacing w:line="276" w:lineRule="auto"/>
                            <w:jc w:val="left"/>
                            <w:rPr>
                              <w:rFonts w:ascii="Cambria" w:hAnsi="Cambria"/>
                              <w:b/>
                              <w:color w:val="FFFFFF"/>
                              <w:sz w:val="16"/>
                            </w:rPr>
                          </w:pPr>
                          <w:r w:rsidRPr="00342EAD">
                            <w:rPr>
                              <w:rFonts w:ascii="Cambria" w:hAnsi="Cambria"/>
                              <w:b/>
                              <w:color w:val="FFFFFF"/>
                              <w:sz w:val="16"/>
                            </w:rPr>
                            <w:t>CEP 20.241-180</w:t>
                          </w:r>
                        </w:p>
                        <w:p w14:paraId="124B8D3C" w14:textId="77777777" w:rsidR="00A70C70" w:rsidRPr="00342EAD" w:rsidRDefault="00A70C70" w:rsidP="001500A7">
                          <w:pPr>
                            <w:spacing w:line="276" w:lineRule="auto"/>
                            <w:jc w:val="left"/>
                            <w:rPr>
                              <w:rFonts w:ascii="Cambria" w:hAnsi="Cambria"/>
                              <w:b/>
                              <w:color w:val="FFFFFF"/>
                              <w:sz w:val="16"/>
                            </w:rPr>
                          </w:pPr>
                          <w:r w:rsidRPr="00342EAD">
                            <w:rPr>
                              <w:rFonts w:ascii="Cambria" w:hAnsi="Cambria"/>
                              <w:b/>
                              <w:color w:val="FFFFFF"/>
                              <w:sz w:val="16"/>
                            </w:rPr>
                            <w:t>T: +55 (021) 3032-6750 / 3032-6762</w:t>
                          </w:r>
                        </w:p>
                        <w:p w14:paraId="7775ED44" w14:textId="77777777" w:rsidR="00A70C70" w:rsidRDefault="00A70C70" w:rsidP="001500A7">
                          <w:pPr>
                            <w:spacing w:line="276" w:lineRule="auto"/>
                            <w:jc w:val="left"/>
                            <w:rPr>
                              <w:rFonts w:ascii="Cambria" w:hAnsi="Cambria"/>
                              <w:b/>
                              <w:color w:val="FFFFFF"/>
                              <w:sz w:val="16"/>
                            </w:rPr>
                          </w:pPr>
                          <w:r w:rsidRPr="00342EAD">
                            <w:rPr>
                              <w:rFonts w:ascii="Cambria" w:hAnsi="Cambria"/>
                              <w:b/>
                              <w:color w:val="FFFFFF"/>
                              <w:sz w:val="16"/>
                            </w:rPr>
                            <w:t xml:space="preserve">Emergency Line: </w:t>
                          </w:r>
                        </w:p>
                        <w:p w14:paraId="021C4BEF" w14:textId="77777777" w:rsidR="00A70C70" w:rsidRPr="00342EAD" w:rsidRDefault="00A70C70" w:rsidP="001500A7">
                          <w:pPr>
                            <w:spacing w:line="276" w:lineRule="auto"/>
                            <w:jc w:val="left"/>
                            <w:rPr>
                              <w:rFonts w:ascii="Cambria" w:hAnsi="Cambria"/>
                              <w:b/>
                              <w:color w:val="FFFFFF"/>
                              <w:sz w:val="16"/>
                            </w:rPr>
                          </w:pPr>
                          <w:r w:rsidRPr="00342EAD">
                            <w:rPr>
                              <w:rFonts w:ascii="Cambria" w:hAnsi="Cambria"/>
                              <w:b/>
                              <w:color w:val="FFFFFF"/>
                              <w:sz w:val="16"/>
                            </w:rPr>
                            <w:t>0800-OBRIENS [0800-6274367]</w:t>
                          </w:r>
                        </w:p>
                        <w:p w14:paraId="1299B79D" w14:textId="77777777" w:rsidR="00A70C70" w:rsidRPr="00342EAD" w:rsidRDefault="00A70C70" w:rsidP="00B05E28">
                          <w:pPr>
                            <w:jc w:val="left"/>
                            <w:rPr>
                              <w:rFonts w:ascii="Cambria" w:hAnsi="Cambria"/>
                              <w:b/>
                              <w:color w:val="FFFFFF"/>
                              <w:sz w:val="16"/>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58975E7" id="_x0000_t202" coordsize="21600,21600" o:spt="202" path="m,l,21600r21600,l21600,xe">
              <v:stroke joinstyle="miter"/>
              <v:path gradientshapeok="t" o:connecttype="rect"/>
            </v:shapetype>
            <v:shape id="Caixa de texto 307" o:spid="_x0000_s1026" type="#_x0000_t202" style="position:absolute;left:0;text-align:left;margin-left:327.75pt;margin-top:-84.5pt;width:186pt;height:136.15pt;z-index:251662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" filled="f" stroked="f">
              <v:textbox style="mso-fit-shape-to-text:t">
                <w:txbxContent>
                  <w:p w14:paraId="701876D0" w14:textId="77777777" w:rsidR="00A70C70" w:rsidRPr="00342EAD" w:rsidRDefault="00A70C70" w:rsidP="001500A7">
                    <w:pPr>
                      <w:spacing w:line="276" w:lineRule="auto"/>
                      <w:jc w:val="left"/>
                      <w:rPr>
                        <w:rFonts w:ascii="Cambria" w:hAnsi="Cambria"/>
                        <w:b/>
                        <w:color w:val="FFFFFF"/>
                        <w:sz w:val="16"/>
                      </w:rPr>
                    </w:pPr>
                    <w:r w:rsidRPr="00342EAD">
                      <w:rPr>
                        <w:rFonts w:ascii="Cambria" w:hAnsi="Cambria"/>
                        <w:b/>
                        <w:color w:val="FFFFFF"/>
                        <w:sz w:val="16"/>
                      </w:rPr>
                      <w:t>Witt|O’Brien’s Brasil www.wittobriens.com.br</w:t>
                    </w:r>
                  </w:p>
                  <w:p w14:paraId="7592FAA0" w14:textId="77777777" w:rsidR="00A70C70" w:rsidRPr="00342EAD" w:rsidRDefault="00A70C70" w:rsidP="001500A7">
                    <w:pPr>
                      <w:spacing w:line="276" w:lineRule="auto"/>
                      <w:jc w:val="left"/>
                      <w:rPr>
                        <w:rFonts w:ascii="Cambria" w:hAnsi="Cambria"/>
                        <w:b/>
                        <w:color w:val="FFFFFF"/>
                        <w:sz w:val="16"/>
                      </w:rPr>
                    </w:pPr>
                    <w:r w:rsidRPr="00342EAD">
                      <w:rPr>
                        <w:rFonts w:ascii="Cambria" w:hAnsi="Cambria"/>
                        <w:b/>
                        <w:color w:val="FFFFFF"/>
                        <w:sz w:val="16"/>
                      </w:rPr>
                      <w:t>Rua da Gloria, 306 - 13º Andar | Glória</w:t>
                    </w:r>
                  </w:p>
                  <w:p w14:paraId="22A5D013" w14:textId="77777777" w:rsidR="00A70C70" w:rsidRPr="00342EAD" w:rsidRDefault="00A70C70" w:rsidP="001500A7">
                    <w:pPr>
                      <w:spacing w:line="276" w:lineRule="auto"/>
                      <w:jc w:val="left"/>
                      <w:rPr>
                        <w:rFonts w:ascii="Cambria" w:hAnsi="Cambria"/>
                        <w:b/>
                        <w:color w:val="FFFFFF"/>
                        <w:sz w:val="16"/>
                      </w:rPr>
                    </w:pPr>
                    <w:r w:rsidRPr="00342EAD">
                      <w:rPr>
                        <w:rFonts w:ascii="Cambria" w:hAnsi="Cambria"/>
                        <w:b/>
                        <w:color w:val="FFFFFF"/>
                        <w:sz w:val="16"/>
                      </w:rPr>
                      <w:t>Rio de Janeiro - RJ | Brasil</w:t>
                    </w:r>
                  </w:p>
                  <w:p w14:paraId="4E2C3DCC" w14:textId="77777777" w:rsidR="00A70C70" w:rsidRPr="00342EAD" w:rsidRDefault="00A70C70" w:rsidP="001500A7">
                    <w:pPr>
                      <w:spacing w:line="276" w:lineRule="auto"/>
                      <w:jc w:val="left"/>
                      <w:rPr>
                        <w:rFonts w:ascii="Cambria" w:hAnsi="Cambria"/>
                        <w:b/>
                        <w:color w:val="FFFFFF"/>
                        <w:sz w:val="16"/>
                      </w:rPr>
                    </w:pPr>
                    <w:r w:rsidRPr="00342EAD">
                      <w:rPr>
                        <w:rFonts w:ascii="Cambria" w:hAnsi="Cambria"/>
                        <w:b/>
                        <w:color w:val="FFFFFF"/>
                        <w:sz w:val="16"/>
                      </w:rPr>
                      <w:t>CEP 20.241-180</w:t>
                    </w:r>
                  </w:p>
                  <w:p w14:paraId="124B8D3C" w14:textId="77777777" w:rsidR="00A70C70" w:rsidRPr="00342EAD" w:rsidRDefault="00A70C70" w:rsidP="001500A7">
                    <w:pPr>
                      <w:spacing w:line="276" w:lineRule="auto"/>
                      <w:jc w:val="left"/>
                      <w:rPr>
                        <w:rFonts w:ascii="Cambria" w:hAnsi="Cambria"/>
                        <w:b/>
                        <w:color w:val="FFFFFF"/>
                        <w:sz w:val="16"/>
                      </w:rPr>
                    </w:pPr>
                    <w:r w:rsidRPr="00342EAD">
                      <w:rPr>
                        <w:rFonts w:ascii="Cambria" w:hAnsi="Cambria"/>
                        <w:b/>
                        <w:color w:val="FFFFFF"/>
                        <w:sz w:val="16"/>
                      </w:rPr>
                      <w:t>T: +55 (021) 3032-6750 / 3032-6762</w:t>
                    </w:r>
                  </w:p>
                  <w:p w14:paraId="7775ED44" w14:textId="77777777" w:rsidR="00A70C70" w:rsidRDefault="00A70C70" w:rsidP="001500A7">
                    <w:pPr>
                      <w:spacing w:line="276" w:lineRule="auto"/>
                      <w:jc w:val="left"/>
                      <w:rPr>
                        <w:rFonts w:ascii="Cambria" w:hAnsi="Cambria"/>
                        <w:b/>
                        <w:color w:val="FFFFFF"/>
                        <w:sz w:val="16"/>
                      </w:rPr>
                    </w:pPr>
                    <w:r w:rsidRPr="00342EAD">
                      <w:rPr>
                        <w:rFonts w:ascii="Cambria" w:hAnsi="Cambria"/>
                        <w:b/>
                        <w:color w:val="FFFFFF"/>
                        <w:sz w:val="16"/>
                      </w:rPr>
                      <w:t xml:space="preserve">Emergency Line: </w:t>
                    </w:r>
                  </w:p>
                  <w:p w14:paraId="021C4BEF" w14:textId="77777777" w:rsidR="00A70C70" w:rsidRPr="00342EAD" w:rsidRDefault="00A70C70" w:rsidP="001500A7">
                    <w:pPr>
                      <w:spacing w:line="276" w:lineRule="auto"/>
                      <w:jc w:val="left"/>
                      <w:rPr>
                        <w:rFonts w:ascii="Cambria" w:hAnsi="Cambria"/>
                        <w:b/>
                        <w:color w:val="FFFFFF"/>
                        <w:sz w:val="16"/>
                      </w:rPr>
                    </w:pPr>
                    <w:r w:rsidRPr="00342EAD">
                      <w:rPr>
                        <w:rFonts w:ascii="Cambria" w:hAnsi="Cambria"/>
                        <w:b/>
                        <w:color w:val="FFFFFF"/>
                        <w:sz w:val="16"/>
                      </w:rPr>
                      <w:t>0800-OBRIENS [0800-6274367]</w:t>
                    </w:r>
                  </w:p>
                  <w:p w14:paraId="1299B79D" w14:textId="77777777" w:rsidR="00A70C70" w:rsidRPr="00342EAD" w:rsidRDefault="00A70C70" w:rsidP="00B05E28">
                    <w:pPr>
                      <w:jc w:val="left"/>
                      <w:rPr>
                        <w:rFonts w:ascii="Cambria" w:hAnsi="Cambria"/>
                        <w:b/>
                        <w:color w:val="FFFFFF"/>
                        <w:sz w:val="16"/>
                      </w:rPr>
                    </w:pPr>
                  </w:p>
                </w:txbxContent>
              </v:textbox>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auto"/>
      </w:tblBorders>
      <w:tblLook w:val="01E0" w:firstRow="1" w:lastRow="1" w:firstColumn="1" w:lastColumn="1" w:noHBand="0" w:noVBand="0"/>
    </w:tblPr>
    <w:tblGrid>
      <w:gridCol w:w="4120"/>
      <w:gridCol w:w="5769"/>
      <w:gridCol w:w="4114"/>
    </w:tblGrid>
    <w:tr w:rsidR="00A70C70" w:rsidRPr="00C3335E" w14:paraId="55CEA6A5" w14:textId="77777777" w:rsidTr="00FC10A8">
      <w:trPr>
        <w:trHeight w:val="469"/>
      </w:trPr>
      <w:tc>
        <w:tcPr>
          <w:tcW w:w="1471" w:type="pct"/>
          <w:tcBorders>
            <w:top w:val="single" w:sz="18" w:space="0" w:color="009E49"/>
          </w:tcBorders>
          <w:vAlign w:val="center"/>
        </w:tcPr>
        <w:p w14:paraId="37473E69" w14:textId="4F38B407" w:rsidR="00A70C70" w:rsidRPr="00C3335E" w:rsidRDefault="00A70C70" w:rsidP="00F02324">
          <w:pPr>
            <w:pStyle w:val="Rodap"/>
            <w:spacing w:before="0"/>
            <w:jc w:val="left"/>
            <w:rPr>
              <w:rFonts w:asciiTheme="majorHAnsi" w:hAnsiTheme="majorHAnsi"/>
              <w:sz w:val="20"/>
              <w:szCs w:val="20"/>
            </w:rPr>
          </w:pPr>
          <w:r w:rsidRPr="00C3335E">
            <w:rPr>
              <w:rStyle w:val="CabRodChar"/>
              <w:rFonts w:asciiTheme="majorHAnsi" w:hAnsiTheme="majorHAnsi"/>
              <w:szCs w:val="20"/>
            </w:rPr>
            <w:t>Rev.0</w:t>
          </w:r>
          <w:r>
            <w:rPr>
              <w:rStyle w:val="CabRodChar"/>
              <w:rFonts w:asciiTheme="majorHAnsi" w:hAnsiTheme="majorHAnsi"/>
              <w:szCs w:val="20"/>
            </w:rPr>
            <w:t>2</w:t>
          </w:r>
        </w:p>
      </w:tc>
      <w:tc>
        <w:tcPr>
          <w:tcW w:w="2060" w:type="pct"/>
          <w:tcBorders>
            <w:top w:val="single" w:sz="18" w:space="0" w:color="009E49"/>
          </w:tcBorders>
          <w:vAlign w:val="center"/>
        </w:tcPr>
        <w:p w14:paraId="43322653" w14:textId="11731A2F" w:rsidR="00A70C70" w:rsidRPr="00C3335E" w:rsidRDefault="00A70C70" w:rsidP="0027197D">
          <w:pPr>
            <w:pStyle w:val="Rodap"/>
            <w:spacing w:before="0"/>
            <w:jc w:val="center"/>
            <w:rPr>
              <w:rFonts w:asciiTheme="majorHAnsi" w:hAnsiTheme="majorHAnsi"/>
              <w:sz w:val="20"/>
              <w:szCs w:val="20"/>
            </w:rPr>
          </w:pPr>
          <w:r>
            <w:rPr>
              <w:rFonts w:asciiTheme="majorHAnsi" w:hAnsiTheme="majorHAnsi"/>
              <w:sz w:val="20"/>
              <w:szCs w:val="20"/>
            </w:rPr>
            <w:t>Outubro</w:t>
          </w:r>
          <w:r w:rsidRPr="00C3335E">
            <w:rPr>
              <w:rFonts w:asciiTheme="majorHAnsi" w:hAnsiTheme="majorHAnsi"/>
              <w:sz w:val="20"/>
              <w:szCs w:val="20"/>
            </w:rPr>
            <w:t>/201</w:t>
          </w:r>
          <w:r>
            <w:rPr>
              <w:rFonts w:asciiTheme="majorHAnsi" w:hAnsiTheme="majorHAnsi"/>
              <w:sz w:val="20"/>
              <w:szCs w:val="20"/>
            </w:rPr>
            <w:t>8</w:t>
          </w:r>
        </w:p>
      </w:tc>
      <w:tc>
        <w:tcPr>
          <w:tcW w:w="1469" w:type="pct"/>
          <w:tcBorders>
            <w:top w:val="single" w:sz="18" w:space="0" w:color="009E49"/>
          </w:tcBorders>
          <w:vAlign w:val="center"/>
        </w:tcPr>
        <w:p w14:paraId="75F5125E" w14:textId="77777777" w:rsidR="00A70C70" w:rsidRPr="00C3335E" w:rsidRDefault="00A70C70" w:rsidP="00C3335E">
          <w:pPr>
            <w:pStyle w:val="CabRod"/>
            <w:spacing w:line="240" w:lineRule="auto"/>
            <w:jc w:val="right"/>
            <w:rPr>
              <w:rFonts w:asciiTheme="majorHAnsi" w:hAnsiTheme="majorHAnsi"/>
              <w:szCs w:val="20"/>
            </w:rPr>
          </w:pPr>
          <w:r w:rsidRPr="00C3335E">
            <w:rPr>
              <w:rFonts w:asciiTheme="majorHAnsi" w:hAnsiTheme="majorHAnsi"/>
              <w:szCs w:val="20"/>
            </w:rPr>
            <w:fldChar w:fldCharType="begin"/>
          </w:r>
          <w:r w:rsidRPr="00C3335E">
            <w:rPr>
              <w:rFonts w:asciiTheme="majorHAnsi" w:hAnsiTheme="majorHAnsi"/>
              <w:szCs w:val="20"/>
            </w:rPr>
            <w:instrText>PAGE   \* MERGEFORMAT</w:instrText>
          </w:r>
          <w:r w:rsidRPr="00C3335E">
            <w:rPr>
              <w:rFonts w:asciiTheme="majorHAnsi" w:hAnsiTheme="majorHAnsi"/>
              <w:szCs w:val="20"/>
            </w:rPr>
            <w:fldChar w:fldCharType="separate"/>
          </w:r>
          <w:r>
            <w:rPr>
              <w:rFonts w:asciiTheme="majorHAnsi" w:hAnsiTheme="majorHAnsi"/>
              <w:noProof/>
              <w:szCs w:val="20"/>
            </w:rPr>
            <w:t>44</w:t>
          </w:r>
          <w:r w:rsidRPr="00C3335E">
            <w:rPr>
              <w:rFonts w:asciiTheme="majorHAnsi" w:hAnsiTheme="majorHAnsi"/>
              <w:szCs w:val="20"/>
            </w:rPr>
            <w:fldChar w:fldCharType="end"/>
          </w:r>
        </w:p>
      </w:tc>
    </w:tr>
  </w:tbl>
  <w:p w14:paraId="73DBE393" w14:textId="77777777" w:rsidR="00A70C70" w:rsidRPr="003941A0" w:rsidRDefault="00A70C70" w:rsidP="00953C7D">
    <w:pPr>
      <w:pStyle w:val="Rodap"/>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auto"/>
      </w:tblBorders>
      <w:tblLook w:val="01E0" w:firstRow="1" w:lastRow="1" w:firstColumn="1" w:lastColumn="1" w:noHBand="0" w:noVBand="0"/>
    </w:tblPr>
    <w:tblGrid>
      <w:gridCol w:w="4183"/>
      <w:gridCol w:w="5858"/>
      <w:gridCol w:w="4178"/>
    </w:tblGrid>
    <w:tr w:rsidR="00A70C70" w:rsidRPr="00E13E52" w14:paraId="536D35B6" w14:textId="77777777" w:rsidTr="00FC10A8">
      <w:trPr>
        <w:trHeight w:val="469"/>
      </w:trPr>
      <w:tc>
        <w:tcPr>
          <w:tcW w:w="1471" w:type="pct"/>
          <w:tcBorders>
            <w:top w:val="single" w:sz="18" w:space="0" w:color="009E49"/>
          </w:tcBorders>
          <w:vAlign w:val="center"/>
        </w:tcPr>
        <w:p w14:paraId="52DCD896" w14:textId="77777777" w:rsidR="00A70C70" w:rsidRPr="00E13E52" w:rsidRDefault="00A70C70" w:rsidP="00FC10A8">
          <w:pPr>
            <w:pStyle w:val="Rodap"/>
            <w:jc w:val="left"/>
            <w:rPr>
              <w:rFonts w:asciiTheme="majorHAnsi" w:hAnsiTheme="majorHAnsi"/>
              <w:sz w:val="20"/>
              <w:szCs w:val="20"/>
            </w:rPr>
          </w:pPr>
          <w:r w:rsidRPr="00E13E52">
            <w:rPr>
              <w:rStyle w:val="CabRodChar"/>
              <w:rFonts w:asciiTheme="majorHAnsi" w:hAnsiTheme="majorHAnsi"/>
            </w:rPr>
            <w:t>Rev.00</w:t>
          </w:r>
        </w:p>
      </w:tc>
      <w:tc>
        <w:tcPr>
          <w:tcW w:w="2060" w:type="pct"/>
          <w:tcBorders>
            <w:top w:val="single" w:sz="18" w:space="0" w:color="009E49"/>
          </w:tcBorders>
          <w:vAlign w:val="center"/>
        </w:tcPr>
        <w:p w14:paraId="7D6DE19B" w14:textId="77777777" w:rsidR="00A70C70" w:rsidRPr="00E13E52" w:rsidRDefault="00A70C70" w:rsidP="00FC10A8">
          <w:pPr>
            <w:pStyle w:val="Rodap"/>
            <w:jc w:val="center"/>
            <w:rPr>
              <w:rFonts w:asciiTheme="majorHAnsi" w:hAnsiTheme="majorHAnsi"/>
              <w:sz w:val="20"/>
              <w:szCs w:val="20"/>
            </w:rPr>
          </w:pPr>
          <w:r w:rsidRPr="00E13E52">
            <w:rPr>
              <w:rFonts w:asciiTheme="majorHAnsi" w:hAnsiTheme="majorHAnsi"/>
              <w:sz w:val="20"/>
              <w:szCs w:val="20"/>
            </w:rPr>
            <w:t>Março/2015</w:t>
          </w:r>
        </w:p>
      </w:tc>
      <w:tc>
        <w:tcPr>
          <w:tcW w:w="1469" w:type="pct"/>
          <w:tcBorders>
            <w:top w:val="single" w:sz="18" w:space="0" w:color="009E49"/>
          </w:tcBorders>
          <w:vAlign w:val="center"/>
        </w:tcPr>
        <w:p w14:paraId="7B7505D2" w14:textId="77777777" w:rsidR="00A70C70" w:rsidRPr="00E13E52" w:rsidRDefault="00A70C70" w:rsidP="00FC10A8">
          <w:pPr>
            <w:pStyle w:val="CabRod"/>
            <w:jc w:val="right"/>
            <w:rPr>
              <w:rFonts w:asciiTheme="majorHAnsi" w:hAnsiTheme="majorHAnsi"/>
            </w:rPr>
          </w:pPr>
          <w:r w:rsidRPr="00E13E52">
            <w:rPr>
              <w:rFonts w:asciiTheme="majorHAnsi" w:hAnsiTheme="majorHAnsi"/>
            </w:rPr>
            <w:fldChar w:fldCharType="begin"/>
          </w:r>
          <w:r w:rsidRPr="00E13E52">
            <w:rPr>
              <w:rFonts w:asciiTheme="majorHAnsi" w:hAnsiTheme="majorHAnsi"/>
            </w:rPr>
            <w:instrText>PAGE   \* MERGEFORMAT</w:instrText>
          </w:r>
          <w:r w:rsidRPr="00E13E52">
            <w:rPr>
              <w:rFonts w:asciiTheme="majorHAnsi" w:hAnsiTheme="majorHAnsi"/>
            </w:rPr>
            <w:fldChar w:fldCharType="separate"/>
          </w:r>
          <w:r>
            <w:rPr>
              <w:rFonts w:asciiTheme="majorHAnsi" w:hAnsiTheme="majorHAnsi"/>
              <w:noProof/>
            </w:rPr>
            <w:t>44</w:t>
          </w:r>
          <w:r w:rsidRPr="00E13E52">
            <w:rPr>
              <w:rFonts w:asciiTheme="majorHAnsi" w:hAnsiTheme="majorHAnsi"/>
            </w:rPr>
            <w:fldChar w:fldCharType="end"/>
          </w:r>
        </w:p>
      </w:tc>
    </w:tr>
  </w:tbl>
  <w:p w14:paraId="1FB25AAA" w14:textId="77777777" w:rsidR="00A70C70" w:rsidRPr="00807DBA" w:rsidRDefault="00A70C70" w:rsidP="00953C7D">
    <w:pPr>
      <w:pStyle w:val="Rodap"/>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18" w:space="0" w:color="009E49"/>
      </w:tblBorders>
      <w:tblLook w:val="04A0" w:firstRow="1" w:lastRow="0" w:firstColumn="1" w:lastColumn="0" w:noHBand="0" w:noVBand="1"/>
    </w:tblPr>
    <w:tblGrid>
      <w:gridCol w:w="2977"/>
      <w:gridCol w:w="2975"/>
      <w:gridCol w:w="3334"/>
    </w:tblGrid>
    <w:tr w:rsidR="00A70C70" w:rsidRPr="00334CC1" w14:paraId="0EFA9A48" w14:textId="77777777" w:rsidTr="0000172F">
      <w:tc>
        <w:tcPr>
          <w:tcW w:w="1603" w:type="pct"/>
          <w:vAlign w:val="center"/>
        </w:tcPr>
        <w:p w14:paraId="3407F81C" w14:textId="77777777" w:rsidR="00A70C70" w:rsidRPr="001865EC" w:rsidRDefault="00A70C70" w:rsidP="0000172F">
          <w:pPr>
            <w:pStyle w:val="Rodap"/>
            <w:spacing w:after="120" w:line="360" w:lineRule="auto"/>
            <w:rPr>
              <w:sz w:val="20"/>
            </w:rPr>
          </w:pPr>
          <w:r w:rsidRPr="001865EC">
            <w:rPr>
              <w:sz w:val="20"/>
              <w:szCs w:val="20"/>
            </w:rPr>
            <w:t xml:space="preserve">Apêndice E - Página </w:t>
          </w:r>
          <w:r w:rsidRPr="001865EC">
            <w:rPr>
              <w:sz w:val="20"/>
              <w:szCs w:val="20"/>
            </w:rPr>
            <w:fldChar w:fldCharType="begin"/>
          </w:r>
          <w:r w:rsidRPr="001865EC">
            <w:rPr>
              <w:sz w:val="20"/>
              <w:szCs w:val="20"/>
            </w:rPr>
            <w:instrText xml:space="preserve"> PAGE   \* MERGEFORMAT </w:instrText>
          </w:r>
          <w:r w:rsidRPr="001865EC">
            <w:rPr>
              <w:sz w:val="20"/>
              <w:szCs w:val="20"/>
            </w:rPr>
            <w:fldChar w:fldCharType="separate"/>
          </w:r>
          <w:r>
            <w:rPr>
              <w:noProof/>
              <w:sz w:val="20"/>
              <w:szCs w:val="20"/>
            </w:rPr>
            <w:t>ii</w:t>
          </w:r>
          <w:r w:rsidRPr="001865EC">
            <w:rPr>
              <w:sz w:val="20"/>
              <w:szCs w:val="20"/>
            </w:rPr>
            <w:fldChar w:fldCharType="end"/>
          </w:r>
        </w:p>
      </w:tc>
      <w:tc>
        <w:tcPr>
          <w:tcW w:w="1602" w:type="pct"/>
          <w:vAlign w:val="center"/>
        </w:tcPr>
        <w:p w14:paraId="30C61F11" w14:textId="77777777" w:rsidR="00A70C70" w:rsidRPr="001865EC" w:rsidRDefault="00A70C70" w:rsidP="0000172F">
          <w:pPr>
            <w:pStyle w:val="Rodap"/>
            <w:spacing w:after="120"/>
            <w:jc w:val="center"/>
            <w:rPr>
              <w:sz w:val="20"/>
              <w:szCs w:val="20"/>
            </w:rPr>
          </w:pPr>
          <w:r w:rsidRPr="001865EC">
            <w:rPr>
              <w:sz w:val="20"/>
              <w:szCs w:val="20"/>
            </w:rPr>
            <w:t>Março de 2015</w:t>
          </w:r>
        </w:p>
        <w:p w14:paraId="3BA2A14C" w14:textId="77777777" w:rsidR="00A70C70" w:rsidRPr="001865EC" w:rsidRDefault="00A70C70" w:rsidP="0000172F">
          <w:pPr>
            <w:pStyle w:val="Rodap"/>
            <w:spacing w:after="120"/>
            <w:jc w:val="center"/>
            <w:rPr>
              <w:sz w:val="20"/>
            </w:rPr>
          </w:pPr>
          <w:r w:rsidRPr="001865EC">
            <w:rPr>
              <w:sz w:val="20"/>
              <w:szCs w:val="20"/>
            </w:rPr>
            <w:t>Rev.00</w:t>
          </w:r>
        </w:p>
      </w:tc>
      <w:tc>
        <w:tcPr>
          <w:tcW w:w="1795" w:type="pct"/>
          <w:vAlign w:val="center"/>
        </w:tcPr>
        <w:p w14:paraId="6912BD71" w14:textId="77777777" w:rsidR="00A70C70" w:rsidRPr="00334CC1" w:rsidRDefault="00A70C70" w:rsidP="0000172F">
          <w:pPr>
            <w:pStyle w:val="Rodap"/>
            <w:spacing w:after="120" w:line="360" w:lineRule="auto"/>
            <w:jc w:val="right"/>
            <w:rPr>
              <w:sz w:val="20"/>
              <w:highlight w:val="yellow"/>
            </w:rPr>
          </w:pPr>
          <w:r>
            <w:rPr>
              <w:noProof/>
              <w:sz w:val="16"/>
              <w:szCs w:val="16"/>
              <w:lang w:val="en-US" w:eastAsia="en-US"/>
            </w:rPr>
            <w:drawing>
              <wp:inline distT="0" distB="0" distL="0" distR="0" wp14:anchorId="0DD96329" wp14:editId="67BDD2BD">
                <wp:extent cx="380852" cy="548640"/>
                <wp:effectExtent l="0" t="0" r="635" b="3810"/>
                <wp:docPr id="1073742140" name="Imagem 107374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r w:rsidRPr="00334CC1">
            <w:rPr>
              <w:sz w:val="20"/>
              <w:highlight w:val="yellow"/>
            </w:rPr>
            <w:t xml:space="preserve"> </w:t>
          </w:r>
        </w:p>
      </w:tc>
    </w:tr>
  </w:tbl>
  <w:p w14:paraId="3EFD63CB" w14:textId="77777777" w:rsidR="00A70C70" w:rsidRDefault="00A70C70">
    <w:pPr>
      <w:pStyle w:val="Rodap"/>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Borders>
        <w:top w:val="single" w:sz="4" w:space="0" w:color="auto"/>
      </w:tblBorders>
      <w:tblLook w:val="01E0" w:firstRow="1" w:lastRow="1" w:firstColumn="1" w:lastColumn="1" w:noHBand="0" w:noVBand="0"/>
    </w:tblPr>
    <w:tblGrid>
      <w:gridCol w:w="2445"/>
      <w:gridCol w:w="3425"/>
      <w:gridCol w:w="3200"/>
    </w:tblGrid>
    <w:tr w:rsidR="00A70C70" w:rsidRPr="00C3335E" w14:paraId="1EF5FAC4" w14:textId="77777777" w:rsidTr="00E13E52">
      <w:trPr>
        <w:trHeight w:val="469"/>
        <w:jc w:val="center"/>
      </w:trPr>
      <w:tc>
        <w:tcPr>
          <w:tcW w:w="1348" w:type="pct"/>
          <w:tcBorders>
            <w:top w:val="single" w:sz="18" w:space="0" w:color="009E49"/>
          </w:tcBorders>
          <w:vAlign w:val="center"/>
        </w:tcPr>
        <w:p w14:paraId="4AA47258" w14:textId="72229814" w:rsidR="00A70C70" w:rsidRPr="00C3335E" w:rsidRDefault="00A70C70" w:rsidP="0027197D">
          <w:pPr>
            <w:pStyle w:val="Rodap"/>
            <w:spacing w:before="0"/>
            <w:jc w:val="left"/>
            <w:rPr>
              <w:rFonts w:asciiTheme="majorHAnsi" w:hAnsiTheme="majorHAnsi"/>
              <w:sz w:val="20"/>
              <w:szCs w:val="20"/>
            </w:rPr>
          </w:pPr>
          <w:r w:rsidRPr="00C3335E">
            <w:rPr>
              <w:rStyle w:val="CabRodChar"/>
              <w:rFonts w:asciiTheme="majorHAnsi" w:hAnsiTheme="majorHAnsi"/>
              <w:szCs w:val="20"/>
            </w:rPr>
            <w:t>Rev.0</w:t>
          </w:r>
          <w:r>
            <w:rPr>
              <w:rStyle w:val="CabRodChar"/>
              <w:rFonts w:asciiTheme="majorHAnsi" w:hAnsiTheme="majorHAnsi"/>
              <w:szCs w:val="20"/>
            </w:rPr>
            <w:t>2</w:t>
          </w:r>
        </w:p>
      </w:tc>
      <w:tc>
        <w:tcPr>
          <w:tcW w:w="1888" w:type="pct"/>
          <w:tcBorders>
            <w:top w:val="single" w:sz="18" w:space="0" w:color="009E49"/>
          </w:tcBorders>
          <w:vAlign w:val="center"/>
        </w:tcPr>
        <w:p w14:paraId="21C379BB" w14:textId="762697D9" w:rsidR="00A70C70" w:rsidRPr="00C3335E" w:rsidRDefault="00A70C70" w:rsidP="0027197D">
          <w:pPr>
            <w:pStyle w:val="Rodap"/>
            <w:spacing w:before="0"/>
            <w:jc w:val="center"/>
            <w:rPr>
              <w:rFonts w:asciiTheme="majorHAnsi" w:hAnsiTheme="majorHAnsi"/>
              <w:sz w:val="20"/>
              <w:szCs w:val="20"/>
            </w:rPr>
          </w:pPr>
          <w:r>
            <w:rPr>
              <w:rFonts w:asciiTheme="majorHAnsi" w:hAnsiTheme="majorHAnsi"/>
              <w:sz w:val="20"/>
              <w:szCs w:val="20"/>
            </w:rPr>
            <w:t>Outubro</w:t>
          </w:r>
          <w:r w:rsidRPr="00C3335E">
            <w:rPr>
              <w:rFonts w:asciiTheme="majorHAnsi" w:hAnsiTheme="majorHAnsi"/>
              <w:sz w:val="20"/>
              <w:szCs w:val="20"/>
            </w:rPr>
            <w:t>/201</w:t>
          </w:r>
          <w:r>
            <w:rPr>
              <w:rFonts w:asciiTheme="majorHAnsi" w:hAnsiTheme="majorHAnsi"/>
              <w:sz w:val="20"/>
              <w:szCs w:val="20"/>
            </w:rPr>
            <w:t>8</w:t>
          </w:r>
        </w:p>
      </w:tc>
      <w:tc>
        <w:tcPr>
          <w:tcW w:w="1764" w:type="pct"/>
          <w:tcBorders>
            <w:top w:val="single" w:sz="18" w:space="0" w:color="009E49"/>
          </w:tcBorders>
          <w:vAlign w:val="center"/>
        </w:tcPr>
        <w:p w14:paraId="6321B3A7" w14:textId="77777777" w:rsidR="00A70C70" w:rsidRPr="00C3335E" w:rsidRDefault="00A70C70" w:rsidP="00C3335E">
          <w:pPr>
            <w:pStyle w:val="CabRod"/>
            <w:spacing w:line="240" w:lineRule="auto"/>
            <w:jc w:val="right"/>
            <w:rPr>
              <w:rFonts w:asciiTheme="majorHAnsi" w:hAnsiTheme="majorHAnsi"/>
              <w:szCs w:val="20"/>
            </w:rPr>
          </w:pPr>
          <w:r w:rsidRPr="00C3335E">
            <w:rPr>
              <w:rFonts w:asciiTheme="majorHAnsi" w:hAnsiTheme="majorHAnsi"/>
              <w:szCs w:val="20"/>
            </w:rPr>
            <w:fldChar w:fldCharType="begin"/>
          </w:r>
          <w:r w:rsidRPr="00C3335E">
            <w:rPr>
              <w:rFonts w:asciiTheme="majorHAnsi" w:hAnsiTheme="majorHAnsi"/>
              <w:szCs w:val="20"/>
            </w:rPr>
            <w:instrText>PAGE   \* MERGEFORMAT</w:instrText>
          </w:r>
          <w:r w:rsidRPr="00C3335E">
            <w:rPr>
              <w:rFonts w:asciiTheme="majorHAnsi" w:hAnsiTheme="majorHAnsi"/>
              <w:szCs w:val="20"/>
            </w:rPr>
            <w:fldChar w:fldCharType="separate"/>
          </w:r>
          <w:r>
            <w:rPr>
              <w:rFonts w:asciiTheme="majorHAnsi" w:hAnsiTheme="majorHAnsi"/>
              <w:noProof/>
              <w:szCs w:val="20"/>
            </w:rPr>
            <w:t>90</w:t>
          </w:r>
          <w:r w:rsidRPr="00C3335E">
            <w:rPr>
              <w:rFonts w:asciiTheme="majorHAnsi" w:hAnsiTheme="majorHAnsi"/>
              <w:szCs w:val="20"/>
            </w:rPr>
            <w:fldChar w:fldCharType="end"/>
          </w:r>
        </w:p>
      </w:tc>
    </w:tr>
  </w:tbl>
  <w:p w14:paraId="5DA1F6A9" w14:textId="77777777" w:rsidR="00A70C70" w:rsidRPr="003941A0" w:rsidRDefault="00A70C70" w:rsidP="00953C7D">
    <w:pPr>
      <w:pStyle w:val="Rodap"/>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Borders>
        <w:top w:val="single" w:sz="4" w:space="0" w:color="auto"/>
      </w:tblBorders>
      <w:tblLook w:val="01E0" w:firstRow="1" w:lastRow="1" w:firstColumn="1" w:lastColumn="1" w:noHBand="0" w:noVBand="0"/>
    </w:tblPr>
    <w:tblGrid>
      <w:gridCol w:w="3775"/>
      <w:gridCol w:w="5288"/>
      <w:gridCol w:w="4940"/>
    </w:tblGrid>
    <w:tr w:rsidR="00A70C70" w:rsidRPr="00C3335E" w14:paraId="2EF5B324" w14:textId="77777777" w:rsidTr="008E2BBA">
      <w:trPr>
        <w:trHeight w:val="469"/>
        <w:jc w:val="center"/>
      </w:trPr>
      <w:tc>
        <w:tcPr>
          <w:tcW w:w="1348" w:type="pct"/>
          <w:tcBorders>
            <w:top w:val="single" w:sz="18" w:space="0" w:color="009E49"/>
          </w:tcBorders>
          <w:vAlign w:val="center"/>
        </w:tcPr>
        <w:p w14:paraId="20039A82" w14:textId="5C0D6CA6" w:rsidR="00A70C70" w:rsidRPr="00C3335E" w:rsidRDefault="00A70C70" w:rsidP="00B434F8">
          <w:pPr>
            <w:pStyle w:val="Rodap"/>
            <w:spacing w:before="0"/>
            <w:jc w:val="left"/>
            <w:rPr>
              <w:rFonts w:asciiTheme="majorHAnsi" w:hAnsiTheme="majorHAnsi"/>
              <w:sz w:val="20"/>
              <w:szCs w:val="20"/>
            </w:rPr>
          </w:pPr>
          <w:r w:rsidRPr="00C3335E">
            <w:rPr>
              <w:rStyle w:val="CabRodChar"/>
              <w:rFonts w:asciiTheme="majorHAnsi" w:hAnsiTheme="majorHAnsi"/>
              <w:szCs w:val="20"/>
            </w:rPr>
            <w:t>Rev.0</w:t>
          </w:r>
          <w:r>
            <w:rPr>
              <w:rStyle w:val="CabRodChar"/>
              <w:rFonts w:asciiTheme="majorHAnsi" w:hAnsiTheme="majorHAnsi"/>
              <w:szCs w:val="20"/>
            </w:rPr>
            <w:t>2</w:t>
          </w:r>
        </w:p>
      </w:tc>
      <w:tc>
        <w:tcPr>
          <w:tcW w:w="1888" w:type="pct"/>
          <w:tcBorders>
            <w:top w:val="single" w:sz="18" w:space="0" w:color="009E49"/>
          </w:tcBorders>
          <w:vAlign w:val="center"/>
        </w:tcPr>
        <w:p w14:paraId="454B22CD" w14:textId="22C0EEEA" w:rsidR="00A70C70" w:rsidRPr="00C3335E" w:rsidRDefault="00A70C70" w:rsidP="00B434F8">
          <w:pPr>
            <w:pStyle w:val="Rodap"/>
            <w:spacing w:before="0"/>
            <w:jc w:val="center"/>
            <w:rPr>
              <w:rFonts w:asciiTheme="majorHAnsi" w:hAnsiTheme="majorHAnsi"/>
              <w:sz w:val="20"/>
              <w:szCs w:val="20"/>
            </w:rPr>
          </w:pPr>
          <w:r>
            <w:rPr>
              <w:rFonts w:asciiTheme="majorHAnsi" w:hAnsiTheme="majorHAnsi"/>
              <w:sz w:val="20"/>
              <w:szCs w:val="20"/>
            </w:rPr>
            <w:t>Outubro</w:t>
          </w:r>
          <w:r w:rsidRPr="00C3335E">
            <w:rPr>
              <w:rFonts w:asciiTheme="majorHAnsi" w:hAnsiTheme="majorHAnsi"/>
              <w:sz w:val="20"/>
              <w:szCs w:val="20"/>
            </w:rPr>
            <w:t>/201</w:t>
          </w:r>
          <w:r>
            <w:rPr>
              <w:rFonts w:asciiTheme="majorHAnsi" w:hAnsiTheme="majorHAnsi"/>
              <w:sz w:val="20"/>
              <w:szCs w:val="20"/>
            </w:rPr>
            <w:t>8</w:t>
          </w:r>
        </w:p>
      </w:tc>
      <w:tc>
        <w:tcPr>
          <w:tcW w:w="1764" w:type="pct"/>
          <w:tcBorders>
            <w:top w:val="single" w:sz="18" w:space="0" w:color="009E49"/>
          </w:tcBorders>
          <w:vAlign w:val="center"/>
        </w:tcPr>
        <w:p w14:paraId="6E82E770" w14:textId="77777777" w:rsidR="00A70C70" w:rsidRPr="00C3335E" w:rsidRDefault="00A70C70" w:rsidP="00C3335E">
          <w:pPr>
            <w:pStyle w:val="CabRod"/>
            <w:spacing w:line="240" w:lineRule="auto"/>
            <w:jc w:val="right"/>
            <w:rPr>
              <w:rFonts w:asciiTheme="majorHAnsi" w:hAnsiTheme="majorHAnsi"/>
              <w:szCs w:val="20"/>
            </w:rPr>
          </w:pPr>
          <w:r w:rsidRPr="00C3335E">
            <w:rPr>
              <w:rFonts w:asciiTheme="majorHAnsi" w:hAnsiTheme="majorHAnsi"/>
              <w:szCs w:val="20"/>
            </w:rPr>
            <w:fldChar w:fldCharType="begin"/>
          </w:r>
          <w:r w:rsidRPr="00C3335E">
            <w:rPr>
              <w:rFonts w:asciiTheme="majorHAnsi" w:hAnsiTheme="majorHAnsi"/>
              <w:szCs w:val="20"/>
            </w:rPr>
            <w:instrText>PAGE   \* MERGEFORMAT</w:instrText>
          </w:r>
          <w:r w:rsidRPr="00C3335E">
            <w:rPr>
              <w:rFonts w:asciiTheme="majorHAnsi" w:hAnsiTheme="majorHAnsi"/>
              <w:szCs w:val="20"/>
            </w:rPr>
            <w:fldChar w:fldCharType="separate"/>
          </w:r>
          <w:r>
            <w:rPr>
              <w:rFonts w:asciiTheme="majorHAnsi" w:hAnsiTheme="majorHAnsi"/>
              <w:noProof/>
              <w:szCs w:val="20"/>
            </w:rPr>
            <w:t>91</w:t>
          </w:r>
          <w:r w:rsidRPr="00C3335E">
            <w:rPr>
              <w:rFonts w:asciiTheme="majorHAnsi" w:hAnsiTheme="majorHAnsi"/>
              <w:szCs w:val="20"/>
            </w:rPr>
            <w:fldChar w:fldCharType="end"/>
          </w:r>
        </w:p>
      </w:tc>
    </w:tr>
  </w:tbl>
  <w:p w14:paraId="22E644DF" w14:textId="77777777" w:rsidR="00A70C70" w:rsidRDefault="00A70C70" w:rsidP="008A76B4">
    <w:pPr>
      <w:pStyle w:val="Rodap"/>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Borders>
        <w:top w:val="single" w:sz="4" w:space="0" w:color="auto"/>
      </w:tblBorders>
      <w:tblLook w:val="01E0" w:firstRow="1" w:lastRow="1" w:firstColumn="1" w:lastColumn="1" w:noHBand="0" w:noVBand="0"/>
    </w:tblPr>
    <w:tblGrid>
      <w:gridCol w:w="2445"/>
      <w:gridCol w:w="3425"/>
      <w:gridCol w:w="3200"/>
    </w:tblGrid>
    <w:tr w:rsidR="00A70C70" w:rsidRPr="00C3335E" w14:paraId="02895780" w14:textId="77777777" w:rsidTr="008E2BBA">
      <w:trPr>
        <w:trHeight w:val="469"/>
        <w:jc w:val="center"/>
      </w:trPr>
      <w:tc>
        <w:tcPr>
          <w:tcW w:w="1348" w:type="pct"/>
          <w:tcBorders>
            <w:top w:val="single" w:sz="18" w:space="0" w:color="009E49"/>
          </w:tcBorders>
          <w:vAlign w:val="center"/>
        </w:tcPr>
        <w:p w14:paraId="722A1E96" w14:textId="661F469D" w:rsidR="00A70C70" w:rsidRPr="00C3335E" w:rsidRDefault="00A70C70" w:rsidP="00B434F8">
          <w:pPr>
            <w:pStyle w:val="Rodap"/>
            <w:spacing w:before="0"/>
            <w:jc w:val="left"/>
            <w:rPr>
              <w:rFonts w:asciiTheme="majorHAnsi" w:hAnsiTheme="majorHAnsi"/>
              <w:sz w:val="20"/>
              <w:szCs w:val="20"/>
            </w:rPr>
          </w:pPr>
          <w:r w:rsidRPr="00C3335E">
            <w:rPr>
              <w:rStyle w:val="CabRodChar"/>
              <w:rFonts w:asciiTheme="majorHAnsi" w:hAnsiTheme="majorHAnsi"/>
              <w:szCs w:val="20"/>
            </w:rPr>
            <w:t>Rev.0</w:t>
          </w:r>
          <w:r>
            <w:rPr>
              <w:rStyle w:val="CabRodChar"/>
              <w:rFonts w:asciiTheme="majorHAnsi" w:hAnsiTheme="majorHAnsi"/>
              <w:szCs w:val="20"/>
            </w:rPr>
            <w:t>2</w:t>
          </w:r>
        </w:p>
      </w:tc>
      <w:tc>
        <w:tcPr>
          <w:tcW w:w="1888" w:type="pct"/>
          <w:tcBorders>
            <w:top w:val="single" w:sz="18" w:space="0" w:color="009E49"/>
          </w:tcBorders>
          <w:vAlign w:val="center"/>
        </w:tcPr>
        <w:p w14:paraId="54E4524F" w14:textId="58906470" w:rsidR="00A70C70" w:rsidRPr="00C3335E" w:rsidRDefault="00A70C70" w:rsidP="00B434F8">
          <w:pPr>
            <w:pStyle w:val="Rodap"/>
            <w:spacing w:before="0"/>
            <w:jc w:val="center"/>
            <w:rPr>
              <w:rFonts w:asciiTheme="majorHAnsi" w:hAnsiTheme="majorHAnsi"/>
              <w:sz w:val="20"/>
              <w:szCs w:val="20"/>
            </w:rPr>
          </w:pPr>
          <w:r>
            <w:rPr>
              <w:rFonts w:asciiTheme="majorHAnsi" w:hAnsiTheme="majorHAnsi"/>
              <w:sz w:val="20"/>
              <w:szCs w:val="20"/>
            </w:rPr>
            <w:t>Outubro</w:t>
          </w:r>
          <w:r w:rsidRPr="00C3335E">
            <w:rPr>
              <w:rFonts w:asciiTheme="majorHAnsi" w:hAnsiTheme="majorHAnsi"/>
              <w:sz w:val="20"/>
              <w:szCs w:val="20"/>
            </w:rPr>
            <w:t>/201</w:t>
          </w:r>
          <w:r>
            <w:rPr>
              <w:rFonts w:asciiTheme="majorHAnsi" w:hAnsiTheme="majorHAnsi"/>
              <w:sz w:val="20"/>
              <w:szCs w:val="20"/>
            </w:rPr>
            <w:t>8</w:t>
          </w:r>
        </w:p>
      </w:tc>
      <w:tc>
        <w:tcPr>
          <w:tcW w:w="1764" w:type="pct"/>
          <w:tcBorders>
            <w:top w:val="single" w:sz="18" w:space="0" w:color="009E49"/>
          </w:tcBorders>
          <w:vAlign w:val="center"/>
        </w:tcPr>
        <w:p w14:paraId="5636773E" w14:textId="77777777" w:rsidR="00A70C70" w:rsidRPr="00C3335E" w:rsidRDefault="00A70C70" w:rsidP="00C3335E">
          <w:pPr>
            <w:pStyle w:val="CabRod"/>
            <w:spacing w:line="240" w:lineRule="auto"/>
            <w:jc w:val="right"/>
            <w:rPr>
              <w:rFonts w:asciiTheme="majorHAnsi" w:hAnsiTheme="majorHAnsi"/>
              <w:szCs w:val="20"/>
            </w:rPr>
          </w:pPr>
          <w:r w:rsidRPr="00C3335E">
            <w:rPr>
              <w:rFonts w:asciiTheme="majorHAnsi" w:hAnsiTheme="majorHAnsi"/>
              <w:szCs w:val="20"/>
            </w:rPr>
            <w:fldChar w:fldCharType="begin"/>
          </w:r>
          <w:r w:rsidRPr="00C3335E">
            <w:rPr>
              <w:rFonts w:asciiTheme="majorHAnsi" w:hAnsiTheme="majorHAnsi"/>
              <w:szCs w:val="20"/>
            </w:rPr>
            <w:instrText>PAGE   \* MERGEFORMAT</w:instrText>
          </w:r>
          <w:r w:rsidRPr="00C3335E">
            <w:rPr>
              <w:rFonts w:asciiTheme="majorHAnsi" w:hAnsiTheme="majorHAnsi"/>
              <w:szCs w:val="20"/>
            </w:rPr>
            <w:fldChar w:fldCharType="separate"/>
          </w:r>
          <w:r>
            <w:rPr>
              <w:rFonts w:asciiTheme="majorHAnsi" w:hAnsiTheme="majorHAnsi"/>
              <w:noProof/>
              <w:szCs w:val="20"/>
            </w:rPr>
            <w:t>97</w:t>
          </w:r>
          <w:r w:rsidRPr="00C3335E">
            <w:rPr>
              <w:rFonts w:asciiTheme="majorHAnsi" w:hAnsiTheme="majorHAnsi"/>
              <w:szCs w:val="20"/>
            </w:rPr>
            <w:fldChar w:fldCharType="end"/>
          </w:r>
        </w:p>
      </w:tc>
    </w:tr>
  </w:tbl>
  <w:p w14:paraId="69EE7209" w14:textId="77777777" w:rsidR="00A70C70" w:rsidRDefault="00A70C70" w:rsidP="008A76B4">
    <w:pPr>
      <w:pStyle w:val="Rodap"/>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Borders>
        <w:top w:val="single" w:sz="4" w:space="0" w:color="auto"/>
      </w:tblBorders>
      <w:tblLook w:val="01E0" w:firstRow="1" w:lastRow="1" w:firstColumn="1" w:lastColumn="1" w:noHBand="0" w:noVBand="0"/>
    </w:tblPr>
    <w:tblGrid>
      <w:gridCol w:w="3775"/>
      <w:gridCol w:w="5287"/>
      <w:gridCol w:w="4940"/>
    </w:tblGrid>
    <w:tr w:rsidR="00A70C70" w:rsidRPr="00C3335E" w14:paraId="0BDBF6B4" w14:textId="77777777" w:rsidTr="008E2BBA">
      <w:trPr>
        <w:trHeight w:val="469"/>
        <w:jc w:val="center"/>
      </w:trPr>
      <w:tc>
        <w:tcPr>
          <w:tcW w:w="1348" w:type="pct"/>
          <w:tcBorders>
            <w:top w:val="single" w:sz="18" w:space="0" w:color="009E49"/>
          </w:tcBorders>
          <w:vAlign w:val="center"/>
        </w:tcPr>
        <w:p w14:paraId="4C9F0D0A" w14:textId="69F0F931" w:rsidR="00A70C70" w:rsidRPr="00C3335E" w:rsidRDefault="00A70C70" w:rsidP="00EC0293">
          <w:pPr>
            <w:pStyle w:val="Rodap"/>
            <w:spacing w:before="0"/>
            <w:jc w:val="left"/>
            <w:rPr>
              <w:rFonts w:asciiTheme="majorHAnsi" w:hAnsiTheme="majorHAnsi"/>
              <w:sz w:val="20"/>
              <w:szCs w:val="20"/>
            </w:rPr>
          </w:pPr>
          <w:r w:rsidRPr="00C3335E">
            <w:rPr>
              <w:rStyle w:val="CabRodChar"/>
              <w:rFonts w:asciiTheme="majorHAnsi" w:hAnsiTheme="majorHAnsi"/>
              <w:szCs w:val="20"/>
            </w:rPr>
            <w:t>Rev.0</w:t>
          </w:r>
          <w:r>
            <w:rPr>
              <w:rStyle w:val="CabRodChar"/>
              <w:rFonts w:asciiTheme="majorHAnsi" w:hAnsiTheme="majorHAnsi"/>
              <w:szCs w:val="20"/>
            </w:rPr>
            <w:t>2</w:t>
          </w:r>
        </w:p>
      </w:tc>
      <w:tc>
        <w:tcPr>
          <w:tcW w:w="1888" w:type="pct"/>
          <w:tcBorders>
            <w:top w:val="single" w:sz="18" w:space="0" w:color="009E49"/>
          </w:tcBorders>
          <w:vAlign w:val="center"/>
        </w:tcPr>
        <w:p w14:paraId="0CC40643" w14:textId="7EFF91D5" w:rsidR="00A70C70" w:rsidRPr="00C3335E" w:rsidRDefault="00A70C70" w:rsidP="00EC0293">
          <w:pPr>
            <w:pStyle w:val="Rodap"/>
            <w:spacing w:before="0"/>
            <w:jc w:val="center"/>
            <w:rPr>
              <w:rFonts w:asciiTheme="majorHAnsi" w:hAnsiTheme="majorHAnsi"/>
              <w:sz w:val="20"/>
              <w:szCs w:val="20"/>
            </w:rPr>
          </w:pPr>
          <w:r>
            <w:rPr>
              <w:rFonts w:asciiTheme="majorHAnsi" w:hAnsiTheme="majorHAnsi"/>
              <w:sz w:val="20"/>
              <w:szCs w:val="20"/>
            </w:rPr>
            <w:t>Outubro</w:t>
          </w:r>
          <w:r w:rsidRPr="00C3335E">
            <w:rPr>
              <w:rFonts w:asciiTheme="majorHAnsi" w:hAnsiTheme="majorHAnsi"/>
              <w:sz w:val="20"/>
              <w:szCs w:val="20"/>
            </w:rPr>
            <w:t>/201</w:t>
          </w:r>
          <w:r>
            <w:rPr>
              <w:rFonts w:asciiTheme="majorHAnsi" w:hAnsiTheme="majorHAnsi"/>
              <w:sz w:val="20"/>
              <w:szCs w:val="20"/>
            </w:rPr>
            <w:t>8</w:t>
          </w:r>
        </w:p>
      </w:tc>
      <w:tc>
        <w:tcPr>
          <w:tcW w:w="1764" w:type="pct"/>
          <w:tcBorders>
            <w:top w:val="single" w:sz="18" w:space="0" w:color="009E49"/>
          </w:tcBorders>
          <w:vAlign w:val="center"/>
        </w:tcPr>
        <w:p w14:paraId="5730F2B5" w14:textId="77777777" w:rsidR="00A70C70" w:rsidRPr="00C3335E" w:rsidRDefault="00A70C70" w:rsidP="00C3335E">
          <w:pPr>
            <w:pStyle w:val="CabRod"/>
            <w:spacing w:line="240" w:lineRule="auto"/>
            <w:jc w:val="right"/>
            <w:rPr>
              <w:rFonts w:asciiTheme="majorHAnsi" w:hAnsiTheme="majorHAnsi"/>
              <w:szCs w:val="20"/>
            </w:rPr>
          </w:pPr>
          <w:r w:rsidRPr="00C3335E">
            <w:rPr>
              <w:rFonts w:asciiTheme="majorHAnsi" w:hAnsiTheme="majorHAnsi"/>
              <w:szCs w:val="20"/>
            </w:rPr>
            <w:fldChar w:fldCharType="begin"/>
          </w:r>
          <w:r w:rsidRPr="00C3335E">
            <w:rPr>
              <w:rFonts w:asciiTheme="majorHAnsi" w:hAnsiTheme="majorHAnsi"/>
              <w:szCs w:val="20"/>
            </w:rPr>
            <w:instrText>PAGE   \* MERGEFORMAT</w:instrText>
          </w:r>
          <w:r w:rsidRPr="00C3335E">
            <w:rPr>
              <w:rFonts w:asciiTheme="majorHAnsi" w:hAnsiTheme="majorHAnsi"/>
              <w:szCs w:val="20"/>
            </w:rPr>
            <w:fldChar w:fldCharType="separate"/>
          </w:r>
          <w:r>
            <w:rPr>
              <w:rFonts w:asciiTheme="majorHAnsi" w:hAnsiTheme="majorHAnsi"/>
              <w:noProof/>
              <w:szCs w:val="20"/>
            </w:rPr>
            <w:t>122</w:t>
          </w:r>
          <w:r w:rsidRPr="00C3335E">
            <w:rPr>
              <w:rFonts w:asciiTheme="majorHAnsi" w:hAnsiTheme="majorHAnsi"/>
              <w:szCs w:val="20"/>
            </w:rPr>
            <w:fldChar w:fldCharType="end"/>
          </w:r>
        </w:p>
      </w:tc>
    </w:tr>
  </w:tbl>
  <w:p w14:paraId="10940EEA" w14:textId="77777777" w:rsidR="00A70C70" w:rsidRDefault="00A70C70" w:rsidP="008A76B4">
    <w:pPr>
      <w:pStyle w:val="Rodap"/>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auto"/>
      </w:tblBorders>
      <w:tblLook w:val="01E0" w:firstRow="1" w:lastRow="1" w:firstColumn="1" w:lastColumn="1" w:noHBand="0" w:noVBand="0"/>
    </w:tblPr>
    <w:tblGrid>
      <w:gridCol w:w="2829"/>
      <w:gridCol w:w="3418"/>
      <w:gridCol w:w="2823"/>
    </w:tblGrid>
    <w:tr w:rsidR="00A70C70" w:rsidRPr="00C3335E" w14:paraId="7F6805FF" w14:textId="77777777" w:rsidTr="008E2BBA">
      <w:trPr>
        <w:trHeight w:val="469"/>
      </w:trPr>
      <w:tc>
        <w:tcPr>
          <w:tcW w:w="1560" w:type="pct"/>
          <w:tcBorders>
            <w:top w:val="single" w:sz="18" w:space="0" w:color="009E49"/>
          </w:tcBorders>
          <w:vAlign w:val="center"/>
        </w:tcPr>
        <w:p w14:paraId="1D9D906E" w14:textId="2B2BB46C" w:rsidR="00A70C70" w:rsidRPr="00C3335E" w:rsidRDefault="00A70C70" w:rsidP="00EC0293">
          <w:pPr>
            <w:pStyle w:val="Rodap"/>
            <w:spacing w:before="0"/>
            <w:jc w:val="left"/>
            <w:rPr>
              <w:rFonts w:asciiTheme="majorHAnsi" w:hAnsiTheme="majorHAnsi"/>
              <w:sz w:val="20"/>
              <w:szCs w:val="20"/>
            </w:rPr>
          </w:pPr>
          <w:r w:rsidRPr="00C3335E">
            <w:rPr>
              <w:rFonts w:asciiTheme="majorHAnsi" w:hAnsiTheme="majorHAnsi"/>
              <w:sz w:val="20"/>
              <w:szCs w:val="20"/>
            </w:rPr>
            <w:t>Rev.0</w:t>
          </w:r>
          <w:r>
            <w:rPr>
              <w:rFonts w:asciiTheme="majorHAnsi" w:hAnsiTheme="majorHAnsi"/>
              <w:sz w:val="20"/>
              <w:szCs w:val="20"/>
            </w:rPr>
            <w:t>2</w:t>
          </w:r>
        </w:p>
      </w:tc>
      <w:tc>
        <w:tcPr>
          <w:tcW w:w="1884" w:type="pct"/>
          <w:tcBorders>
            <w:top w:val="single" w:sz="18" w:space="0" w:color="009E49"/>
          </w:tcBorders>
          <w:vAlign w:val="center"/>
        </w:tcPr>
        <w:p w14:paraId="40BA7DF0" w14:textId="5D876784" w:rsidR="00A70C70" w:rsidRPr="00C3335E" w:rsidRDefault="00A70C70" w:rsidP="00EC0293">
          <w:pPr>
            <w:pStyle w:val="Rodap"/>
            <w:spacing w:before="0"/>
            <w:jc w:val="center"/>
            <w:rPr>
              <w:rFonts w:asciiTheme="majorHAnsi" w:hAnsiTheme="majorHAnsi"/>
              <w:sz w:val="20"/>
              <w:szCs w:val="20"/>
            </w:rPr>
          </w:pPr>
          <w:r>
            <w:rPr>
              <w:rFonts w:asciiTheme="majorHAnsi" w:hAnsiTheme="majorHAnsi"/>
              <w:sz w:val="20"/>
              <w:szCs w:val="20"/>
            </w:rPr>
            <w:t>Outubro</w:t>
          </w:r>
          <w:r w:rsidRPr="00C3335E">
            <w:rPr>
              <w:rFonts w:asciiTheme="majorHAnsi" w:hAnsiTheme="majorHAnsi"/>
              <w:sz w:val="20"/>
              <w:szCs w:val="20"/>
            </w:rPr>
            <w:t>/201</w:t>
          </w:r>
          <w:r>
            <w:rPr>
              <w:rFonts w:asciiTheme="majorHAnsi" w:hAnsiTheme="majorHAnsi"/>
              <w:sz w:val="20"/>
              <w:szCs w:val="20"/>
            </w:rPr>
            <w:t>8</w:t>
          </w:r>
        </w:p>
      </w:tc>
      <w:tc>
        <w:tcPr>
          <w:tcW w:w="1556" w:type="pct"/>
          <w:tcBorders>
            <w:top w:val="single" w:sz="18" w:space="0" w:color="009E49"/>
          </w:tcBorders>
          <w:vAlign w:val="center"/>
        </w:tcPr>
        <w:p w14:paraId="4D7E3FF2" w14:textId="77777777" w:rsidR="00A70C70" w:rsidRPr="00C3335E" w:rsidRDefault="00A70C70" w:rsidP="00C3335E">
          <w:pPr>
            <w:pStyle w:val="Rodap"/>
            <w:spacing w:before="0"/>
            <w:jc w:val="right"/>
            <w:rPr>
              <w:rFonts w:asciiTheme="majorHAnsi" w:hAnsiTheme="majorHAnsi"/>
              <w:sz w:val="20"/>
              <w:szCs w:val="20"/>
            </w:rPr>
          </w:pPr>
          <w:r w:rsidRPr="00C3335E">
            <w:rPr>
              <w:rFonts w:asciiTheme="majorHAnsi" w:hAnsiTheme="majorHAnsi" w:cstheme="minorHAnsi"/>
              <w:sz w:val="20"/>
              <w:szCs w:val="20"/>
            </w:rPr>
            <w:fldChar w:fldCharType="begin"/>
          </w:r>
          <w:r w:rsidRPr="00C3335E">
            <w:rPr>
              <w:rFonts w:asciiTheme="majorHAnsi" w:hAnsiTheme="majorHAnsi" w:cstheme="minorHAnsi"/>
              <w:sz w:val="20"/>
              <w:szCs w:val="20"/>
            </w:rPr>
            <w:instrText>PAGE   \* MERGEFORMAT</w:instrText>
          </w:r>
          <w:r w:rsidRPr="00C3335E">
            <w:rPr>
              <w:rFonts w:asciiTheme="majorHAnsi" w:hAnsiTheme="majorHAnsi" w:cstheme="minorHAnsi"/>
              <w:sz w:val="20"/>
              <w:szCs w:val="20"/>
            </w:rPr>
            <w:fldChar w:fldCharType="separate"/>
          </w:r>
          <w:r>
            <w:rPr>
              <w:rFonts w:asciiTheme="majorHAnsi" w:hAnsiTheme="majorHAnsi" w:cstheme="minorHAnsi"/>
              <w:noProof/>
              <w:sz w:val="20"/>
              <w:szCs w:val="20"/>
            </w:rPr>
            <w:t>133</w:t>
          </w:r>
          <w:r w:rsidRPr="00C3335E">
            <w:rPr>
              <w:rFonts w:asciiTheme="majorHAnsi" w:hAnsiTheme="majorHAnsi" w:cstheme="minorHAnsi"/>
              <w:sz w:val="20"/>
              <w:szCs w:val="20"/>
            </w:rPr>
            <w:fldChar w:fldCharType="end"/>
          </w:r>
        </w:p>
      </w:tc>
    </w:tr>
  </w:tbl>
  <w:p w14:paraId="54BAF4BB" w14:textId="77777777" w:rsidR="00A70C70" w:rsidRDefault="00A70C70" w:rsidP="006224F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Borders>
        <w:top w:val="single" w:sz="4" w:space="0" w:color="auto"/>
      </w:tblBorders>
      <w:tblLook w:val="01E0" w:firstRow="1" w:lastRow="1" w:firstColumn="1" w:lastColumn="1" w:noHBand="0" w:noVBand="0"/>
    </w:tblPr>
    <w:tblGrid>
      <w:gridCol w:w="2719"/>
      <w:gridCol w:w="3808"/>
      <w:gridCol w:w="2716"/>
    </w:tblGrid>
    <w:tr w:rsidR="00A70C70" w:rsidRPr="008B3E07" w14:paraId="384B8246" w14:textId="77777777" w:rsidTr="004D65B3">
      <w:trPr>
        <w:trHeight w:val="469"/>
        <w:jc w:val="center"/>
      </w:trPr>
      <w:tc>
        <w:tcPr>
          <w:tcW w:w="1471" w:type="pct"/>
          <w:tcBorders>
            <w:top w:val="single" w:sz="18" w:space="0" w:color="009E49"/>
          </w:tcBorders>
          <w:vAlign w:val="center"/>
        </w:tcPr>
        <w:p w14:paraId="7C7E9CC1" w14:textId="77777777" w:rsidR="00A70C70" w:rsidRPr="008B3E07" w:rsidRDefault="00A70C70" w:rsidP="004D65B3">
          <w:pPr>
            <w:pStyle w:val="Rodap"/>
            <w:jc w:val="left"/>
            <w:rPr>
              <w:sz w:val="20"/>
              <w:szCs w:val="20"/>
            </w:rPr>
          </w:pPr>
          <w:r w:rsidRPr="000725F9">
            <w:rPr>
              <w:rStyle w:val="CabRodChar"/>
            </w:rPr>
            <w:t>Rev.</w:t>
          </w:r>
          <w:r>
            <w:rPr>
              <w:rStyle w:val="CabRodChar"/>
            </w:rPr>
            <w:t>00</w:t>
          </w:r>
        </w:p>
      </w:tc>
      <w:tc>
        <w:tcPr>
          <w:tcW w:w="2060" w:type="pct"/>
          <w:tcBorders>
            <w:top w:val="single" w:sz="18" w:space="0" w:color="009E49"/>
          </w:tcBorders>
          <w:vAlign w:val="center"/>
        </w:tcPr>
        <w:p w14:paraId="2050873C" w14:textId="77777777" w:rsidR="00A70C70" w:rsidRPr="008B3E07" w:rsidRDefault="00A70C70" w:rsidP="004D65B3">
          <w:pPr>
            <w:pStyle w:val="Rodap"/>
            <w:jc w:val="center"/>
            <w:rPr>
              <w:sz w:val="20"/>
              <w:szCs w:val="20"/>
            </w:rPr>
          </w:pPr>
          <w:r>
            <w:rPr>
              <w:rFonts w:asciiTheme="majorHAnsi" w:hAnsiTheme="majorHAnsi"/>
              <w:sz w:val="20"/>
              <w:szCs w:val="20"/>
            </w:rPr>
            <w:t>Março/2015</w:t>
          </w:r>
        </w:p>
      </w:tc>
      <w:tc>
        <w:tcPr>
          <w:tcW w:w="1469" w:type="pct"/>
          <w:tcBorders>
            <w:top w:val="single" w:sz="18" w:space="0" w:color="009E49"/>
          </w:tcBorders>
          <w:vAlign w:val="center"/>
        </w:tcPr>
        <w:p w14:paraId="4C60CAA9" w14:textId="77777777" w:rsidR="00A70C70" w:rsidRPr="008B3E07" w:rsidRDefault="00A70C70" w:rsidP="004D65B3">
          <w:pPr>
            <w:pStyle w:val="CabRod"/>
            <w:jc w:val="right"/>
          </w:pPr>
          <w:r w:rsidRPr="004365B6">
            <w:fldChar w:fldCharType="begin"/>
          </w:r>
          <w:r w:rsidRPr="004365B6">
            <w:instrText>PAGE   \* MERGEFORMAT</w:instrText>
          </w:r>
          <w:r w:rsidRPr="004365B6">
            <w:fldChar w:fldCharType="separate"/>
          </w:r>
          <w:r>
            <w:rPr>
              <w:noProof/>
            </w:rPr>
            <w:t>4</w:t>
          </w:r>
          <w:r w:rsidRPr="004365B6">
            <w:fldChar w:fldCharType="end"/>
          </w:r>
        </w:p>
      </w:tc>
    </w:tr>
  </w:tbl>
  <w:p w14:paraId="43D178D8" w14:textId="77777777" w:rsidR="00A70C70" w:rsidRDefault="00A70C70">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auto"/>
      </w:tblBorders>
      <w:tblLook w:val="01E0" w:firstRow="1" w:lastRow="1" w:firstColumn="1" w:lastColumn="1" w:noHBand="0" w:noVBand="0"/>
    </w:tblPr>
    <w:tblGrid>
      <w:gridCol w:w="2826"/>
      <w:gridCol w:w="3418"/>
      <w:gridCol w:w="2826"/>
    </w:tblGrid>
    <w:tr w:rsidR="00A70C70" w:rsidRPr="00656D39" w14:paraId="656D5A4A" w14:textId="77777777" w:rsidTr="00150CAE">
      <w:trPr>
        <w:trHeight w:val="469"/>
      </w:trPr>
      <w:tc>
        <w:tcPr>
          <w:tcW w:w="1558" w:type="pct"/>
          <w:tcBorders>
            <w:top w:val="single" w:sz="18" w:space="0" w:color="009E49"/>
          </w:tcBorders>
          <w:vAlign w:val="center"/>
        </w:tcPr>
        <w:p w14:paraId="43110723" w14:textId="0AEADA64" w:rsidR="00A70C70" w:rsidRPr="00656D39" w:rsidRDefault="00A70C70" w:rsidP="00B07A0A">
          <w:pPr>
            <w:pStyle w:val="Rodap"/>
            <w:spacing w:before="0"/>
            <w:jc w:val="left"/>
            <w:rPr>
              <w:rFonts w:asciiTheme="majorHAnsi" w:hAnsiTheme="majorHAnsi"/>
              <w:sz w:val="20"/>
              <w:szCs w:val="20"/>
            </w:rPr>
          </w:pPr>
          <w:r w:rsidRPr="00656D39">
            <w:rPr>
              <w:rStyle w:val="CabRodChar"/>
              <w:rFonts w:asciiTheme="majorHAnsi" w:hAnsiTheme="majorHAnsi"/>
              <w:szCs w:val="20"/>
            </w:rPr>
            <w:t>Rev.0</w:t>
          </w:r>
          <w:r>
            <w:rPr>
              <w:rStyle w:val="CabRodChar"/>
              <w:rFonts w:asciiTheme="majorHAnsi" w:hAnsiTheme="majorHAnsi"/>
              <w:szCs w:val="20"/>
            </w:rPr>
            <w:t>2</w:t>
          </w:r>
        </w:p>
      </w:tc>
      <w:tc>
        <w:tcPr>
          <w:tcW w:w="1884" w:type="pct"/>
          <w:tcBorders>
            <w:top w:val="single" w:sz="18" w:space="0" w:color="009E49"/>
          </w:tcBorders>
          <w:vAlign w:val="center"/>
        </w:tcPr>
        <w:p w14:paraId="7F4B93E4" w14:textId="271E0CF3" w:rsidR="00A70C70" w:rsidRPr="00656D39" w:rsidRDefault="00A70C70" w:rsidP="00B07A0A">
          <w:pPr>
            <w:pStyle w:val="Rodap"/>
            <w:spacing w:before="0"/>
            <w:jc w:val="center"/>
            <w:rPr>
              <w:rFonts w:asciiTheme="majorHAnsi" w:hAnsiTheme="majorHAnsi"/>
              <w:sz w:val="20"/>
              <w:szCs w:val="20"/>
            </w:rPr>
          </w:pPr>
          <w:r>
            <w:rPr>
              <w:rFonts w:asciiTheme="majorHAnsi" w:hAnsiTheme="majorHAnsi"/>
              <w:sz w:val="20"/>
              <w:szCs w:val="20"/>
            </w:rPr>
            <w:t>Outubro</w:t>
          </w:r>
          <w:r w:rsidRPr="00656D39">
            <w:rPr>
              <w:rFonts w:asciiTheme="majorHAnsi" w:hAnsiTheme="majorHAnsi"/>
              <w:sz w:val="20"/>
              <w:szCs w:val="20"/>
            </w:rPr>
            <w:t>/201</w:t>
          </w:r>
          <w:r>
            <w:rPr>
              <w:rFonts w:asciiTheme="majorHAnsi" w:hAnsiTheme="majorHAnsi"/>
              <w:sz w:val="20"/>
              <w:szCs w:val="20"/>
            </w:rPr>
            <w:t>8</w:t>
          </w:r>
        </w:p>
      </w:tc>
      <w:tc>
        <w:tcPr>
          <w:tcW w:w="1558" w:type="pct"/>
          <w:tcBorders>
            <w:top w:val="single" w:sz="18" w:space="0" w:color="009E49"/>
          </w:tcBorders>
          <w:vAlign w:val="center"/>
        </w:tcPr>
        <w:p w14:paraId="11758B4A" w14:textId="77777777" w:rsidR="00A70C70" w:rsidRPr="00656D39" w:rsidRDefault="00A70C70" w:rsidP="00656D39">
          <w:pPr>
            <w:pStyle w:val="CabRod"/>
            <w:spacing w:line="240" w:lineRule="auto"/>
            <w:jc w:val="right"/>
            <w:rPr>
              <w:rFonts w:asciiTheme="majorHAnsi" w:hAnsiTheme="majorHAnsi"/>
              <w:szCs w:val="20"/>
            </w:rPr>
          </w:pPr>
          <w:r w:rsidRPr="00656D39">
            <w:rPr>
              <w:rFonts w:asciiTheme="majorHAnsi" w:hAnsiTheme="majorHAnsi"/>
              <w:szCs w:val="20"/>
            </w:rPr>
            <w:fldChar w:fldCharType="begin"/>
          </w:r>
          <w:r w:rsidRPr="00656D39">
            <w:rPr>
              <w:rFonts w:asciiTheme="majorHAnsi" w:hAnsiTheme="majorHAnsi"/>
              <w:szCs w:val="20"/>
            </w:rPr>
            <w:instrText>PAGE   \* MERGEFORMAT</w:instrText>
          </w:r>
          <w:r w:rsidRPr="00656D39">
            <w:rPr>
              <w:rFonts w:asciiTheme="majorHAnsi" w:hAnsiTheme="majorHAnsi"/>
              <w:szCs w:val="20"/>
            </w:rPr>
            <w:fldChar w:fldCharType="separate"/>
          </w:r>
          <w:r>
            <w:rPr>
              <w:rFonts w:asciiTheme="majorHAnsi" w:hAnsiTheme="majorHAnsi"/>
              <w:noProof/>
              <w:szCs w:val="20"/>
            </w:rPr>
            <w:t>xiii</w:t>
          </w:r>
          <w:r w:rsidRPr="00656D39">
            <w:rPr>
              <w:rFonts w:asciiTheme="majorHAnsi" w:hAnsiTheme="majorHAnsi"/>
              <w:szCs w:val="20"/>
            </w:rPr>
            <w:fldChar w:fldCharType="end"/>
          </w:r>
        </w:p>
      </w:tc>
    </w:tr>
  </w:tbl>
  <w:p w14:paraId="2F2DC2DE" w14:textId="77777777" w:rsidR="00A70C70" w:rsidRPr="00EC726B" w:rsidRDefault="00A70C70" w:rsidP="007D2978">
    <w:pPr>
      <w:pStyle w:val="Rodap"/>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auto"/>
      </w:tblBorders>
      <w:tblLook w:val="01E0" w:firstRow="1" w:lastRow="1" w:firstColumn="1" w:lastColumn="1" w:noHBand="0" w:noVBand="0"/>
    </w:tblPr>
    <w:tblGrid>
      <w:gridCol w:w="2826"/>
      <w:gridCol w:w="3418"/>
      <w:gridCol w:w="2826"/>
    </w:tblGrid>
    <w:tr w:rsidR="00A70C70" w:rsidRPr="00C3335E" w14:paraId="11F07A37" w14:textId="77777777" w:rsidTr="00E13E52">
      <w:trPr>
        <w:trHeight w:val="469"/>
      </w:trPr>
      <w:tc>
        <w:tcPr>
          <w:tcW w:w="1558" w:type="pct"/>
          <w:tcBorders>
            <w:top w:val="single" w:sz="18" w:space="0" w:color="009E49"/>
          </w:tcBorders>
          <w:vAlign w:val="center"/>
        </w:tcPr>
        <w:p w14:paraId="1C4D6BC2" w14:textId="3D070D70" w:rsidR="00A70C70" w:rsidRPr="00C3335E" w:rsidRDefault="00A70C70" w:rsidP="0049107D">
          <w:pPr>
            <w:pStyle w:val="Rodap"/>
            <w:spacing w:before="0"/>
            <w:jc w:val="left"/>
            <w:rPr>
              <w:rFonts w:asciiTheme="majorHAnsi" w:hAnsiTheme="majorHAnsi"/>
              <w:sz w:val="20"/>
              <w:szCs w:val="20"/>
            </w:rPr>
          </w:pPr>
          <w:r w:rsidRPr="00C3335E">
            <w:rPr>
              <w:rStyle w:val="CabRodChar"/>
              <w:rFonts w:asciiTheme="majorHAnsi" w:hAnsiTheme="majorHAnsi"/>
              <w:szCs w:val="20"/>
            </w:rPr>
            <w:t>Rev.0</w:t>
          </w:r>
          <w:r>
            <w:rPr>
              <w:rStyle w:val="CabRodChar"/>
              <w:rFonts w:asciiTheme="majorHAnsi" w:hAnsiTheme="majorHAnsi"/>
              <w:szCs w:val="20"/>
            </w:rPr>
            <w:t>2</w:t>
          </w:r>
        </w:p>
      </w:tc>
      <w:tc>
        <w:tcPr>
          <w:tcW w:w="1884" w:type="pct"/>
          <w:tcBorders>
            <w:top w:val="single" w:sz="18" w:space="0" w:color="009E49"/>
          </w:tcBorders>
          <w:vAlign w:val="center"/>
        </w:tcPr>
        <w:p w14:paraId="612BB6EF" w14:textId="53B7812C" w:rsidR="00A70C70" w:rsidRPr="00C3335E" w:rsidRDefault="00A70C70" w:rsidP="0049107D">
          <w:pPr>
            <w:pStyle w:val="Rodap"/>
            <w:spacing w:before="0"/>
            <w:jc w:val="center"/>
            <w:rPr>
              <w:rFonts w:asciiTheme="majorHAnsi" w:hAnsiTheme="majorHAnsi"/>
              <w:sz w:val="20"/>
              <w:szCs w:val="20"/>
            </w:rPr>
          </w:pPr>
          <w:r>
            <w:rPr>
              <w:rFonts w:asciiTheme="majorHAnsi" w:hAnsiTheme="majorHAnsi"/>
              <w:sz w:val="20"/>
              <w:szCs w:val="20"/>
            </w:rPr>
            <w:t>Outubro</w:t>
          </w:r>
          <w:r w:rsidRPr="00C3335E">
            <w:rPr>
              <w:rFonts w:asciiTheme="majorHAnsi" w:hAnsiTheme="majorHAnsi"/>
              <w:sz w:val="20"/>
              <w:szCs w:val="20"/>
            </w:rPr>
            <w:t>/201</w:t>
          </w:r>
          <w:r>
            <w:rPr>
              <w:rFonts w:asciiTheme="majorHAnsi" w:hAnsiTheme="majorHAnsi"/>
              <w:sz w:val="20"/>
              <w:szCs w:val="20"/>
            </w:rPr>
            <w:t>8</w:t>
          </w:r>
        </w:p>
      </w:tc>
      <w:tc>
        <w:tcPr>
          <w:tcW w:w="1558" w:type="pct"/>
          <w:tcBorders>
            <w:top w:val="single" w:sz="18" w:space="0" w:color="009E49"/>
          </w:tcBorders>
          <w:vAlign w:val="center"/>
        </w:tcPr>
        <w:p w14:paraId="6515D746" w14:textId="77777777" w:rsidR="00A70C70" w:rsidRPr="00C3335E" w:rsidRDefault="00A70C70" w:rsidP="00C3335E">
          <w:pPr>
            <w:pStyle w:val="CabRod"/>
            <w:spacing w:line="240" w:lineRule="auto"/>
            <w:jc w:val="right"/>
            <w:rPr>
              <w:rFonts w:asciiTheme="majorHAnsi" w:hAnsiTheme="majorHAnsi"/>
              <w:szCs w:val="20"/>
            </w:rPr>
          </w:pPr>
          <w:r w:rsidRPr="00C3335E">
            <w:rPr>
              <w:rFonts w:asciiTheme="majorHAnsi" w:hAnsiTheme="majorHAnsi"/>
              <w:szCs w:val="20"/>
            </w:rPr>
            <w:fldChar w:fldCharType="begin"/>
          </w:r>
          <w:r w:rsidRPr="00C3335E">
            <w:rPr>
              <w:rFonts w:asciiTheme="majorHAnsi" w:hAnsiTheme="majorHAnsi"/>
              <w:szCs w:val="20"/>
            </w:rPr>
            <w:instrText>PAGE   \* MERGEFORMAT</w:instrText>
          </w:r>
          <w:r w:rsidRPr="00C3335E">
            <w:rPr>
              <w:rFonts w:asciiTheme="majorHAnsi" w:hAnsiTheme="majorHAnsi"/>
              <w:szCs w:val="20"/>
            </w:rPr>
            <w:fldChar w:fldCharType="separate"/>
          </w:r>
          <w:r>
            <w:rPr>
              <w:rFonts w:asciiTheme="majorHAnsi" w:hAnsiTheme="majorHAnsi"/>
              <w:noProof/>
              <w:szCs w:val="20"/>
            </w:rPr>
            <w:t>6</w:t>
          </w:r>
          <w:r w:rsidRPr="00C3335E">
            <w:rPr>
              <w:rFonts w:asciiTheme="majorHAnsi" w:hAnsiTheme="majorHAnsi"/>
              <w:szCs w:val="20"/>
            </w:rPr>
            <w:fldChar w:fldCharType="end"/>
          </w:r>
        </w:p>
      </w:tc>
    </w:tr>
  </w:tbl>
  <w:p w14:paraId="518D4507" w14:textId="77777777" w:rsidR="00A70C70" w:rsidRPr="00EC726B" w:rsidRDefault="00A70C70" w:rsidP="00E13E52">
    <w:pPr>
      <w:pStyle w:val="Rodap"/>
      <w:tabs>
        <w:tab w:val="clear" w:pos="4252"/>
        <w:tab w:val="clear" w:pos="8504"/>
        <w:tab w:val="left" w:pos="3345"/>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comgrade"/>
      <w:tblW w:w="5000" w:type="pct"/>
      <w:tblBorders>
        <w:top w:val="single" w:sz="18" w:space="0" w:color="009E49"/>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9"/>
      <w:gridCol w:w="4556"/>
      <w:gridCol w:w="5105"/>
    </w:tblGrid>
    <w:tr w:rsidR="00A70C70" w14:paraId="68504364" w14:textId="77777777" w:rsidTr="008A76B4">
      <w:tc>
        <w:tcPr>
          <w:tcW w:w="1603" w:type="pct"/>
          <w:vAlign w:val="center"/>
        </w:tcPr>
        <w:p w14:paraId="20B510DA" w14:textId="77777777" w:rsidR="00A70C70" w:rsidRPr="00FE529E" w:rsidRDefault="00A70C70" w:rsidP="008A76B4">
          <w:pPr>
            <w:pStyle w:val="Rodap"/>
            <w:spacing w:after="120" w:line="360" w:lineRule="auto"/>
            <w:rPr>
              <w:rFonts w:asciiTheme="majorHAnsi" w:hAnsiTheme="majorHAnsi"/>
            </w:rPr>
          </w:pPr>
          <w:r w:rsidRPr="00FE529E">
            <w:rPr>
              <w:rFonts w:asciiTheme="majorHAnsi" w:hAnsiTheme="majorHAnsi"/>
              <w:sz w:val="20"/>
              <w:szCs w:val="20"/>
            </w:rPr>
            <w:t xml:space="preserve">Página </w:t>
          </w:r>
          <w:r w:rsidRPr="00FE529E">
            <w:rPr>
              <w:rFonts w:asciiTheme="majorHAnsi" w:hAnsiTheme="majorHAnsi"/>
              <w:sz w:val="20"/>
              <w:szCs w:val="20"/>
            </w:rPr>
            <w:fldChar w:fldCharType="begin"/>
          </w:r>
          <w:r w:rsidRPr="00FE529E">
            <w:rPr>
              <w:rFonts w:asciiTheme="majorHAnsi" w:hAnsiTheme="majorHAnsi"/>
              <w:sz w:val="20"/>
              <w:szCs w:val="20"/>
            </w:rPr>
            <w:instrText xml:space="preserve"> PAGE   \* MERGEFORMAT </w:instrText>
          </w:r>
          <w:r w:rsidRPr="00FE529E">
            <w:rPr>
              <w:rFonts w:asciiTheme="majorHAnsi" w:hAnsiTheme="majorHAnsi"/>
              <w:sz w:val="20"/>
              <w:szCs w:val="20"/>
            </w:rPr>
            <w:fldChar w:fldCharType="separate"/>
          </w:r>
          <w:r>
            <w:rPr>
              <w:rFonts w:asciiTheme="majorHAnsi" w:hAnsiTheme="majorHAnsi"/>
              <w:noProof/>
              <w:sz w:val="20"/>
              <w:szCs w:val="20"/>
            </w:rPr>
            <w:t>4</w:t>
          </w:r>
          <w:r w:rsidRPr="00FE529E">
            <w:rPr>
              <w:rFonts w:asciiTheme="majorHAnsi" w:hAnsiTheme="majorHAnsi"/>
              <w:sz w:val="20"/>
              <w:szCs w:val="20"/>
            </w:rPr>
            <w:fldChar w:fldCharType="end"/>
          </w:r>
        </w:p>
      </w:tc>
      <w:tc>
        <w:tcPr>
          <w:tcW w:w="1602" w:type="pct"/>
          <w:vAlign w:val="center"/>
        </w:tcPr>
        <w:p w14:paraId="5D543FD4" w14:textId="77777777" w:rsidR="00A70C70" w:rsidRDefault="00A70C70" w:rsidP="008A76B4">
          <w:pPr>
            <w:pStyle w:val="Rodap"/>
            <w:spacing w:after="120"/>
            <w:jc w:val="center"/>
            <w:rPr>
              <w:rFonts w:asciiTheme="majorHAnsi" w:hAnsiTheme="majorHAnsi"/>
              <w:sz w:val="20"/>
              <w:szCs w:val="20"/>
            </w:rPr>
          </w:pPr>
          <w:r>
            <w:rPr>
              <w:rFonts w:asciiTheme="majorHAnsi" w:hAnsiTheme="majorHAnsi"/>
              <w:sz w:val="20"/>
              <w:szCs w:val="20"/>
            </w:rPr>
            <w:t>Março de 2015</w:t>
          </w:r>
        </w:p>
        <w:p w14:paraId="0421908B" w14:textId="77777777" w:rsidR="00A70C70" w:rsidRPr="00FE529E" w:rsidRDefault="00A70C70" w:rsidP="008A76B4">
          <w:pPr>
            <w:pStyle w:val="Rodap"/>
            <w:spacing w:after="120" w:line="360" w:lineRule="auto"/>
            <w:jc w:val="center"/>
            <w:rPr>
              <w:rFonts w:asciiTheme="majorHAnsi" w:hAnsiTheme="majorHAnsi"/>
            </w:rPr>
          </w:pPr>
          <w:r w:rsidRPr="00FE529E">
            <w:rPr>
              <w:rFonts w:asciiTheme="majorHAnsi" w:hAnsiTheme="majorHAnsi"/>
              <w:sz w:val="20"/>
              <w:szCs w:val="20"/>
            </w:rPr>
            <w:t>Rev.00</w:t>
          </w:r>
        </w:p>
      </w:tc>
      <w:tc>
        <w:tcPr>
          <w:tcW w:w="1795" w:type="pct"/>
          <w:vAlign w:val="center"/>
        </w:tcPr>
        <w:p w14:paraId="16B2E6E3" w14:textId="77777777" w:rsidR="00A70C70" w:rsidRPr="00FE529E" w:rsidRDefault="00A70C70" w:rsidP="008A76B4">
          <w:pPr>
            <w:pStyle w:val="Rodap"/>
            <w:spacing w:after="120" w:line="360" w:lineRule="auto"/>
            <w:jc w:val="right"/>
            <w:rPr>
              <w:rFonts w:asciiTheme="majorHAnsi" w:hAnsiTheme="majorHAnsi"/>
            </w:rPr>
          </w:pPr>
          <w:r>
            <w:rPr>
              <w:noProof/>
              <w:sz w:val="16"/>
              <w:szCs w:val="16"/>
              <w:lang w:val="en-US"/>
            </w:rPr>
            <w:drawing>
              <wp:inline distT="0" distB="0" distL="0" distR="0" wp14:anchorId="476C827D" wp14:editId="28D6CE80">
                <wp:extent cx="380852" cy="548640"/>
                <wp:effectExtent l="0" t="0" r="635" b="3810"/>
                <wp:docPr id="1073742126" name="Imagem 107374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r>
  </w:tbl>
  <w:p w14:paraId="6A36449E" w14:textId="77777777" w:rsidR="00A70C70" w:rsidRDefault="00A70C70">
    <w:pPr>
      <w:pStyle w:val="Rodap"/>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auto"/>
      </w:tblBorders>
      <w:tblLook w:val="01E0" w:firstRow="1" w:lastRow="1" w:firstColumn="1" w:lastColumn="1" w:noHBand="0" w:noVBand="0"/>
    </w:tblPr>
    <w:tblGrid>
      <w:gridCol w:w="4120"/>
      <w:gridCol w:w="5770"/>
      <w:gridCol w:w="4114"/>
    </w:tblGrid>
    <w:tr w:rsidR="00A70C70" w:rsidRPr="00C3335E" w14:paraId="1DF12789" w14:textId="77777777" w:rsidTr="00E13E52">
      <w:trPr>
        <w:trHeight w:val="469"/>
      </w:trPr>
      <w:tc>
        <w:tcPr>
          <w:tcW w:w="1471" w:type="pct"/>
          <w:tcBorders>
            <w:top w:val="single" w:sz="18" w:space="0" w:color="009E49"/>
          </w:tcBorders>
          <w:vAlign w:val="center"/>
        </w:tcPr>
        <w:p w14:paraId="17E33A6A" w14:textId="6DC01AD0" w:rsidR="00A70C70" w:rsidRPr="00C3335E" w:rsidRDefault="00A70C70" w:rsidP="00C3335E">
          <w:pPr>
            <w:pStyle w:val="Rodap"/>
            <w:spacing w:before="0"/>
            <w:jc w:val="left"/>
            <w:rPr>
              <w:rFonts w:asciiTheme="majorHAnsi" w:hAnsiTheme="majorHAnsi"/>
              <w:sz w:val="20"/>
              <w:szCs w:val="20"/>
            </w:rPr>
          </w:pPr>
          <w:r>
            <w:rPr>
              <w:rStyle w:val="CabRodChar"/>
              <w:rFonts w:asciiTheme="majorHAnsi" w:hAnsiTheme="majorHAnsi"/>
              <w:szCs w:val="20"/>
            </w:rPr>
            <w:t>Rev.02</w:t>
          </w:r>
        </w:p>
      </w:tc>
      <w:tc>
        <w:tcPr>
          <w:tcW w:w="2060" w:type="pct"/>
          <w:tcBorders>
            <w:top w:val="single" w:sz="18" w:space="0" w:color="009E49"/>
          </w:tcBorders>
          <w:vAlign w:val="center"/>
        </w:tcPr>
        <w:p w14:paraId="0344C4E9" w14:textId="66BE48F2" w:rsidR="00A70C70" w:rsidRPr="00C3335E" w:rsidRDefault="00A70C70" w:rsidP="00BA32BA">
          <w:pPr>
            <w:pStyle w:val="Rodap"/>
            <w:spacing w:before="0"/>
            <w:jc w:val="center"/>
            <w:rPr>
              <w:rFonts w:asciiTheme="majorHAnsi" w:hAnsiTheme="majorHAnsi"/>
              <w:sz w:val="20"/>
              <w:szCs w:val="20"/>
            </w:rPr>
          </w:pPr>
          <w:r>
            <w:rPr>
              <w:rFonts w:asciiTheme="majorHAnsi" w:hAnsiTheme="majorHAnsi"/>
              <w:sz w:val="20"/>
              <w:szCs w:val="20"/>
            </w:rPr>
            <w:t>Outubro</w:t>
          </w:r>
          <w:r w:rsidRPr="00C3335E">
            <w:rPr>
              <w:rFonts w:asciiTheme="majorHAnsi" w:hAnsiTheme="majorHAnsi"/>
              <w:sz w:val="20"/>
              <w:szCs w:val="20"/>
            </w:rPr>
            <w:t>/201</w:t>
          </w:r>
          <w:r>
            <w:rPr>
              <w:rFonts w:asciiTheme="majorHAnsi" w:hAnsiTheme="majorHAnsi"/>
              <w:sz w:val="20"/>
              <w:szCs w:val="20"/>
            </w:rPr>
            <w:t>8</w:t>
          </w:r>
        </w:p>
      </w:tc>
      <w:tc>
        <w:tcPr>
          <w:tcW w:w="1469" w:type="pct"/>
          <w:tcBorders>
            <w:top w:val="single" w:sz="18" w:space="0" w:color="009E49"/>
          </w:tcBorders>
          <w:vAlign w:val="center"/>
        </w:tcPr>
        <w:p w14:paraId="0042CE4E" w14:textId="77777777" w:rsidR="00A70C70" w:rsidRPr="00C3335E" w:rsidRDefault="00A70C70" w:rsidP="00C3335E">
          <w:pPr>
            <w:pStyle w:val="CabRod"/>
            <w:spacing w:line="240" w:lineRule="auto"/>
            <w:jc w:val="right"/>
            <w:rPr>
              <w:rFonts w:asciiTheme="majorHAnsi" w:hAnsiTheme="majorHAnsi"/>
              <w:szCs w:val="20"/>
            </w:rPr>
          </w:pPr>
          <w:r w:rsidRPr="00C3335E">
            <w:rPr>
              <w:rFonts w:asciiTheme="majorHAnsi" w:hAnsiTheme="majorHAnsi"/>
              <w:szCs w:val="20"/>
            </w:rPr>
            <w:fldChar w:fldCharType="begin"/>
          </w:r>
          <w:r w:rsidRPr="00C3335E">
            <w:rPr>
              <w:rFonts w:asciiTheme="majorHAnsi" w:hAnsiTheme="majorHAnsi"/>
              <w:szCs w:val="20"/>
            </w:rPr>
            <w:instrText>PAGE   \* MERGEFORMAT</w:instrText>
          </w:r>
          <w:r w:rsidRPr="00C3335E">
            <w:rPr>
              <w:rFonts w:asciiTheme="majorHAnsi" w:hAnsiTheme="majorHAnsi"/>
              <w:szCs w:val="20"/>
            </w:rPr>
            <w:fldChar w:fldCharType="separate"/>
          </w:r>
          <w:r>
            <w:rPr>
              <w:rFonts w:asciiTheme="majorHAnsi" w:hAnsiTheme="majorHAnsi"/>
              <w:noProof/>
              <w:szCs w:val="20"/>
            </w:rPr>
            <w:t>9</w:t>
          </w:r>
          <w:r w:rsidRPr="00C3335E">
            <w:rPr>
              <w:rFonts w:asciiTheme="majorHAnsi" w:hAnsiTheme="majorHAnsi"/>
              <w:szCs w:val="20"/>
            </w:rPr>
            <w:fldChar w:fldCharType="end"/>
          </w:r>
        </w:p>
      </w:tc>
    </w:tr>
  </w:tbl>
  <w:p w14:paraId="478668CA" w14:textId="77777777" w:rsidR="00A70C70" w:rsidRDefault="00A70C70" w:rsidP="008A76B4">
    <w:pPr>
      <w:pStyle w:val="Rodap"/>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Borders>
        <w:top w:val="single" w:sz="4" w:space="0" w:color="auto"/>
      </w:tblBorders>
      <w:tblLook w:val="01E0" w:firstRow="1" w:lastRow="1" w:firstColumn="1" w:lastColumn="1" w:noHBand="0" w:noVBand="0"/>
    </w:tblPr>
    <w:tblGrid>
      <w:gridCol w:w="2446"/>
      <w:gridCol w:w="3425"/>
      <w:gridCol w:w="3200"/>
    </w:tblGrid>
    <w:tr w:rsidR="00A70C70" w:rsidRPr="00C3335E" w14:paraId="7D070CC6" w14:textId="77777777" w:rsidTr="00E13E52">
      <w:trPr>
        <w:trHeight w:val="469"/>
        <w:jc w:val="center"/>
      </w:trPr>
      <w:tc>
        <w:tcPr>
          <w:tcW w:w="1348" w:type="pct"/>
          <w:tcBorders>
            <w:top w:val="single" w:sz="18" w:space="0" w:color="009E49"/>
          </w:tcBorders>
          <w:vAlign w:val="center"/>
        </w:tcPr>
        <w:p w14:paraId="6881E747" w14:textId="544C2E94" w:rsidR="00A70C70" w:rsidRPr="00C3335E" w:rsidRDefault="00A70C70" w:rsidP="00D86BA1">
          <w:pPr>
            <w:pStyle w:val="Rodap"/>
            <w:spacing w:before="0"/>
            <w:jc w:val="left"/>
            <w:rPr>
              <w:rFonts w:asciiTheme="majorHAnsi" w:hAnsiTheme="majorHAnsi"/>
              <w:sz w:val="20"/>
              <w:szCs w:val="20"/>
            </w:rPr>
          </w:pPr>
          <w:r w:rsidRPr="00C3335E">
            <w:rPr>
              <w:rStyle w:val="CabRodChar"/>
              <w:rFonts w:asciiTheme="majorHAnsi" w:hAnsiTheme="majorHAnsi"/>
              <w:szCs w:val="20"/>
            </w:rPr>
            <w:t>Rev.0</w:t>
          </w:r>
          <w:r>
            <w:rPr>
              <w:rStyle w:val="CabRodChar"/>
              <w:rFonts w:asciiTheme="majorHAnsi" w:hAnsiTheme="majorHAnsi"/>
              <w:szCs w:val="20"/>
            </w:rPr>
            <w:t>2</w:t>
          </w:r>
        </w:p>
      </w:tc>
      <w:tc>
        <w:tcPr>
          <w:tcW w:w="1888" w:type="pct"/>
          <w:tcBorders>
            <w:top w:val="single" w:sz="18" w:space="0" w:color="009E49"/>
          </w:tcBorders>
          <w:vAlign w:val="center"/>
        </w:tcPr>
        <w:p w14:paraId="5A928FE5" w14:textId="3867F7C2" w:rsidR="00A70C70" w:rsidRPr="00C3335E" w:rsidRDefault="00A70C70" w:rsidP="00D86BA1">
          <w:pPr>
            <w:pStyle w:val="Rodap"/>
            <w:spacing w:before="0"/>
            <w:jc w:val="center"/>
            <w:rPr>
              <w:rFonts w:asciiTheme="majorHAnsi" w:hAnsiTheme="majorHAnsi"/>
              <w:sz w:val="20"/>
              <w:szCs w:val="20"/>
            </w:rPr>
          </w:pPr>
          <w:r>
            <w:rPr>
              <w:rFonts w:asciiTheme="majorHAnsi" w:hAnsiTheme="majorHAnsi"/>
              <w:sz w:val="20"/>
              <w:szCs w:val="20"/>
            </w:rPr>
            <w:t>Outubro</w:t>
          </w:r>
          <w:r w:rsidRPr="00C3335E">
            <w:rPr>
              <w:rFonts w:asciiTheme="majorHAnsi" w:hAnsiTheme="majorHAnsi"/>
              <w:sz w:val="20"/>
              <w:szCs w:val="20"/>
            </w:rPr>
            <w:t>/201</w:t>
          </w:r>
          <w:r>
            <w:rPr>
              <w:rFonts w:asciiTheme="majorHAnsi" w:hAnsiTheme="majorHAnsi"/>
              <w:sz w:val="20"/>
              <w:szCs w:val="20"/>
            </w:rPr>
            <w:t>8</w:t>
          </w:r>
        </w:p>
      </w:tc>
      <w:tc>
        <w:tcPr>
          <w:tcW w:w="1764" w:type="pct"/>
          <w:tcBorders>
            <w:top w:val="single" w:sz="18" w:space="0" w:color="009E49"/>
          </w:tcBorders>
          <w:vAlign w:val="center"/>
        </w:tcPr>
        <w:p w14:paraId="43A71CC2" w14:textId="77777777" w:rsidR="00A70C70" w:rsidRPr="00C3335E" w:rsidRDefault="00A70C70" w:rsidP="00C3335E">
          <w:pPr>
            <w:pStyle w:val="CabRod"/>
            <w:spacing w:line="240" w:lineRule="auto"/>
            <w:jc w:val="right"/>
            <w:rPr>
              <w:rFonts w:asciiTheme="majorHAnsi" w:hAnsiTheme="majorHAnsi"/>
              <w:szCs w:val="20"/>
            </w:rPr>
          </w:pPr>
          <w:r w:rsidRPr="00C3335E">
            <w:rPr>
              <w:rFonts w:asciiTheme="majorHAnsi" w:hAnsiTheme="majorHAnsi"/>
              <w:szCs w:val="20"/>
            </w:rPr>
            <w:fldChar w:fldCharType="begin"/>
          </w:r>
          <w:r w:rsidRPr="00C3335E">
            <w:rPr>
              <w:rFonts w:asciiTheme="majorHAnsi" w:hAnsiTheme="majorHAnsi"/>
              <w:szCs w:val="20"/>
            </w:rPr>
            <w:instrText>PAGE   \* MERGEFORMAT</w:instrText>
          </w:r>
          <w:r w:rsidRPr="00C3335E">
            <w:rPr>
              <w:rFonts w:asciiTheme="majorHAnsi" w:hAnsiTheme="majorHAnsi"/>
              <w:szCs w:val="20"/>
            </w:rPr>
            <w:fldChar w:fldCharType="separate"/>
          </w:r>
          <w:r>
            <w:rPr>
              <w:rFonts w:asciiTheme="majorHAnsi" w:hAnsiTheme="majorHAnsi"/>
              <w:noProof/>
              <w:szCs w:val="20"/>
            </w:rPr>
            <w:t>41</w:t>
          </w:r>
          <w:r w:rsidRPr="00C3335E">
            <w:rPr>
              <w:rFonts w:asciiTheme="majorHAnsi" w:hAnsiTheme="majorHAnsi"/>
              <w:szCs w:val="20"/>
            </w:rPr>
            <w:fldChar w:fldCharType="end"/>
          </w:r>
        </w:p>
      </w:tc>
    </w:tr>
  </w:tbl>
  <w:p w14:paraId="12820104" w14:textId="77777777" w:rsidR="00A70C70" w:rsidRDefault="00A70C70" w:rsidP="008A76B4">
    <w:pPr>
      <w:pStyle w:val="Rodap"/>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Borders>
        <w:top w:val="single" w:sz="4" w:space="0" w:color="auto"/>
      </w:tblBorders>
      <w:tblLook w:val="01E0" w:firstRow="1" w:lastRow="1" w:firstColumn="1" w:lastColumn="1" w:noHBand="0" w:noVBand="0"/>
    </w:tblPr>
    <w:tblGrid>
      <w:gridCol w:w="2732"/>
      <w:gridCol w:w="3826"/>
      <w:gridCol w:w="2729"/>
    </w:tblGrid>
    <w:tr w:rsidR="00A70C70" w:rsidRPr="00E13E52" w14:paraId="1F389320" w14:textId="77777777" w:rsidTr="00E13E52">
      <w:trPr>
        <w:trHeight w:val="469"/>
        <w:jc w:val="center"/>
      </w:trPr>
      <w:tc>
        <w:tcPr>
          <w:tcW w:w="1471" w:type="pct"/>
          <w:tcBorders>
            <w:top w:val="single" w:sz="18" w:space="0" w:color="009E49"/>
          </w:tcBorders>
          <w:vAlign w:val="center"/>
        </w:tcPr>
        <w:p w14:paraId="22D59C1E" w14:textId="77777777" w:rsidR="00A70C70" w:rsidRPr="00E13E52" w:rsidRDefault="00A70C70" w:rsidP="004D65B3">
          <w:pPr>
            <w:pStyle w:val="Rodap"/>
            <w:jc w:val="left"/>
            <w:rPr>
              <w:rFonts w:asciiTheme="majorHAnsi" w:hAnsiTheme="majorHAnsi"/>
              <w:sz w:val="20"/>
              <w:szCs w:val="20"/>
            </w:rPr>
          </w:pPr>
          <w:r w:rsidRPr="00E13E52">
            <w:rPr>
              <w:rStyle w:val="CabRodChar"/>
              <w:rFonts w:asciiTheme="majorHAnsi" w:hAnsiTheme="majorHAnsi"/>
            </w:rPr>
            <w:t>Rev.00</w:t>
          </w:r>
        </w:p>
      </w:tc>
      <w:tc>
        <w:tcPr>
          <w:tcW w:w="2060" w:type="pct"/>
          <w:tcBorders>
            <w:top w:val="single" w:sz="18" w:space="0" w:color="009E49"/>
          </w:tcBorders>
          <w:vAlign w:val="center"/>
        </w:tcPr>
        <w:p w14:paraId="77D2DF32" w14:textId="77777777" w:rsidR="00A70C70" w:rsidRPr="00E13E52" w:rsidRDefault="00A70C70" w:rsidP="004D65B3">
          <w:pPr>
            <w:pStyle w:val="Rodap"/>
            <w:jc w:val="center"/>
            <w:rPr>
              <w:rFonts w:asciiTheme="majorHAnsi" w:hAnsiTheme="majorHAnsi"/>
              <w:sz w:val="20"/>
              <w:szCs w:val="20"/>
            </w:rPr>
          </w:pPr>
          <w:r w:rsidRPr="00E13E52">
            <w:rPr>
              <w:rFonts w:asciiTheme="majorHAnsi" w:hAnsiTheme="majorHAnsi"/>
              <w:sz w:val="20"/>
              <w:szCs w:val="20"/>
            </w:rPr>
            <w:t>Março/2015</w:t>
          </w:r>
        </w:p>
      </w:tc>
      <w:tc>
        <w:tcPr>
          <w:tcW w:w="1469" w:type="pct"/>
          <w:tcBorders>
            <w:top w:val="single" w:sz="18" w:space="0" w:color="009E49"/>
          </w:tcBorders>
          <w:vAlign w:val="center"/>
        </w:tcPr>
        <w:p w14:paraId="6FC9791F" w14:textId="77777777" w:rsidR="00A70C70" w:rsidRPr="00E13E52" w:rsidRDefault="00A70C70" w:rsidP="004D65B3">
          <w:pPr>
            <w:pStyle w:val="CabRod"/>
            <w:jc w:val="right"/>
            <w:rPr>
              <w:rFonts w:asciiTheme="majorHAnsi" w:hAnsiTheme="majorHAnsi"/>
            </w:rPr>
          </w:pPr>
          <w:r w:rsidRPr="00E13E52">
            <w:rPr>
              <w:rFonts w:asciiTheme="majorHAnsi" w:hAnsiTheme="majorHAnsi"/>
            </w:rPr>
            <w:fldChar w:fldCharType="begin"/>
          </w:r>
          <w:r w:rsidRPr="00E13E52">
            <w:rPr>
              <w:rFonts w:asciiTheme="majorHAnsi" w:hAnsiTheme="majorHAnsi"/>
            </w:rPr>
            <w:instrText>PAGE   \* MERGEFORMAT</w:instrText>
          </w:r>
          <w:r w:rsidRPr="00E13E52">
            <w:rPr>
              <w:rFonts w:asciiTheme="majorHAnsi" w:hAnsiTheme="majorHAnsi"/>
            </w:rPr>
            <w:fldChar w:fldCharType="separate"/>
          </w:r>
          <w:r>
            <w:rPr>
              <w:rFonts w:asciiTheme="majorHAnsi" w:hAnsiTheme="majorHAnsi"/>
              <w:noProof/>
            </w:rPr>
            <w:t>10</w:t>
          </w:r>
          <w:r w:rsidRPr="00E13E52">
            <w:rPr>
              <w:rFonts w:asciiTheme="majorHAnsi" w:hAnsiTheme="majorHAnsi"/>
            </w:rPr>
            <w:fldChar w:fldCharType="end"/>
          </w:r>
        </w:p>
      </w:tc>
    </w:tr>
  </w:tbl>
  <w:p w14:paraId="5870E5A6" w14:textId="77777777" w:rsidR="00A70C70" w:rsidRDefault="00A70C70">
    <w:pPr>
      <w:pStyle w:val="Rodap"/>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comgrade"/>
      <w:tblW w:w="5000" w:type="pct"/>
      <w:tblBorders>
        <w:top w:val="single" w:sz="18" w:space="0" w:color="009E49"/>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8"/>
      <w:gridCol w:w="4556"/>
      <w:gridCol w:w="5105"/>
    </w:tblGrid>
    <w:tr w:rsidR="00A70C70" w14:paraId="23C79C12" w14:textId="77777777" w:rsidTr="00953C7D">
      <w:tc>
        <w:tcPr>
          <w:tcW w:w="1603" w:type="pct"/>
          <w:vAlign w:val="center"/>
        </w:tcPr>
        <w:p w14:paraId="1055CADD" w14:textId="77777777" w:rsidR="00A70C70" w:rsidRPr="00FE529E" w:rsidRDefault="00A70C70" w:rsidP="00953C7D">
          <w:pPr>
            <w:pStyle w:val="Rodap"/>
            <w:spacing w:after="120" w:line="360" w:lineRule="auto"/>
            <w:rPr>
              <w:rFonts w:asciiTheme="majorHAnsi" w:hAnsiTheme="majorHAnsi"/>
            </w:rPr>
          </w:pPr>
          <w:r w:rsidRPr="00FE529E">
            <w:rPr>
              <w:rFonts w:asciiTheme="majorHAnsi" w:hAnsiTheme="majorHAnsi"/>
              <w:sz w:val="20"/>
              <w:szCs w:val="20"/>
            </w:rPr>
            <w:t xml:space="preserve">Página </w:t>
          </w:r>
          <w:r w:rsidRPr="00FE529E">
            <w:rPr>
              <w:rFonts w:asciiTheme="majorHAnsi" w:hAnsiTheme="majorHAnsi"/>
              <w:sz w:val="20"/>
              <w:szCs w:val="20"/>
            </w:rPr>
            <w:fldChar w:fldCharType="begin"/>
          </w:r>
          <w:r w:rsidRPr="00FE529E">
            <w:rPr>
              <w:rFonts w:asciiTheme="majorHAnsi" w:hAnsiTheme="majorHAnsi"/>
              <w:sz w:val="20"/>
              <w:szCs w:val="20"/>
            </w:rPr>
            <w:instrText xml:space="preserve"> PAGE   \* MERGEFORMAT </w:instrText>
          </w:r>
          <w:r w:rsidRPr="00FE529E">
            <w:rPr>
              <w:rFonts w:asciiTheme="majorHAnsi" w:hAnsiTheme="majorHAnsi"/>
              <w:sz w:val="20"/>
              <w:szCs w:val="20"/>
            </w:rPr>
            <w:fldChar w:fldCharType="separate"/>
          </w:r>
          <w:r>
            <w:rPr>
              <w:rFonts w:asciiTheme="majorHAnsi" w:hAnsiTheme="majorHAnsi"/>
              <w:noProof/>
              <w:sz w:val="20"/>
              <w:szCs w:val="20"/>
            </w:rPr>
            <w:t>22</w:t>
          </w:r>
          <w:r w:rsidRPr="00FE529E">
            <w:rPr>
              <w:rFonts w:asciiTheme="majorHAnsi" w:hAnsiTheme="majorHAnsi"/>
              <w:sz w:val="20"/>
              <w:szCs w:val="20"/>
            </w:rPr>
            <w:fldChar w:fldCharType="end"/>
          </w:r>
        </w:p>
      </w:tc>
      <w:tc>
        <w:tcPr>
          <w:tcW w:w="1602" w:type="pct"/>
          <w:vAlign w:val="center"/>
        </w:tcPr>
        <w:p w14:paraId="46542FF1" w14:textId="77777777" w:rsidR="00A70C70" w:rsidRDefault="00A70C70" w:rsidP="00953C7D">
          <w:pPr>
            <w:pStyle w:val="Rodap"/>
            <w:spacing w:after="120"/>
            <w:jc w:val="center"/>
            <w:rPr>
              <w:rFonts w:asciiTheme="majorHAnsi" w:hAnsiTheme="majorHAnsi"/>
              <w:sz w:val="20"/>
              <w:szCs w:val="20"/>
            </w:rPr>
          </w:pPr>
          <w:r>
            <w:rPr>
              <w:rFonts w:asciiTheme="majorHAnsi" w:hAnsiTheme="majorHAnsi"/>
              <w:sz w:val="20"/>
              <w:szCs w:val="20"/>
            </w:rPr>
            <w:t>Março de 2015</w:t>
          </w:r>
        </w:p>
        <w:p w14:paraId="26BFF81C" w14:textId="77777777" w:rsidR="00A70C70" w:rsidRPr="00FE529E" w:rsidRDefault="00A70C70" w:rsidP="00953C7D">
          <w:pPr>
            <w:pStyle w:val="Rodap"/>
            <w:spacing w:after="120" w:line="360" w:lineRule="auto"/>
            <w:jc w:val="center"/>
            <w:rPr>
              <w:rFonts w:asciiTheme="majorHAnsi" w:hAnsiTheme="majorHAnsi"/>
            </w:rPr>
          </w:pPr>
          <w:r w:rsidRPr="00FE529E">
            <w:rPr>
              <w:rFonts w:asciiTheme="majorHAnsi" w:hAnsiTheme="majorHAnsi"/>
              <w:sz w:val="20"/>
              <w:szCs w:val="20"/>
            </w:rPr>
            <w:t>Rev.00</w:t>
          </w:r>
        </w:p>
      </w:tc>
      <w:tc>
        <w:tcPr>
          <w:tcW w:w="1795" w:type="pct"/>
          <w:vAlign w:val="center"/>
        </w:tcPr>
        <w:p w14:paraId="2D9E0F8F" w14:textId="77777777" w:rsidR="00A70C70" w:rsidRPr="00FE529E" w:rsidRDefault="00A70C70" w:rsidP="00953C7D">
          <w:pPr>
            <w:pStyle w:val="Rodap"/>
            <w:spacing w:after="120" w:line="360" w:lineRule="auto"/>
            <w:jc w:val="right"/>
            <w:rPr>
              <w:rFonts w:asciiTheme="majorHAnsi" w:hAnsiTheme="majorHAnsi"/>
            </w:rPr>
          </w:pPr>
          <w:r>
            <w:rPr>
              <w:noProof/>
              <w:sz w:val="16"/>
              <w:szCs w:val="16"/>
              <w:lang w:val="en-US"/>
            </w:rPr>
            <w:drawing>
              <wp:inline distT="0" distB="0" distL="0" distR="0" wp14:anchorId="329A3DBF" wp14:editId="623F9111">
                <wp:extent cx="380852" cy="548640"/>
                <wp:effectExtent l="0" t="0" r="635" b="3810"/>
                <wp:docPr id="1073742134" name="Imagem 107374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r>
  </w:tbl>
  <w:p w14:paraId="3BBB1E14" w14:textId="77777777" w:rsidR="00A70C70" w:rsidRDefault="00A70C70">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DAC4DC" w14:textId="77777777" w:rsidR="00A70C70" w:rsidRDefault="00A70C70" w:rsidP="003E0E5D">
      <w:pPr>
        <w:spacing w:before="0" w:line="240" w:lineRule="auto"/>
      </w:pPr>
      <w:r>
        <w:separator/>
      </w:r>
    </w:p>
    <w:p w14:paraId="15BF13B3" w14:textId="77777777" w:rsidR="00A70C70" w:rsidRDefault="00A70C70" w:rsidP="003E0E5D">
      <w:pPr>
        <w:spacing w:before="0" w:line="240" w:lineRule="auto"/>
      </w:pPr>
    </w:p>
    <w:p w14:paraId="5E638375" w14:textId="77777777" w:rsidR="00A70C70" w:rsidRDefault="00A70C70" w:rsidP="004365B6"/>
  </w:footnote>
  <w:footnote w:type="continuationSeparator" w:id="0">
    <w:p w14:paraId="4893F620" w14:textId="77777777" w:rsidR="00A70C70" w:rsidRPr="003E0E5D" w:rsidRDefault="00A70C70" w:rsidP="003E0E5D">
      <w:pPr>
        <w:pStyle w:val="Rodap"/>
      </w:pPr>
    </w:p>
  </w:footnote>
  <w:footnote w:type="continuationNotice" w:id="1">
    <w:p w14:paraId="4F461B21" w14:textId="77777777" w:rsidR="00A70C70" w:rsidRDefault="00A70C70">
      <w:pPr>
        <w:spacing w:before="0" w:line="240" w:lineRule="auto"/>
      </w:pPr>
    </w:p>
  </w:footnote>
  <w:footnote w:id="2">
    <w:p w14:paraId="0B4A44CE" w14:textId="3656423D" w:rsidR="00A70C70" w:rsidRPr="007344BA" w:rsidRDefault="00A70C70" w:rsidP="007344BA">
      <w:pPr>
        <w:pStyle w:val="Textodenotaderodap"/>
        <w:jc w:val="left"/>
        <w:rPr>
          <w:rFonts w:asciiTheme="majorHAnsi" w:hAnsiTheme="majorHAnsi"/>
          <w:sz w:val="18"/>
          <w:szCs w:val="18"/>
        </w:rPr>
      </w:pPr>
      <w:r w:rsidRPr="007344BA">
        <w:rPr>
          <w:rFonts w:asciiTheme="majorHAnsi" w:hAnsiTheme="majorHAnsi"/>
          <w:sz w:val="18"/>
          <w:szCs w:val="18"/>
          <w:vertAlign w:val="superscript"/>
        </w:rPr>
        <w:footnoteRef/>
      </w:r>
      <w:r w:rsidRPr="007344BA">
        <w:rPr>
          <w:rFonts w:asciiTheme="majorHAnsi" w:hAnsiTheme="majorHAnsi"/>
          <w:sz w:val="18"/>
          <w:szCs w:val="18"/>
        </w:rPr>
        <w:t xml:space="preserve"> “Representante legal da empresa operadora” </w:t>
      </w:r>
      <w:r>
        <w:rPr>
          <w:rFonts w:asciiTheme="majorHAnsi" w:hAnsiTheme="majorHAnsi"/>
          <w:sz w:val="18"/>
          <w:szCs w:val="18"/>
        </w:rPr>
        <w:t xml:space="preserve">é, neste caso, </w:t>
      </w:r>
      <w:r w:rsidRPr="007344BA">
        <w:rPr>
          <w:rFonts w:asciiTheme="majorHAnsi" w:hAnsiTheme="majorHAnsi"/>
          <w:sz w:val="18"/>
          <w:szCs w:val="18"/>
        </w:rPr>
        <w:t>equivale</w:t>
      </w:r>
      <w:r>
        <w:rPr>
          <w:rFonts w:asciiTheme="majorHAnsi" w:hAnsiTheme="majorHAnsi"/>
          <w:sz w:val="18"/>
          <w:szCs w:val="18"/>
        </w:rPr>
        <w:t>nte</w:t>
      </w:r>
      <w:r w:rsidRPr="007344BA">
        <w:rPr>
          <w:rFonts w:asciiTheme="majorHAnsi" w:hAnsiTheme="majorHAnsi"/>
          <w:sz w:val="18"/>
          <w:szCs w:val="18"/>
        </w:rPr>
        <w:t xml:space="preserve"> ao “Representante Legal da Instalação” da Resolução CONAMA n° 398/08.</w:t>
      </w:r>
    </w:p>
  </w:footnote>
  <w:footnote w:id="3">
    <w:p w14:paraId="3B3E3EE5" w14:textId="77777777" w:rsidR="00A70C70" w:rsidRPr="007344BA" w:rsidRDefault="00A70C70" w:rsidP="00CD1FE6">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cstheme="majorHAnsi"/>
          <w:sz w:val="18"/>
          <w:szCs w:val="18"/>
        </w:rPr>
        <w:t xml:space="preserve"> Com relação ao município de Oiapoque</w:t>
      </w:r>
      <w:r w:rsidRPr="007344BA">
        <w:rPr>
          <w:rFonts w:asciiTheme="majorHAnsi" w:hAnsiTheme="majorHAnsi"/>
          <w:sz w:val="18"/>
          <w:szCs w:val="18"/>
        </w:rPr>
        <w:t>.</w:t>
      </w:r>
    </w:p>
  </w:footnote>
  <w:footnote w:id="4">
    <w:p w14:paraId="4E7460A1" w14:textId="53144221" w:rsidR="00A70C70" w:rsidRPr="00CE6488" w:rsidRDefault="00A70C70" w:rsidP="00CE6488">
      <w:pPr>
        <w:autoSpaceDE w:val="0"/>
        <w:autoSpaceDN w:val="0"/>
        <w:rPr>
          <w:rFonts w:asciiTheme="majorHAnsi" w:hAnsiTheme="majorHAnsi" w:cstheme="majorHAnsi"/>
          <w:sz w:val="18"/>
          <w:szCs w:val="18"/>
        </w:rPr>
      </w:pPr>
      <w:r>
        <w:rPr>
          <w:rStyle w:val="Refdenotaderodap"/>
        </w:rPr>
        <w:footnoteRef/>
      </w:r>
      <w:r>
        <w:t xml:space="preserve"> </w:t>
      </w:r>
      <w:r w:rsidRPr="00CE6488">
        <w:rPr>
          <w:rFonts w:asciiTheme="majorHAnsi" w:hAnsiTheme="majorHAnsi" w:cstheme="majorHAnsi"/>
          <w:sz w:val="18"/>
          <w:szCs w:val="18"/>
        </w:rPr>
        <w:t xml:space="preserve">A descrição da Unidade de Perfuração do tipo navio-sonda ENSCO DS-9 a ser empregada na Atividade de Perfuração Marítima </w:t>
      </w:r>
      <w:r>
        <w:rPr>
          <w:rFonts w:asciiTheme="majorHAnsi" w:hAnsiTheme="majorHAnsi" w:cstheme="majorHAnsi"/>
          <w:sz w:val="18"/>
          <w:szCs w:val="18"/>
        </w:rPr>
        <w:t xml:space="preserve">no Bloco FZA-M-59 - </w:t>
      </w:r>
      <w:r w:rsidRPr="00CE6488">
        <w:rPr>
          <w:rFonts w:asciiTheme="majorHAnsi" w:hAnsiTheme="majorHAnsi" w:cstheme="majorHAnsi"/>
          <w:sz w:val="18"/>
          <w:szCs w:val="18"/>
        </w:rPr>
        <w:t>Bacia da Foz do Amazonas</w:t>
      </w:r>
      <w:r>
        <w:rPr>
          <w:rFonts w:asciiTheme="majorHAnsi" w:hAnsiTheme="majorHAnsi" w:cstheme="majorHAnsi"/>
          <w:sz w:val="18"/>
          <w:szCs w:val="18"/>
        </w:rPr>
        <w:t>,</w:t>
      </w:r>
      <w:r w:rsidRPr="00CE6488">
        <w:rPr>
          <w:rFonts w:asciiTheme="majorHAnsi" w:hAnsiTheme="majorHAnsi" w:cstheme="majorHAnsi"/>
          <w:sz w:val="18"/>
          <w:szCs w:val="18"/>
        </w:rPr>
        <w:t xml:space="preserve"> foi apresentada no âmbito do processo administrativo  02022.000936/2016-83, referente ao Cadastro de Unidades Marítimas de Perfuração – CADUMP, documento protocolado pela e</w:t>
      </w:r>
      <w:r>
        <w:rPr>
          <w:rFonts w:asciiTheme="majorHAnsi" w:hAnsiTheme="majorHAnsi" w:cstheme="majorHAnsi"/>
          <w:sz w:val="18"/>
          <w:szCs w:val="18"/>
        </w:rPr>
        <w:t>mpresa Total E&amp;P do Brasil Ltda, e será anexada à versão consolidada do PEI, quando da sua aprovação.</w:t>
      </w:r>
    </w:p>
  </w:footnote>
  <w:footnote w:id="5">
    <w:p w14:paraId="5DFFA989" w14:textId="77777777" w:rsidR="00A70C70" w:rsidRPr="007344BA" w:rsidRDefault="00A70C70" w:rsidP="00CD1FE6">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Estes números só serão atribuídos quando a unidade estiver no país</w:t>
      </w:r>
      <w:r w:rsidRPr="007344BA">
        <w:rPr>
          <w:rFonts w:asciiTheme="majorHAnsi" w:hAnsiTheme="majorHAnsi"/>
          <w:sz w:val="18"/>
          <w:szCs w:val="18"/>
        </w:rPr>
        <w:t>.</w:t>
      </w:r>
    </w:p>
  </w:footnote>
  <w:footnote w:id="6">
    <w:p w14:paraId="6E429C7A" w14:textId="77777777" w:rsidR="00A70C70" w:rsidRPr="007344BA" w:rsidRDefault="00A70C70" w:rsidP="00F06117">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ICS 201 – formulário de resumo de informações do incidente que fornece ao IC e às Equipes Geral e de Comando informações básicas sobre o evento, a resposta tática e os recursos alocados na sua resposta. Também serve como o Plano de Ação Inicial do incidente e como um registro de sua fase inicial de resposta.</w:t>
      </w:r>
    </w:p>
  </w:footnote>
  <w:footnote w:id="7">
    <w:p w14:paraId="0C79ED55" w14:textId="1E518688" w:rsidR="00A70C70" w:rsidRPr="007344BA" w:rsidRDefault="00A70C70" w:rsidP="00CD1FE6">
      <w:pPr>
        <w:pStyle w:val="Textodenotaderodap"/>
        <w:rPr>
          <w:rFonts w:asciiTheme="majorHAnsi" w:hAnsiTheme="majorHAnsi" w:cs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Por meio do Relatório Geral do Incidente (ICS 201)</w:t>
      </w:r>
      <w:r w:rsidRPr="007344BA">
        <w:rPr>
          <w:rFonts w:asciiTheme="majorHAnsi" w:hAnsiTheme="majorHAnsi"/>
          <w:sz w:val="18"/>
          <w:szCs w:val="18"/>
        </w:rPr>
        <w:t xml:space="preserve">. </w:t>
      </w:r>
      <w:r w:rsidRPr="007344BA">
        <w:rPr>
          <w:rFonts w:asciiTheme="majorHAnsi" w:hAnsiTheme="majorHAnsi" w:cstheme="majorHAnsi"/>
          <w:sz w:val="18"/>
          <w:szCs w:val="18"/>
        </w:rPr>
        <w:t xml:space="preserve">Na primeira comunicação, deverá ser enfatizada a importância da passagem das informações </w:t>
      </w:r>
      <w:r>
        <w:rPr>
          <w:rFonts w:asciiTheme="majorHAnsi" w:hAnsiTheme="majorHAnsi" w:cstheme="majorHAnsi"/>
          <w:sz w:val="18"/>
          <w:szCs w:val="18"/>
        </w:rPr>
        <w:t>constantes do</w:t>
      </w:r>
      <w:r w:rsidRPr="007344BA">
        <w:rPr>
          <w:rFonts w:asciiTheme="majorHAnsi" w:hAnsiTheme="majorHAnsi" w:cstheme="majorHAnsi"/>
          <w:sz w:val="18"/>
          <w:szCs w:val="18"/>
        </w:rPr>
        <w:t xml:space="preserve"> relatório, </w:t>
      </w:r>
      <w:r>
        <w:rPr>
          <w:rFonts w:asciiTheme="majorHAnsi" w:hAnsiTheme="majorHAnsi" w:cstheme="majorHAnsi"/>
          <w:sz w:val="18"/>
          <w:szCs w:val="18"/>
        </w:rPr>
        <w:t>sobrepondo a elaboração d</w:t>
      </w:r>
      <w:r w:rsidRPr="007344BA">
        <w:rPr>
          <w:rFonts w:asciiTheme="majorHAnsi" w:hAnsiTheme="majorHAnsi" w:cstheme="majorHAnsi"/>
          <w:sz w:val="18"/>
          <w:szCs w:val="18"/>
        </w:rPr>
        <w:t>o próprio, que deverá ser montado e enviado quando possível.</w:t>
      </w:r>
    </w:p>
  </w:footnote>
  <w:footnote w:id="8">
    <w:p w14:paraId="3C9296D8" w14:textId="77777777" w:rsidR="00A70C70" w:rsidRPr="007344BA" w:rsidRDefault="00A70C70" w:rsidP="00CD1FE6">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Conceito de disponibilidade operacional (24 horas, 7 dias por semana).</w:t>
      </w:r>
    </w:p>
  </w:footnote>
  <w:footnote w:id="9">
    <w:p w14:paraId="5FB208A4" w14:textId="77777777" w:rsidR="00A70C70" w:rsidRPr="007344BA" w:rsidRDefault="00A70C70" w:rsidP="00CD1FE6">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A função de Coordenador Operacional será exercida por um membro do GAA, escolhido de acordo com o tipo de acidente, sendo: a Marinha, nos casos de incidentes ocorridos em águas abertas, bem como em águas interiores compreendidas entre a costa e a linha de base reta, a partir da qual se mede o mar territorial; o IBAMA, nos casos de incidentes ocorridos em terra e em águas interiores, excetuando as águas compreendidas entre a costa e a linha de base reta, a partir da qual se mede o mar territorial; e a ANP, nos casos de incidentes de poluição por óleo a partir de estruturas submarinas de perfuração e produção de petróleo.</w:t>
      </w:r>
    </w:p>
  </w:footnote>
  <w:footnote w:id="10">
    <w:p w14:paraId="19BDADF2" w14:textId="77777777" w:rsidR="00A70C70" w:rsidRPr="007344BA" w:rsidRDefault="00A70C70" w:rsidP="00153DF1">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Conforme diretrizes da Instrução Normativa nº 15 de 2014, a comunicação inicial ao IBAMA (C</w:t>
      </w:r>
      <w:r>
        <w:rPr>
          <w:rFonts w:asciiTheme="majorHAnsi" w:hAnsiTheme="majorHAnsi"/>
          <w:sz w:val="18"/>
          <w:szCs w:val="18"/>
        </w:rPr>
        <w:t>OEXP/</w:t>
      </w:r>
      <w:r w:rsidRPr="00A70C70">
        <w:rPr>
          <w:rFonts w:asciiTheme="majorHAnsi" w:hAnsiTheme="majorHAnsi"/>
          <w:sz w:val="18"/>
          <w:szCs w:val="18"/>
          <w:highlight w:val="lightGray"/>
        </w:rPr>
        <w:t>CGMAC</w:t>
      </w:r>
      <w:r w:rsidRPr="007344BA">
        <w:rPr>
          <w:rFonts w:asciiTheme="majorHAnsi" w:hAnsiTheme="majorHAnsi"/>
          <w:sz w:val="18"/>
          <w:szCs w:val="18"/>
        </w:rPr>
        <w:t xml:space="preserve"> e CGEMA) só deverá ser feita através do SIEMA (Sistema Nacional de Emergências Ambientais), salvo em situações em que o sistema encontrar-se inoperante, quando deverão ser utilizados os canais tradicionais de comunicação (fax/e</w:t>
      </w:r>
      <w:r w:rsidRPr="007344BA">
        <w:rPr>
          <w:rFonts w:asciiTheme="majorHAnsi" w:hAnsiTheme="majorHAnsi"/>
          <w:sz w:val="18"/>
          <w:szCs w:val="18"/>
        </w:rPr>
        <w:noBreakHyphen/>
        <w:t>mail).</w:t>
      </w:r>
    </w:p>
  </w:footnote>
  <w:footnote w:id="11">
    <w:p w14:paraId="1CC6E8AB" w14:textId="79EE5518" w:rsidR="00A70C70" w:rsidRPr="007344BA" w:rsidRDefault="00A70C70" w:rsidP="00153DF1">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Conforme diretrizes fornecidas no site da ANP (</w:t>
      </w:r>
      <w:hyperlink r:id="rId1" w:history="1">
        <w:r w:rsidRPr="007344BA">
          <w:rPr>
            <w:rStyle w:val="Hyperlink"/>
            <w:rFonts w:asciiTheme="majorHAnsi" w:hAnsiTheme="majorHAnsi"/>
            <w:sz w:val="18"/>
            <w:szCs w:val="18"/>
          </w:rPr>
          <w:t>www.anp.gov.br</w:t>
        </w:r>
      </w:hyperlink>
      <w:r w:rsidRPr="007344BA">
        <w:rPr>
          <w:rFonts w:asciiTheme="majorHAnsi" w:hAnsiTheme="majorHAnsi"/>
          <w:sz w:val="18"/>
          <w:szCs w:val="18"/>
        </w:rPr>
        <w:t>), a comunicação inicial a ANP deverá ser feita através do SISO (Sistema Integrado de Segurança Operacional), salvo em situações em que o sistema encontrar-se inoperante, quando deverão ser utilizados os canais tradicionais de comunicação (fax/e</w:t>
      </w:r>
      <w:r w:rsidRPr="007344BA">
        <w:rPr>
          <w:rFonts w:asciiTheme="majorHAnsi" w:hAnsiTheme="majorHAnsi"/>
          <w:sz w:val="18"/>
          <w:szCs w:val="18"/>
        </w:rPr>
        <w:noBreakHyphen/>
        <w:t>mail).</w:t>
      </w:r>
      <w:r>
        <w:rPr>
          <w:rFonts w:asciiTheme="majorHAnsi" w:hAnsiTheme="majorHAnsi"/>
          <w:sz w:val="18"/>
          <w:szCs w:val="18"/>
        </w:rPr>
        <w:t xml:space="preserve"> </w:t>
      </w:r>
      <w:r w:rsidRPr="00A70C70">
        <w:rPr>
          <w:rFonts w:asciiTheme="majorHAnsi" w:hAnsiTheme="majorHAnsi"/>
          <w:sz w:val="18"/>
          <w:szCs w:val="18"/>
          <w:highlight w:val="lightGray"/>
        </w:rPr>
        <w:t>Deverão ser considerados também telefones específicos de contatos por assunto, indicados pela agência</w:t>
      </w:r>
      <w:r>
        <w:rPr>
          <w:rFonts w:asciiTheme="majorHAnsi" w:hAnsiTheme="majorHAnsi"/>
          <w:sz w:val="18"/>
          <w:szCs w:val="18"/>
        </w:rPr>
        <w:t>.</w:t>
      </w:r>
    </w:p>
  </w:footnote>
  <w:footnote w:id="12">
    <w:p w14:paraId="15D8B41A" w14:textId="77777777" w:rsidR="00A70C70" w:rsidRPr="007344BA" w:rsidRDefault="00A70C70" w:rsidP="00153DF1">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Se uma comunicação a uma agência governamental for feita fora do </w:t>
      </w:r>
      <w:r w:rsidRPr="007344BA">
        <w:rPr>
          <w:rFonts w:asciiTheme="majorHAnsi" w:hAnsiTheme="majorHAnsi" w:cstheme="majorHAnsi"/>
          <w:sz w:val="18"/>
          <w:szCs w:val="18"/>
        </w:rPr>
        <w:t>período de</w:t>
      </w:r>
      <w:r w:rsidRPr="007344BA">
        <w:rPr>
          <w:rFonts w:asciiTheme="majorHAnsi" w:hAnsiTheme="majorHAnsi"/>
          <w:sz w:val="18"/>
          <w:szCs w:val="18"/>
        </w:rPr>
        <w:t xml:space="preserve"> trabalho e lá não houver sistema de plantão 24 horas, o contato para a confirmação do recebimento deverá ser feito como a primeira ação no período de trabalho seguinte.</w:t>
      </w:r>
    </w:p>
  </w:footnote>
  <w:footnote w:id="13">
    <w:p w14:paraId="109A7DF0" w14:textId="77777777" w:rsidR="00A70C70" w:rsidRPr="007344BA" w:rsidRDefault="00A70C70" w:rsidP="007344BA">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Outros formulários do ICS podem ser obtidos na </w:t>
      </w:r>
      <w:r w:rsidRPr="007344BA">
        <w:rPr>
          <w:rFonts w:asciiTheme="majorHAnsi" w:hAnsiTheme="majorHAnsi"/>
          <w:i/>
          <w:sz w:val="18"/>
          <w:szCs w:val="18"/>
        </w:rPr>
        <w:t>intranet</w:t>
      </w:r>
      <w:r w:rsidRPr="007344BA">
        <w:rPr>
          <w:rFonts w:asciiTheme="majorHAnsi" w:hAnsiTheme="majorHAnsi"/>
          <w:sz w:val="18"/>
          <w:szCs w:val="18"/>
        </w:rPr>
        <w:t xml:space="preserve"> da empresa e no </w:t>
      </w:r>
      <w:r w:rsidRPr="007344BA">
        <w:rPr>
          <w:rFonts w:asciiTheme="majorHAnsi" w:hAnsiTheme="majorHAnsi"/>
          <w:i/>
          <w:sz w:val="18"/>
          <w:szCs w:val="18"/>
        </w:rPr>
        <w:t>Incident Management Plan</w:t>
      </w:r>
      <w:r w:rsidRPr="007344BA">
        <w:rPr>
          <w:rFonts w:asciiTheme="majorHAnsi" w:hAnsiTheme="majorHAnsi"/>
          <w:sz w:val="18"/>
          <w:szCs w:val="18"/>
        </w:rPr>
        <w:t xml:space="preserve"> (IMP) da BP Energy do Brasil</w:t>
      </w:r>
    </w:p>
  </w:footnote>
  <w:footnote w:id="14">
    <w:p w14:paraId="11DE1D1B" w14:textId="4F963133" w:rsidR="00A70C70" w:rsidRPr="007344BA" w:rsidRDefault="00A70C70" w:rsidP="007344BA">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Considerando o prazo para a coleta das informações iniciais confiáveis (principalmente as do formulário ‘Relatório Geral do Incidente’) e recolhimento das aprovações para liberação do documento, conforme procedimento definido</w:t>
      </w:r>
      <w:r>
        <w:rPr>
          <w:rFonts w:asciiTheme="majorHAnsi" w:hAnsiTheme="majorHAnsi"/>
          <w:sz w:val="18"/>
          <w:szCs w:val="18"/>
        </w:rPr>
        <w:t xml:space="preserve"> e prazos definidos pela ANP no MCI versão 3.0</w:t>
      </w:r>
    </w:p>
  </w:footnote>
  <w:footnote w:id="15">
    <w:p w14:paraId="63F023AC" w14:textId="242043CC" w:rsidR="00A70C70" w:rsidRPr="009E134A" w:rsidRDefault="00A70C70">
      <w:pPr>
        <w:pStyle w:val="Textodenotaderodap"/>
      </w:pPr>
      <w:r w:rsidRPr="00A70C70">
        <w:rPr>
          <w:rStyle w:val="Refdenotaderodap"/>
          <w:highlight w:val="lightGray"/>
        </w:rPr>
        <w:footnoteRef/>
      </w:r>
      <w:r w:rsidRPr="00A70C70">
        <w:rPr>
          <w:highlight w:val="lightGray"/>
        </w:rPr>
        <w:t xml:space="preserve">  </w:t>
      </w:r>
      <w:r w:rsidRPr="00A70C70">
        <w:rPr>
          <w:sz w:val="18"/>
          <w:highlight w:val="lightGray"/>
        </w:rPr>
        <w:t>Originalmente para a BP somente incidentes classificados em Tier 2 ou 3 ativariam a emissão deste relatório, mas o limite de volume indicado será considerado em atendimento à especificação do órgão ambiental licenciador.</w:t>
      </w:r>
    </w:p>
  </w:footnote>
  <w:footnote w:id="16">
    <w:p w14:paraId="110F6223" w14:textId="77777777" w:rsidR="00A70C70" w:rsidRPr="007344BA" w:rsidRDefault="00A70C70" w:rsidP="00CD1FE6">
      <w:pPr>
        <w:pStyle w:val="Textodenotaderodap"/>
        <w:rPr>
          <w:rFonts w:asciiTheme="majorHAnsi" w:hAnsiTheme="majorHAnsi" w:cs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Termo qualitativo utilizado para enfatizar a importância de um recurso, um processo, uma posição ou um contratante, que deve estar disponível e operacional constantemente ou o mais cedo possível, após a ocorrência de um incidente, emergência ou desastre.</w:t>
      </w:r>
    </w:p>
  </w:footnote>
  <w:footnote w:id="17">
    <w:p w14:paraId="16349D94" w14:textId="77777777" w:rsidR="00A70C70" w:rsidRPr="007344BA" w:rsidRDefault="00A70C70" w:rsidP="00CD1FE6">
      <w:pPr>
        <w:pStyle w:val="Textodenotaderodap"/>
        <w:rPr>
          <w:rFonts w:asciiTheme="majorHAnsi" w:hAnsiTheme="majorHAnsi"/>
          <w:sz w:val="18"/>
          <w:szCs w:val="18"/>
        </w:rPr>
      </w:pPr>
      <w:r w:rsidRPr="007344BA">
        <w:rPr>
          <w:rStyle w:val="Refdenotaderodap"/>
          <w:rFonts w:asciiTheme="majorHAnsi" w:hAnsiTheme="majorHAnsi" w:cstheme="majorHAnsi"/>
          <w:sz w:val="18"/>
          <w:szCs w:val="18"/>
        </w:rPr>
        <w:footnoteRef/>
      </w:r>
      <w:r w:rsidRPr="007344BA">
        <w:rPr>
          <w:rFonts w:asciiTheme="majorHAnsi" w:hAnsiTheme="majorHAnsi" w:cstheme="majorHAnsi"/>
          <w:sz w:val="18"/>
          <w:szCs w:val="18"/>
        </w:rPr>
        <w:t xml:space="preserve"> Alguém não designado para exercer a posição primária, mas com a capacidade técnica e qualificação para prestar importante apoio para esta posição primária.</w:t>
      </w:r>
    </w:p>
  </w:footnote>
  <w:footnote w:id="18">
    <w:p w14:paraId="3FA3C6F6" w14:textId="77777777" w:rsidR="00A70C70" w:rsidRPr="008D4524" w:rsidRDefault="00A70C70" w:rsidP="00DD1023">
      <w:pPr>
        <w:pStyle w:val="Textodenotaderodap"/>
      </w:pPr>
      <w:r>
        <w:rPr>
          <w:rStyle w:val="Refdenotaderodap"/>
        </w:rPr>
        <w:footnoteRef/>
      </w:r>
      <w:r w:rsidRPr="00001B1A">
        <w:t xml:space="preserve"> </w:t>
      </w:r>
      <w:r w:rsidRPr="008D4524">
        <w:t>Consulta feita em 17/02/2018.</w:t>
      </w:r>
    </w:p>
  </w:footnote>
  <w:footnote w:id="19">
    <w:p w14:paraId="58BE7D0F" w14:textId="0FFE7EE9" w:rsidR="00A70C70" w:rsidRPr="00B8011A" w:rsidRDefault="00A70C70">
      <w:pPr>
        <w:pStyle w:val="Textodenotaderodap"/>
        <w:rPr>
          <w:highlight w:val="lightGray"/>
        </w:rPr>
      </w:pPr>
      <w:r w:rsidRPr="00B8011A">
        <w:rPr>
          <w:rStyle w:val="Refdenotaderodap"/>
          <w:highlight w:val="lightGray"/>
        </w:rPr>
        <w:footnoteRef/>
      </w:r>
      <w:r w:rsidRPr="00B8011A">
        <w:rPr>
          <w:highlight w:val="lightGray"/>
        </w:rPr>
        <w:t xml:space="preserve"> </w:t>
      </w:r>
      <w:r w:rsidRPr="00B8011A">
        <w:rPr>
          <w:rFonts w:asciiTheme="majorHAnsi" w:hAnsiTheme="majorHAnsi"/>
          <w:sz w:val="18"/>
          <w:highlight w:val="lightGray"/>
        </w:rPr>
        <w:t>Do inglês “Communications and External Affairs” (Comunicação e Relações Externas).</w:t>
      </w:r>
    </w:p>
  </w:footnote>
  <w:footnote w:id="20">
    <w:p w14:paraId="253C1EBA" w14:textId="2AE630A3" w:rsidR="00A70C70" w:rsidRPr="00772E14" w:rsidRDefault="00A70C70">
      <w:pPr>
        <w:pStyle w:val="Textodenotaderodap"/>
      </w:pPr>
      <w:r w:rsidRPr="00B8011A">
        <w:rPr>
          <w:rStyle w:val="Refdenotaderodap"/>
          <w:highlight w:val="lightGray"/>
        </w:rPr>
        <w:footnoteRef/>
      </w:r>
      <w:r w:rsidRPr="00B8011A">
        <w:rPr>
          <w:highlight w:val="lightGray"/>
        </w:rPr>
        <w:t xml:space="preserve"> </w:t>
      </w:r>
      <w:r w:rsidRPr="00B8011A">
        <w:rPr>
          <w:rFonts w:asciiTheme="majorHAnsi" w:hAnsiTheme="majorHAnsi"/>
          <w:sz w:val="18"/>
          <w:highlight w:val="lightGray"/>
        </w:rPr>
        <w:t>Informações obtidas em consulta ao site “Regional Pollution Emergency, Information and Training Centre – Caribe” (www.racrempeitec.org), onde existe uma base de dados dos países com informações contatos de notificação de emergências e pontos focais, entre outras.</w:t>
      </w:r>
      <w:r w:rsidRPr="00772E14">
        <w:rPr>
          <w:rFonts w:asciiTheme="majorHAnsi" w:hAnsiTheme="majorHAnsi"/>
          <w:sz w:val="18"/>
        </w:rPr>
        <w:t xml:space="preserve"> </w:t>
      </w:r>
    </w:p>
  </w:footnote>
  <w:footnote w:id="21">
    <w:p w14:paraId="7B8DE777" w14:textId="77777777" w:rsidR="00A70C70" w:rsidRPr="007344BA" w:rsidRDefault="00A70C70" w:rsidP="00CD1FE6">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i/>
          <w:sz w:val="18"/>
          <w:szCs w:val="18"/>
        </w:rPr>
        <w:t xml:space="preserve">Oil Spill Response Limited </w:t>
      </w:r>
      <w:r w:rsidRPr="007344BA">
        <w:rPr>
          <w:rFonts w:asciiTheme="majorHAnsi" w:hAnsiTheme="majorHAnsi"/>
          <w:sz w:val="18"/>
          <w:szCs w:val="18"/>
        </w:rPr>
        <w:t xml:space="preserve">(OSRL) é uma cooperativa de propriedade da indústria, que existe para responder aos derramamentos de petróleo em várias localidades do planeta. Esses serviços incluem assessoria técnica, provisão de pessoal especializado, aluguel e manutenção de equipamentos e treinamento. Seus recursos encontram-se distribuídos em grandes centros de resposta Tier 3 (UK, USA e Bahrein) e centros de resposta Tier 2 regionais. Mais informações podem ser obtidas em </w:t>
      </w:r>
      <w:hyperlink r:id="rId2" w:history="1">
        <w:r w:rsidRPr="007344BA">
          <w:rPr>
            <w:rStyle w:val="Hyperlink"/>
            <w:rFonts w:asciiTheme="majorHAnsi" w:hAnsiTheme="majorHAnsi"/>
            <w:sz w:val="18"/>
            <w:szCs w:val="18"/>
          </w:rPr>
          <w:t>http://www.oilspillresponse.com/</w:t>
        </w:r>
      </w:hyperlink>
      <w:r w:rsidRPr="007344BA">
        <w:rPr>
          <w:rFonts w:asciiTheme="majorHAnsi" w:hAnsiTheme="majorHAnsi"/>
          <w:sz w:val="18"/>
          <w:szCs w:val="18"/>
        </w:rPr>
        <w:t>.</w:t>
      </w:r>
    </w:p>
  </w:footnote>
  <w:footnote w:id="22">
    <w:p w14:paraId="3139A61B" w14:textId="77777777" w:rsidR="00A70C70" w:rsidRPr="008D4524" w:rsidRDefault="00A70C70" w:rsidP="00BA7B2B">
      <w:pPr>
        <w:pStyle w:val="Textodenotaderodap"/>
      </w:pPr>
      <w:r w:rsidRPr="00B8011A">
        <w:rPr>
          <w:rStyle w:val="Refdenotaderodap"/>
          <w:highlight w:val="lightGray"/>
        </w:rPr>
        <w:footnoteRef/>
      </w:r>
      <w:r w:rsidRPr="00B8011A">
        <w:rPr>
          <w:highlight w:val="lightGray"/>
        </w:rPr>
        <w:t xml:space="preserve"> </w:t>
      </w:r>
      <w:hyperlink r:id="rId3" w:history="1">
        <w:r w:rsidRPr="00B8011A">
          <w:rPr>
            <w:rStyle w:val="Hyperlink"/>
            <w:rFonts w:asciiTheme="majorHAnsi" w:hAnsiTheme="majorHAnsi"/>
            <w:sz w:val="18"/>
            <w:szCs w:val="18"/>
            <w:highlight w:val="lightGray"/>
          </w:rPr>
          <w:t>http://www.racrempeitc.org/</w:t>
        </w:r>
      </w:hyperlink>
    </w:p>
  </w:footnote>
  <w:footnote w:id="23">
    <w:p w14:paraId="0DF5C2FC" w14:textId="77777777" w:rsidR="00A70C70" w:rsidRPr="007344BA" w:rsidRDefault="00A70C70" w:rsidP="007344BA">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A filosofia de resposta da BP é de exceder a reação e a resposta, reavaliar sucessivamente a situação e fazer os ajustes necessários de acordo. “Sempre se preparar para o pior; é melhor ter redundância de recursos de resposta e pessoal do que faltar” (Manual de Táticas da BP).</w:t>
      </w:r>
    </w:p>
  </w:footnote>
  <w:footnote w:id="24">
    <w:p w14:paraId="2845EFAD" w14:textId="77777777" w:rsidR="00A70C70" w:rsidRPr="007344BA" w:rsidRDefault="00A70C70" w:rsidP="007344BA">
      <w:pPr>
        <w:pStyle w:val="Textodenotaderodap"/>
        <w:rPr>
          <w:rFonts w:asciiTheme="majorHAnsi" w:hAnsiTheme="majorHAnsi"/>
          <w:sz w:val="18"/>
          <w:szCs w:val="18"/>
          <w:lang w:val="en-US"/>
        </w:rPr>
      </w:pPr>
      <w:r w:rsidRPr="007344BA">
        <w:rPr>
          <w:rStyle w:val="Refdenotaderodap"/>
          <w:rFonts w:asciiTheme="majorHAnsi" w:hAnsiTheme="majorHAnsi"/>
          <w:sz w:val="18"/>
          <w:szCs w:val="18"/>
        </w:rPr>
        <w:footnoteRef/>
      </w:r>
      <w:r w:rsidRPr="007344BA">
        <w:rPr>
          <w:rFonts w:asciiTheme="majorHAnsi" w:hAnsiTheme="majorHAnsi"/>
          <w:sz w:val="18"/>
          <w:szCs w:val="18"/>
          <w:lang w:val="en-US"/>
        </w:rPr>
        <w:t xml:space="preserve"> </w:t>
      </w:r>
      <w:r w:rsidRPr="007344BA">
        <w:rPr>
          <w:rFonts w:asciiTheme="majorHAnsi" w:hAnsiTheme="majorHAnsi" w:cstheme="majorHAnsi"/>
          <w:sz w:val="18"/>
          <w:szCs w:val="18"/>
          <w:lang w:val="en-US"/>
        </w:rPr>
        <w:t>International Petroleum Industry Environmental Conservation Association</w:t>
      </w:r>
      <w:r w:rsidRPr="007344BA">
        <w:rPr>
          <w:rFonts w:asciiTheme="majorHAnsi" w:hAnsiTheme="majorHAnsi"/>
          <w:sz w:val="18"/>
          <w:szCs w:val="18"/>
          <w:lang w:val="en-US"/>
        </w:rPr>
        <w:t>.</w:t>
      </w:r>
    </w:p>
  </w:footnote>
  <w:footnote w:id="25">
    <w:p w14:paraId="1E08872F" w14:textId="77777777" w:rsidR="00A70C70" w:rsidRPr="007344BA" w:rsidRDefault="00A70C70" w:rsidP="007344BA">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International Maritime Organization (Organização Marítima Internacional).</w:t>
      </w:r>
    </w:p>
  </w:footnote>
  <w:footnote w:id="26">
    <w:p w14:paraId="4836C68D" w14:textId="77777777" w:rsidR="00A70C70" w:rsidRPr="007344BA" w:rsidRDefault="00A70C70" w:rsidP="007344BA">
      <w:pPr>
        <w:pStyle w:val="Textodenotaderodap"/>
        <w:rPr>
          <w:rFonts w:asciiTheme="majorHAnsi" w:hAnsiTheme="majorHAnsi"/>
          <w:sz w:val="18"/>
          <w:szCs w:val="18"/>
          <w:lang w:val="en-US"/>
        </w:rPr>
      </w:pPr>
      <w:r w:rsidRPr="007344BA">
        <w:rPr>
          <w:rStyle w:val="Refdenotaderodap"/>
          <w:rFonts w:asciiTheme="majorHAnsi" w:hAnsiTheme="majorHAnsi"/>
          <w:sz w:val="18"/>
          <w:szCs w:val="18"/>
        </w:rPr>
        <w:footnoteRef/>
      </w:r>
      <w:r w:rsidRPr="007344BA">
        <w:rPr>
          <w:rFonts w:asciiTheme="majorHAnsi" w:hAnsiTheme="majorHAnsi"/>
          <w:sz w:val="18"/>
          <w:szCs w:val="18"/>
          <w:lang w:val="en-US"/>
        </w:rPr>
        <w:t xml:space="preserve"> </w:t>
      </w:r>
      <w:r w:rsidRPr="007344BA">
        <w:rPr>
          <w:rFonts w:asciiTheme="majorHAnsi" w:hAnsiTheme="majorHAnsi" w:cstheme="majorHAnsi"/>
          <w:sz w:val="18"/>
          <w:szCs w:val="18"/>
          <w:lang w:val="en-US"/>
        </w:rPr>
        <w:t>International Tanker Owners Pollution Federation</w:t>
      </w:r>
      <w:r w:rsidRPr="007344BA">
        <w:rPr>
          <w:rFonts w:asciiTheme="majorHAnsi" w:hAnsiTheme="majorHAnsi"/>
          <w:sz w:val="18"/>
          <w:szCs w:val="18"/>
          <w:lang w:val="en-US"/>
        </w:rPr>
        <w:t>.</w:t>
      </w:r>
    </w:p>
  </w:footnote>
  <w:footnote w:id="27">
    <w:p w14:paraId="38CACB5E" w14:textId="0D5F315C" w:rsidR="00A70C70" w:rsidRPr="00E0701C" w:rsidRDefault="00A70C70">
      <w:pPr>
        <w:pStyle w:val="Textodenotaderodap"/>
        <w:rPr>
          <w:sz w:val="18"/>
        </w:rPr>
      </w:pPr>
      <w:r w:rsidRPr="00B8011A">
        <w:rPr>
          <w:rStyle w:val="Refdenotaderodap"/>
          <w:highlight w:val="lightGray"/>
        </w:rPr>
        <w:footnoteRef/>
      </w:r>
      <w:r w:rsidRPr="00B8011A">
        <w:rPr>
          <w:highlight w:val="lightGray"/>
        </w:rPr>
        <w:t xml:space="preserve"> </w:t>
      </w:r>
      <w:r w:rsidRPr="00B8011A">
        <w:rPr>
          <w:sz w:val="18"/>
          <w:highlight w:val="lightGray"/>
        </w:rPr>
        <w:t>Promulgada através do Decreto Federal 2.870/1998.</w:t>
      </w:r>
    </w:p>
  </w:footnote>
  <w:footnote w:id="28">
    <w:p w14:paraId="66F95AA6" w14:textId="7DE1164F" w:rsidR="00A70C70" w:rsidRPr="00E651E8" w:rsidRDefault="00A70C70">
      <w:pPr>
        <w:pStyle w:val="Textodenotaderodap"/>
      </w:pPr>
      <w:r w:rsidRPr="00B8011A">
        <w:rPr>
          <w:rStyle w:val="Refdenotaderodap"/>
          <w:highlight w:val="lightGray"/>
        </w:rPr>
        <w:footnoteRef/>
      </w:r>
      <w:r w:rsidRPr="00B8011A">
        <w:rPr>
          <w:highlight w:val="lightGray"/>
        </w:rPr>
        <w:t xml:space="preserve"> </w:t>
      </w:r>
      <w:r w:rsidRPr="00B8011A">
        <w:rPr>
          <w:sz w:val="18"/>
          <w:highlight w:val="lightGray"/>
        </w:rPr>
        <w:t>Promulgada através do Decreto Federal 6.478/2008.</w:t>
      </w:r>
    </w:p>
  </w:footnote>
  <w:footnote w:id="29">
    <w:p w14:paraId="786BFD10" w14:textId="0B6CEF36" w:rsidR="00A70C70" w:rsidRPr="007344BA" w:rsidRDefault="00A70C70" w:rsidP="00CD1FE6">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i/>
          <w:sz w:val="18"/>
          <w:szCs w:val="18"/>
        </w:rPr>
        <w:t>Oil Spill Response Operations Plan</w:t>
      </w:r>
      <w:r w:rsidRPr="007344BA">
        <w:rPr>
          <w:rFonts w:asciiTheme="majorHAnsi" w:hAnsiTheme="majorHAnsi" w:cstheme="majorHAnsi"/>
          <w:sz w:val="18"/>
          <w:szCs w:val="18"/>
        </w:rPr>
        <w:t xml:space="preserve"> (Plano de Operações de Resposta a Derrame de Óleo).</w:t>
      </w:r>
    </w:p>
  </w:footnote>
  <w:footnote w:id="30">
    <w:p w14:paraId="61D859F4" w14:textId="27F570CA" w:rsidR="00A70C70" w:rsidRPr="007344BA" w:rsidRDefault="00A70C70" w:rsidP="00CD1FE6">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Filial (em inglês, </w:t>
      </w:r>
      <w:r w:rsidRPr="007344BA">
        <w:rPr>
          <w:rFonts w:asciiTheme="majorHAnsi" w:hAnsiTheme="majorHAnsi"/>
          <w:i/>
          <w:sz w:val="18"/>
          <w:szCs w:val="18"/>
        </w:rPr>
        <w:t>Branch</w:t>
      </w:r>
      <w:r w:rsidRPr="007344BA">
        <w:rPr>
          <w:rFonts w:asciiTheme="majorHAnsi" w:hAnsiTheme="majorHAnsi"/>
          <w:sz w:val="18"/>
          <w:szCs w:val="18"/>
        </w:rPr>
        <w:t xml:space="preserve">) é uma reprodução </w:t>
      </w:r>
      <w:r>
        <w:rPr>
          <w:rFonts w:asciiTheme="majorHAnsi" w:hAnsiTheme="majorHAnsi"/>
          <w:sz w:val="18"/>
          <w:szCs w:val="18"/>
        </w:rPr>
        <w:t>do ICP com um time à semelhança da IMT,</w:t>
      </w:r>
      <w:r w:rsidRPr="007344BA">
        <w:rPr>
          <w:rFonts w:asciiTheme="majorHAnsi" w:hAnsiTheme="majorHAnsi"/>
          <w:sz w:val="18"/>
          <w:szCs w:val="18"/>
        </w:rPr>
        <w:t xml:space="preserve"> com as posições especificadas como necessárias e </w:t>
      </w:r>
      <w:r>
        <w:rPr>
          <w:rFonts w:asciiTheme="majorHAnsi" w:hAnsiTheme="majorHAnsi"/>
          <w:sz w:val="18"/>
          <w:szCs w:val="18"/>
        </w:rPr>
        <w:t xml:space="preserve">que </w:t>
      </w:r>
      <w:r w:rsidRPr="007344BA">
        <w:rPr>
          <w:rFonts w:asciiTheme="majorHAnsi" w:hAnsiTheme="majorHAnsi"/>
          <w:sz w:val="18"/>
          <w:szCs w:val="18"/>
        </w:rPr>
        <w:t xml:space="preserve">trabalha de forma integrada com os times locais (divisões e grupos de ação) e com a própria IMT, reforçando a representatividade desta </w:t>
      </w:r>
      <w:r>
        <w:rPr>
          <w:rFonts w:asciiTheme="majorHAnsi" w:hAnsiTheme="majorHAnsi"/>
          <w:sz w:val="18"/>
          <w:szCs w:val="18"/>
        </w:rPr>
        <w:t>na coordenação local de um incidente</w:t>
      </w:r>
      <w:r w:rsidRPr="007344BA">
        <w:rPr>
          <w:rFonts w:asciiTheme="majorHAnsi" w:hAnsiTheme="majorHAnsi"/>
          <w:sz w:val="18"/>
          <w:szCs w:val="18"/>
        </w:rPr>
        <w:t>.</w:t>
      </w:r>
    </w:p>
  </w:footnote>
  <w:footnote w:id="31">
    <w:p w14:paraId="43FFCB52" w14:textId="77777777" w:rsidR="00A70C70" w:rsidRPr="007344BA" w:rsidRDefault="00A70C70" w:rsidP="00CD1FE6">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Significante ao ponto em que a avaliação do potencial do incidente possa gerar ameaça considerável para o pessoal a bordo, ao meio ambiente ou à continuidade das operações</w:t>
      </w:r>
      <w:r w:rsidRPr="007344BA">
        <w:rPr>
          <w:rFonts w:asciiTheme="majorHAnsi" w:hAnsiTheme="majorHAnsi"/>
          <w:sz w:val="18"/>
          <w:szCs w:val="18"/>
        </w:rPr>
        <w:t>.</w:t>
      </w:r>
    </w:p>
  </w:footnote>
  <w:footnote w:id="32">
    <w:p w14:paraId="4727CEEC" w14:textId="77777777" w:rsidR="00A70C70" w:rsidRPr="007344BA" w:rsidRDefault="00A70C70" w:rsidP="00CD1FE6">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Voltado para o caso de problemas na drenagem secundária de contenção. A fonte do vazamento descrita será tratada conforme é descrito no primeiro ponto deste item (“</w:t>
      </w:r>
      <w:r w:rsidRPr="007344BA">
        <w:rPr>
          <w:rFonts w:asciiTheme="majorHAnsi" w:hAnsiTheme="majorHAnsi" w:cstheme="majorHAnsi"/>
          <w:i/>
          <w:sz w:val="18"/>
          <w:szCs w:val="18"/>
        </w:rPr>
        <w:t>Derramamento de óleo a partir da ruptura de mangueiras, linhas, conexões, válvulas ou bombas de sistemas abordo da instalação/embarcação de apoio</w:t>
      </w:r>
      <w:r w:rsidRPr="007344BA">
        <w:rPr>
          <w:rFonts w:asciiTheme="majorHAnsi" w:hAnsiTheme="majorHAnsi" w:cstheme="majorHAnsi"/>
          <w:sz w:val="18"/>
          <w:szCs w:val="18"/>
        </w:rPr>
        <w:t>”).</w:t>
      </w:r>
    </w:p>
  </w:footnote>
  <w:footnote w:id="33">
    <w:p w14:paraId="5D3A0E2C" w14:textId="77777777" w:rsidR="00A70C70" w:rsidRPr="007344BA" w:rsidRDefault="00A70C70" w:rsidP="00CD1FE6">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LMRP - Lower Marine Riser Package (dispositivo da parte inferior da coluna de perfuração ou intervenção nos poços)</w:t>
      </w:r>
    </w:p>
  </w:footnote>
  <w:footnote w:id="34">
    <w:p w14:paraId="173E910B" w14:textId="77777777" w:rsidR="00A70C70" w:rsidRPr="007344BA" w:rsidRDefault="00A70C70" w:rsidP="00CD1FE6">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ROV –</w:t>
      </w:r>
      <w:r w:rsidRPr="007344BA">
        <w:rPr>
          <w:rFonts w:asciiTheme="majorHAnsi" w:hAnsiTheme="majorHAnsi"/>
          <w:sz w:val="18"/>
          <w:szCs w:val="18"/>
        </w:rPr>
        <w:t xml:space="preserve"> </w:t>
      </w:r>
      <w:r w:rsidRPr="007344BA">
        <w:rPr>
          <w:rFonts w:asciiTheme="majorHAnsi" w:hAnsiTheme="majorHAnsi" w:cstheme="majorHAnsi"/>
          <w:i/>
          <w:sz w:val="18"/>
          <w:szCs w:val="18"/>
        </w:rPr>
        <w:t>Remotely Operated Vehicle</w:t>
      </w:r>
      <w:r w:rsidRPr="007344BA">
        <w:rPr>
          <w:rFonts w:asciiTheme="majorHAnsi" w:hAnsiTheme="majorHAnsi" w:cstheme="majorHAnsi"/>
          <w:sz w:val="18"/>
          <w:szCs w:val="18"/>
        </w:rPr>
        <w:t xml:space="preserve"> (veículo operado remotamente) / BOP – </w:t>
      </w:r>
      <w:r w:rsidRPr="007344BA">
        <w:rPr>
          <w:rFonts w:asciiTheme="majorHAnsi" w:hAnsiTheme="majorHAnsi" w:cstheme="majorHAnsi"/>
          <w:i/>
          <w:sz w:val="18"/>
          <w:szCs w:val="18"/>
        </w:rPr>
        <w:t>BlowOut Prevention</w:t>
      </w:r>
      <w:r w:rsidRPr="007344BA">
        <w:rPr>
          <w:rFonts w:asciiTheme="majorHAnsi" w:hAnsiTheme="majorHAnsi" w:cstheme="majorHAnsi"/>
          <w:sz w:val="18"/>
          <w:szCs w:val="18"/>
        </w:rPr>
        <w:t xml:space="preserve"> (Dispositivo de prevenção de descontrole de poço).</w:t>
      </w:r>
    </w:p>
  </w:footnote>
  <w:footnote w:id="35">
    <w:p w14:paraId="564F0B6B" w14:textId="77777777" w:rsidR="00A70C70" w:rsidRPr="007344BA" w:rsidRDefault="00A70C70" w:rsidP="00CD1FE6">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i/>
          <w:sz w:val="18"/>
          <w:szCs w:val="18"/>
        </w:rPr>
        <w:t>Dynamic Positioning</w:t>
      </w:r>
      <w:r w:rsidRPr="007344BA">
        <w:rPr>
          <w:rFonts w:asciiTheme="majorHAnsi" w:hAnsiTheme="majorHAnsi" w:cstheme="majorHAnsi"/>
          <w:sz w:val="18"/>
          <w:szCs w:val="18"/>
        </w:rPr>
        <w:t xml:space="preserve"> (Posicionamento dinâmico).</w:t>
      </w:r>
    </w:p>
  </w:footnote>
  <w:footnote w:id="36">
    <w:p w14:paraId="3175D918" w14:textId="15A61669" w:rsidR="00A70C70" w:rsidRPr="007344BA" w:rsidRDefault="00A70C70" w:rsidP="00CD1FE6">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i/>
          <w:sz w:val="18"/>
          <w:szCs w:val="18"/>
        </w:rPr>
        <w:t>Oil Companies</w:t>
      </w:r>
      <w:r w:rsidRPr="007344BA">
        <w:rPr>
          <w:rFonts w:asciiTheme="majorHAnsi" w:hAnsiTheme="majorHAnsi" w:cstheme="majorHAnsi"/>
          <w:sz w:val="18"/>
          <w:szCs w:val="18"/>
        </w:rPr>
        <w:t xml:space="preserve"> (empresas de petróleo)</w:t>
      </w:r>
      <w:r>
        <w:rPr>
          <w:rFonts w:asciiTheme="majorHAnsi" w:hAnsiTheme="majorHAnsi" w:cstheme="majorHAnsi"/>
          <w:sz w:val="18"/>
          <w:szCs w:val="18"/>
        </w:rPr>
        <w:t xml:space="preserve"> – Mutual Agreement Plan</w:t>
      </w:r>
      <w:r w:rsidRPr="007344BA">
        <w:rPr>
          <w:rFonts w:asciiTheme="majorHAnsi" w:hAnsiTheme="majorHAnsi" w:cstheme="majorHAnsi"/>
          <w:sz w:val="18"/>
          <w:szCs w:val="18"/>
        </w:rPr>
        <w:t>.</w:t>
      </w:r>
    </w:p>
  </w:footnote>
  <w:footnote w:id="37">
    <w:p w14:paraId="111643AA" w14:textId="77777777" w:rsidR="00A70C70" w:rsidRPr="007344BA" w:rsidRDefault="00A70C70" w:rsidP="00CD1FE6">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O Acordo de Bonn (Bonn Agreement) é o acordo regional de cooperação mútua na resposta à poluição por óleo entre Estados costeiros do Atlântico Nordeste</w:t>
      </w:r>
      <w:r w:rsidRPr="007344BA">
        <w:rPr>
          <w:rFonts w:asciiTheme="majorHAnsi" w:hAnsiTheme="majorHAnsi"/>
          <w:sz w:val="18"/>
          <w:szCs w:val="18"/>
        </w:rPr>
        <w:t>.</w:t>
      </w:r>
    </w:p>
  </w:footnote>
  <w:footnote w:id="38">
    <w:p w14:paraId="1E2E9159" w14:textId="77777777" w:rsidR="00A70C70" w:rsidRPr="007344BA" w:rsidRDefault="00A70C70" w:rsidP="00CD1FE6">
      <w:pPr>
        <w:pStyle w:val="Textodenotaderodap"/>
        <w:rPr>
          <w:rFonts w:asciiTheme="majorHAnsi" w:hAnsiTheme="majorHAnsi" w:cstheme="majorHAnsi"/>
          <w:sz w:val="18"/>
          <w:szCs w:val="18"/>
          <w:lang w:val="en-US"/>
        </w:rPr>
      </w:pPr>
      <w:r w:rsidRPr="007344BA">
        <w:rPr>
          <w:rStyle w:val="Refdenotaderodap"/>
          <w:rFonts w:asciiTheme="majorHAnsi" w:hAnsiTheme="majorHAnsi"/>
          <w:sz w:val="18"/>
          <w:szCs w:val="18"/>
        </w:rPr>
        <w:footnoteRef/>
      </w:r>
      <w:r w:rsidRPr="007344BA">
        <w:rPr>
          <w:rFonts w:asciiTheme="majorHAnsi" w:hAnsiTheme="majorHAnsi"/>
          <w:sz w:val="18"/>
          <w:szCs w:val="18"/>
          <w:lang w:val="en-US"/>
        </w:rPr>
        <w:t xml:space="preserve"> </w:t>
      </w:r>
      <w:r w:rsidRPr="007344BA">
        <w:rPr>
          <w:rFonts w:asciiTheme="majorHAnsi" w:hAnsiTheme="majorHAnsi" w:cstheme="majorHAnsi"/>
          <w:sz w:val="18"/>
          <w:szCs w:val="18"/>
          <w:lang w:val="en-US"/>
        </w:rPr>
        <w:t>International Tanker Owners Pollution Federation Limited</w:t>
      </w:r>
    </w:p>
  </w:footnote>
  <w:footnote w:id="39">
    <w:p w14:paraId="7B8ACCD5" w14:textId="77777777" w:rsidR="00A70C70" w:rsidRPr="007344BA" w:rsidRDefault="00A70C70" w:rsidP="00CD1FE6">
      <w:pPr>
        <w:pStyle w:val="Textodenotaderodap"/>
        <w:rPr>
          <w:rFonts w:asciiTheme="majorHAnsi" w:hAnsiTheme="majorHAnsi"/>
          <w:sz w:val="18"/>
          <w:szCs w:val="18"/>
        </w:rPr>
      </w:pPr>
      <w:r w:rsidRPr="007344BA">
        <w:rPr>
          <w:rStyle w:val="Refdenotaderodap"/>
          <w:rFonts w:asciiTheme="majorHAnsi" w:hAnsiTheme="majorHAnsi" w:cstheme="majorHAnsi"/>
          <w:sz w:val="18"/>
          <w:szCs w:val="18"/>
        </w:rPr>
        <w:footnoteRef/>
      </w:r>
      <w:r w:rsidRPr="007344BA">
        <w:rPr>
          <w:rFonts w:asciiTheme="majorHAnsi" w:hAnsiTheme="majorHAnsi" w:cstheme="majorHAnsi"/>
          <w:sz w:val="18"/>
          <w:szCs w:val="18"/>
        </w:rPr>
        <w:t xml:space="preserve"> Operational, Technical and Scientific Questions Technical Committee - Comitê de Especialistas em Questões Operacionais, Técnicas e Científicas, relativas a atividades comuns de poluição, sob o Acordo de Bonn.</w:t>
      </w:r>
    </w:p>
  </w:footnote>
  <w:footnote w:id="40">
    <w:p w14:paraId="18944949" w14:textId="560D5640" w:rsidR="00A70C70" w:rsidRPr="00487E50" w:rsidRDefault="00A70C70" w:rsidP="00D20B39">
      <w:pPr>
        <w:pStyle w:val="Textodenotaderodap"/>
        <w:rPr>
          <w:sz w:val="18"/>
          <w:szCs w:val="18"/>
          <w:highlight w:val="lightGray"/>
        </w:rPr>
      </w:pPr>
      <w:r w:rsidRPr="00487E50">
        <w:rPr>
          <w:rStyle w:val="Refdenotaderodap"/>
          <w:highlight w:val="lightGray"/>
        </w:rPr>
        <w:footnoteRef/>
      </w:r>
      <w:r w:rsidRPr="00487E50">
        <w:rPr>
          <w:highlight w:val="lightGray"/>
        </w:rPr>
        <w:t xml:space="preserve"> </w:t>
      </w:r>
      <w:r w:rsidRPr="00487E50">
        <w:rPr>
          <w:sz w:val="18"/>
          <w:szCs w:val="18"/>
          <w:highlight w:val="lightGray"/>
        </w:rPr>
        <w:t>O mais complexo representado por modelos semelhantes ao Sistema MBS da Maritime Robotics (</w:t>
      </w:r>
      <w:hyperlink r:id="rId4" w:history="1">
        <w:r w:rsidRPr="00487E50">
          <w:rPr>
            <w:rStyle w:val="Hyperlink"/>
            <w:sz w:val="18"/>
            <w:szCs w:val="18"/>
            <w:highlight w:val="lightGray"/>
          </w:rPr>
          <w:t>https://maritimerobotics.com/mbs/</w:t>
        </w:r>
      </w:hyperlink>
      <w:r w:rsidRPr="00487E50">
        <w:rPr>
          <w:sz w:val="18"/>
          <w:szCs w:val="18"/>
          <w:highlight w:val="lightGray"/>
        </w:rPr>
        <w:t xml:space="preserve"> ) e os mais simples, podendo ser combinados com sensores variados, representados pelos aerostatos da Owls (</w:t>
      </w:r>
      <w:hyperlink r:id="rId5" w:anchor="tech-specs" w:history="1">
        <w:r w:rsidRPr="00487E50">
          <w:rPr>
            <w:rStyle w:val="Hyperlink"/>
            <w:sz w:val="18"/>
            <w:szCs w:val="18"/>
            <w:highlight w:val="lightGray"/>
          </w:rPr>
          <w:t>https://www.owls-surveillance.com/#tech-specs</w:t>
        </w:r>
      </w:hyperlink>
      <w:r w:rsidRPr="00487E50">
        <w:rPr>
          <w:sz w:val="18"/>
          <w:szCs w:val="18"/>
          <w:highlight w:val="lightGray"/>
        </w:rPr>
        <w:t xml:space="preserve"> ) ou da Elastec (</w:t>
      </w:r>
      <w:hyperlink r:id="rId6" w:history="1">
        <w:r w:rsidRPr="00487E50">
          <w:rPr>
            <w:rStyle w:val="Hyperlink"/>
            <w:sz w:val="18"/>
            <w:szCs w:val="18"/>
            <w:highlight w:val="lightGray"/>
          </w:rPr>
          <w:t>https://www.elastec.com/products/aerial-surveillance/</w:t>
        </w:r>
      </w:hyperlink>
      <w:r w:rsidRPr="00487E50">
        <w:rPr>
          <w:sz w:val="18"/>
          <w:szCs w:val="18"/>
          <w:highlight w:val="lightGray"/>
        </w:rPr>
        <w:t xml:space="preserve"> ).</w:t>
      </w:r>
    </w:p>
    <w:p w14:paraId="2444EFD6" w14:textId="4D022E28" w:rsidR="00A70C70" w:rsidRPr="00487E50" w:rsidRDefault="00A70C70" w:rsidP="00D20B39">
      <w:pPr>
        <w:pStyle w:val="Textodenotaderodap"/>
        <w:rPr>
          <w:sz w:val="18"/>
          <w:szCs w:val="18"/>
          <w:highlight w:val="lightGray"/>
        </w:rPr>
      </w:pPr>
    </w:p>
  </w:footnote>
  <w:footnote w:id="41">
    <w:p w14:paraId="481E23A6" w14:textId="2CFEA10A" w:rsidR="00A70C70" w:rsidRPr="003D5BAA" w:rsidRDefault="00A70C70">
      <w:pPr>
        <w:pStyle w:val="Textodenotaderodap"/>
      </w:pPr>
      <w:r w:rsidRPr="00487E50">
        <w:rPr>
          <w:rStyle w:val="Refdenotaderodap"/>
          <w:highlight w:val="lightGray"/>
        </w:rPr>
        <w:footnoteRef/>
      </w:r>
      <w:r w:rsidRPr="00487E50">
        <w:rPr>
          <w:highlight w:val="lightGray"/>
        </w:rPr>
        <w:t xml:space="preserve"> Um exemplo deste tipo de sistema é o Securus, da Aptomar (</w:t>
      </w:r>
      <w:hyperlink r:id="rId7" w:history="1">
        <w:r w:rsidRPr="00487E50">
          <w:rPr>
            <w:rStyle w:val="Hyperlink"/>
            <w:highlight w:val="lightGray"/>
          </w:rPr>
          <w:t>https://www.aptomar.com/sensors/the-securus-system/</w:t>
        </w:r>
      </w:hyperlink>
      <w:r w:rsidRPr="00487E50">
        <w:rPr>
          <w:highlight w:val="lightGray"/>
        </w:rPr>
        <w:t xml:space="preserve"> ).</w:t>
      </w:r>
    </w:p>
  </w:footnote>
  <w:footnote w:id="42">
    <w:p w14:paraId="0EDF96C5" w14:textId="6809E85F" w:rsidR="00A70C70" w:rsidRPr="0090582E" w:rsidRDefault="00A70C70" w:rsidP="003651A2">
      <w:pPr>
        <w:pStyle w:val="Textodenotaderodap"/>
        <w:rPr>
          <w:sz w:val="18"/>
        </w:rPr>
      </w:pPr>
      <w:r w:rsidRPr="00487E50">
        <w:rPr>
          <w:rStyle w:val="Refdenotaderodap"/>
          <w:highlight w:val="lightGray"/>
        </w:rPr>
        <w:footnoteRef/>
      </w:r>
      <w:r w:rsidRPr="00487E50">
        <w:rPr>
          <w:highlight w:val="lightGray"/>
        </w:rPr>
        <w:t xml:space="preserve"> </w:t>
      </w:r>
      <w:r w:rsidRPr="00487E50">
        <w:rPr>
          <w:sz w:val="18"/>
          <w:highlight w:val="lightGray"/>
        </w:rPr>
        <w:t>IPIECA/IOGP, 2016.</w:t>
      </w:r>
    </w:p>
  </w:footnote>
  <w:footnote w:id="43">
    <w:p w14:paraId="48F5A142" w14:textId="77777777" w:rsidR="00A70C70" w:rsidRPr="007344BA" w:rsidRDefault="00A70C70" w:rsidP="00CD1FE6">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Neste caso, a contribuição da influência do vento se sentirá apenas na ação derivada da interface ar-mar local, onde o efeito de arrasto do vento regional sobre as camadas superficiais do oceano afeta diretamente o padrão atual (direção e intensidade) nesta camada e tem influência sobre a redução das camadas ao longo da coluna de água (transporte de Ekman).</w:t>
      </w:r>
    </w:p>
  </w:footnote>
  <w:footnote w:id="44">
    <w:p w14:paraId="12382D2F" w14:textId="77777777" w:rsidR="00A70C70" w:rsidRPr="007344BA" w:rsidRDefault="00A70C70" w:rsidP="00CD1FE6">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Protegida por senha</w:t>
      </w:r>
      <w:r w:rsidRPr="007344BA">
        <w:rPr>
          <w:rFonts w:asciiTheme="majorHAnsi" w:hAnsiTheme="majorHAnsi"/>
          <w:sz w:val="18"/>
          <w:szCs w:val="18"/>
        </w:rPr>
        <w:t>.</w:t>
      </w:r>
    </w:p>
  </w:footnote>
  <w:footnote w:id="45">
    <w:p w14:paraId="102A0D23" w14:textId="77777777" w:rsidR="00A70C70" w:rsidRPr="007344BA" w:rsidRDefault="00A70C70" w:rsidP="00CD1FE6">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OSCAR é a sigla para Oil Spill Contingency And Response (Contingência e resposta a vazamento de óleo)</w:t>
      </w:r>
    </w:p>
  </w:footnote>
  <w:footnote w:id="46">
    <w:p w14:paraId="19B64C10" w14:textId="319B5E66" w:rsidR="00A70C70" w:rsidRPr="00FB78EA" w:rsidRDefault="00A70C70">
      <w:pPr>
        <w:pStyle w:val="Textodenotaderodap"/>
      </w:pPr>
      <w:r>
        <w:rPr>
          <w:rStyle w:val="Refdenotaderodap"/>
        </w:rPr>
        <w:footnoteRef/>
      </w:r>
      <w:r>
        <w:t xml:space="preserve"> </w:t>
      </w:r>
      <w:r w:rsidRPr="007344BA">
        <w:rPr>
          <w:rFonts w:asciiTheme="majorHAnsi" w:hAnsiTheme="majorHAnsi" w:cstheme="majorHAnsi"/>
          <w:i/>
          <w:sz w:val="18"/>
          <w:szCs w:val="18"/>
        </w:rPr>
        <w:t>SWATH</w:t>
      </w:r>
      <w:r w:rsidRPr="007344BA">
        <w:rPr>
          <w:rFonts w:asciiTheme="majorHAnsi" w:hAnsiTheme="majorHAnsi" w:cstheme="majorHAnsi"/>
          <w:sz w:val="18"/>
          <w:szCs w:val="18"/>
        </w:rPr>
        <w:t xml:space="preserve"> - Abertura da barreira, de uma ponta à outra das estruturas de reboque, em linha reta</w:t>
      </w:r>
      <w:r>
        <w:rPr>
          <w:rFonts w:asciiTheme="majorHAnsi" w:hAnsiTheme="majorHAnsi" w:cstheme="majorHAnsi"/>
          <w:sz w:val="18"/>
          <w:szCs w:val="18"/>
        </w:rPr>
        <w:t>.</w:t>
      </w:r>
    </w:p>
  </w:footnote>
  <w:footnote w:id="47">
    <w:p w14:paraId="6810706E" w14:textId="22F251E5" w:rsidR="00A70C70" w:rsidRPr="00B765E8" w:rsidRDefault="00A70C70">
      <w:pPr>
        <w:pStyle w:val="Textodenotaderodap"/>
      </w:pPr>
      <w:r w:rsidRPr="00487E50">
        <w:rPr>
          <w:rStyle w:val="Refdenotaderodap"/>
          <w:highlight w:val="lightGray"/>
        </w:rPr>
        <w:footnoteRef/>
      </w:r>
      <w:r w:rsidRPr="00487E50">
        <w:rPr>
          <w:highlight w:val="lightGray"/>
        </w:rPr>
        <w:t xml:space="preserve"> </w:t>
      </w:r>
      <w:r w:rsidRPr="00487E50">
        <w:rPr>
          <w:sz w:val="18"/>
          <w:highlight w:val="lightGray"/>
        </w:rPr>
        <w:t xml:space="preserve">Acessível em </w:t>
      </w:r>
      <w:hyperlink r:id="rId8" w:history="1">
        <w:r w:rsidRPr="00487E50">
          <w:rPr>
            <w:rStyle w:val="Hyperlink"/>
            <w:sz w:val="18"/>
            <w:highlight w:val="lightGray"/>
          </w:rPr>
          <w:t>http://www.spillcontrol.org/isco-what-s-new/338-guidelines-for-decanting-settled-out-water</w:t>
        </w:r>
      </w:hyperlink>
      <w:r>
        <w:rPr>
          <w:sz w:val="18"/>
        </w:rPr>
        <w:t xml:space="preserve"> </w:t>
      </w:r>
    </w:p>
  </w:footnote>
  <w:footnote w:id="48">
    <w:p w14:paraId="0D3BA4C8" w14:textId="496D859F" w:rsidR="00A70C70" w:rsidRPr="007344BA" w:rsidRDefault="00A70C70" w:rsidP="00CD1FE6">
      <w:pPr>
        <w:pStyle w:val="Textodenotaderodap"/>
        <w:rPr>
          <w:rFonts w:asciiTheme="majorHAnsi" w:hAnsiTheme="majorHAnsi"/>
          <w:sz w:val="18"/>
          <w:szCs w:val="18"/>
        </w:rPr>
      </w:pPr>
      <w:r w:rsidRPr="007344BA">
        <w:rPr>
          <w:rStyle w:val="Refdenotaderodap"/>
          <w:rFonts w:asciiTheme="majorHAnsi" w:hAnsiTheme="majorHAnsi"/>
          <w:noProof/>
          <w:sz w:val="18"/>
          <w:szCs w:val="18"/>
        </w:rPr>
        <w:footnoteRef/>
      </w:r>
      <w:r w:rsidRPr="007344BA">
        <w:rPr>
          <w:rFonts w:asciiTheme="majorHAnsi" w:hAnsiTheme="majorHAnsi"/>
          <w:noProof/>
          <w:sz w:val="18"/>
          <w:szCs w:val="18"/>
        </w:rPr>
        <w:t xml:space="preserve"> </w:t>
      </w:r>
      <w:r w:rsidRPr="007344BA">
        <w:rPr>
          <w:rFonts w:asciiTheme="majorHAnsi" w:hAnsiTheme="majorHAnsi" w:cstheme="majorHAnsi"/>
          <w:sz w:val="18"/>
          <w:szCs w:val="18"/>
        </w:rPr>
        <w:t xml:space="preserve">O IBAMA apresenta em sua página inicial uma lista de dispersantes químicos registrados e aprovados para uso no país, atualmente o COREXIT EC9500 (A) (Tipo I – Convencional com a validade </w:t>
      </w:r>
      <w:r w:rsidRPr="004B2C3C">
        <w:rPr>
          <w:rFonts w:asciiTheme="majorHAnsi" w:hAnsiTheme="majorHAnsi" w:cstheme="majorHAnsi"/>
          <w:sz w:val="18"/>
          <w:szCs w:val="18"/>
          <w:highlight w:val="lightGray"/>
        </w:rPr>
        <w:t>27 de dezembro de 2019</w:t>
      </w:r>
      <w:r w:rsidRPr="007344BA">
        <w:rPr>
          <w:rFonts w:asciiTheme="majorHAnsi" w:hAnsiTheme="majorHAnsi" w:cstheme="majorHAnsi"/>
          <w:sz w:val="18"/>
          <w:szCs w:val="18"/>
        </w:rPr>
        <w:t xml:space="preserve">) e Ultrasperse II (Tipo II - Concentrado e diluível em água / validade </w:t>
      </w:r>
      <w:r w:rsidRPr="004B2C3C">
        <w:rPr>
          <w:rFonts w:asciiTheme="majorHAnsi" w:hAnsiTheme="majorHAnsi" w:cstheme="majorHAnsi"/>
          <w:sz w:val="18"/>
          <w:szCs w:val="18"/>
          <w:highlight w:val="lightGray"/>
        </w:rPr>
        <w:t>02 de maio de 2018</w:t>
      </w:r>
      <w:r w:rsidRPr="007344BA">
        <w:rPr>
          <w:rFonts w:asciiTheme="majorHAnsi" w:hAnsiTheme="majorHAnsi" w:cstheme="majorHAnsi"/>
          <w:sz w:val="18"/>
          <w:szCs w:val="18"/>
        </w:rPr>
        <w:t>).</w:t>
      </w:r>
    </w:p>
  </w:footnote>
  <w:footnote w:id="49">
    <w:p w14:paraId="442D4D2B" w14:textId="77777777" w:rsidR="00A70C70" w:rsidRPr="007344BA" w:rsidRDefault="00A70C70" w:rsidP="00CD1FE6">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O mapa da área de exclusão utilizou a batimetria de 20 metros em virtude da inexistência de dados batimétricos públicos e oficiais inferiores a 20 metros.</w:t>
      </w:r>
    </w:p>
  </w:footnote>
  <w:footnote w:id="50">
    <w:p w14:paraId="18F65386" w14:textId="77777777" w:rsidR="00A70C70" w:rsidRPr="007344BA" w:rsidRDefault="00A70C70" w:rsidP="00CD1FE6">
      <w:pPr>
        <w:pStyle w:val="Textodenotaderodap"/>
        <w:rPr>
          <w:rFonts w:asciiTheme="majorHAnsi" w:hAnsiTheme="majorHAnsi"/>
          <w:sz w:val="18"/>
          <w:szCs w:val="18"/>
        </w:rPr>
      </w:pPr>
      <w:r w:rsidRPr="007344BA">
        <w:rPr>
          <w:rStyle w:val="Refdenotaderodap"/>
          <w:rFonts w:asciiTheme="majorHAnsi" w:hAnsiTheme="majorHAnsi"/>
          <w:noProof/>
          <w:sz w:val="18"/>
          <w:szCs w:val="18"/>
        </w:rPr>
        <w:footnoteRef/>
      </w:r>
      <w:r w:rsidRPr="007344BA">
        <w:rPr>
          <w:rFonts w:asciiTheme="majorHAnsi" w:hAnsiTheme="majorHAnsi"/>
          <w:noProof/>
          <w:sz w:val="18"/>
          <w:szCs w:val="18"/>
        </w:rPr>
        <w:t xml:space="preserve"> </w:t>
      </w:r>
      <w:r w:rsidRPr="007344BA">
        <w:rPr>
          <w:rFonts w:asciiTheme="majorHAnsi" w:hAnsiTheme="majorHAnsi" w:cstheme="majorHAnsi"/>
          <w:sz w:val="18"/>
          <w:szCs w:val="18"/>
        </w:rPr>
        <w:t>O uso de roupas de proteção está sujeito às diretrizes de Equipamentos de Proteção Pessoal regulamentado pelas normas do Ministério do Trabalho (NR) n º 6</w:t>
      </w:r>
      <w:r w:rsidRPr="007344BA">
        <w:rPr>
          <w:rFonts w:asciiTheme="majorHAnsi" w:hAnsiTheme="majorHAnsi"/>
          <w:sz w:val="18"/>
          <w:szCs w:val="18"/>
        </w:rPr>
        <w:t>.</w:t>
      </w:r>
    </w:p>
  </w:footnote>
  <w:footnote w:id="51">
    <w:p w14:paraId="3CEEFA8C" w14:textId="77777777" w:rsidR="00A70C70" w:rsidRPr="007344BA" w:rsidRDefault="00A70C70" w:rsidP="00CD1FE6">
      <w:pPr>
        <w:pStyle w:val="Textodenotaderodap"/>
        <w:rPr>
          <w:rFonts w:asciiTheme="majorHAnsi" w:hAnsiTheme="majorHAnsi"/>
          <w:sz w:val="18"/>
          <w:szCs w:val="18"/>
        </w:rPr>
      </w:pPr>
      <w:r w:rsidRPr="007344BA">
        <w:rPr>
          <w:rStyle w:val="Refdenotaderodap"/>
          <w:rFonts w:asciiTheme="majorHAnsi" w:hAnsiTheme="majorHAnsi"/>
          <w:noProof/>
          <w:sz w:val="18"/>
          <w:szCs w:val="18"/>
        </w:rPr>
        <w:footnoteRef/>
      </w:r>
      <w:r w:rsidRPr="007344BA">
        <w:rPr>
          <w:rFonts w:asciiTheme="majorHAnsi" w:hAnsiTheme="majorHAnsi"/>
          <w:noProof/>
          <w:sz w:val="18"/>
          <w:szCs w:val="18"/>
        </w:rPr>
        <w:t xml:space="preserve"> </w:t>
      </w:r>
      <w:r w:rsidRPr="007344BA">
        <w:rPr>
          <w:rFonts w:asciiTheme="majorHAnsi" w:hAnsiTheme="majorHAnsi" w:cstheme="majorHAnsi"/>
          <w:b/>
          <w:kern w:val="24"/>
          <w:position w:val="1"/>
          <w:sz w:val="18"/>
          <w:szCs w:val="18"/>
        </w:rPr>
        <w:t>Grupo I: API &gt;45</w:t>
      </w:r>
      <w:r w:rsidRPr="007344BA">
        <w:rPr>
          <w:rFonts w:asciiTheme="majorHAnsi" w:hAnsiTheme="majorHAnsi" w:cstheme="majorHAnsi"/>
          <w:kern w:val="24"/>
          <w:position w:val="1"/>
          <w:sz w:val="18"/>
          <w:szCs w:val="18"/>
        </w:rPr>
        <w:t xml:space="preserve">: e.x. </w:t>
      </w:r>
      <w:r w:rsidRPr="007344BA">
        <w:rPr>
          <w:rFonts w:asciiTheme="majorHAnsi" w:hAnsiTheme="majorHAnsi" w:cstheme="majorHAnsi"/>
          <w:kern w:val="24"/>
          <w:sz w:val="18"/>
          <w:szCs w:val="18"/>
        </w:rPr>
        <w:t xml:space="preserve">Óleo, Condensado; </w:t>
      </w:r>
      <w:r w:rsidRPr="007344BA">
        <w:rPr>
          <w:rFonts w:asciiTheme="majorHAnsi" w:hAnsiTheme="majorHAnsi" w:cstheme="majorHAnsi"/>
          <w:b/>
          <w:kern w:val="24"/>
          <w:position w:val="1"/>
          <w:sz w:val="18"/>
          <w:szCs w:val="18"/>
        </w:rPr>
        <w:t>Grupo II: API 35 – 45</w:t>
      </w:r>
      <w:r w:rsidRPr="007344BA">
        <w:rPr>
          <w:rFonts w:asciiTheme="majorHAnsi" w:hAnsiTheme="majorHAnsi" w:cstheme="majorHAnsi"/>
          <w:kern w:val="24"/>
          <w:position w:val="1"/>
          <w:sz w:val="18"/>
          <w:szCs w:val="18"/>
        </w:rPr>
        <w:t xml:space="preserve">: e.x </w:t>
      </w:r>
      <w:r w:rsidRPr="007344BA">
        <w:rPr>
          <w:rFonts w:asciiTheme="majorHAnsi" w:hAnsiTheme="majorHAnsi" w:cstheme="majorHAnsi"/>
          <w:kern w:val="24"/>
          <w:sz w:val="18"/>
          <w:szCs w:val="18"/>
        </w:rPr>
        <w:t xml:space="preserve">querosene, combustível para aviões, Diesel, Nº 2; </w:t>
      </w:r>
      <w:r w:rsidRPr="007344BA">
        <w:rPr>
          <w:rFonts w:asciiTheme="majorHAnsi" w:hAnsiTheme="majorHAnsi" w:cstheme="majorHAnsi"/>
          <w:b/>
          <w:kern w:val="24"/>
          <w:position w:val="1"/>
          <w:sz w:val="18"/>
          <w:szCs w:val="18"/>
        </w:rPr>
        <w:t>Grupo III: API 17,5 – 35</w:t>
      </w:r>
      <w:r w:rsidRPr="007344BA">
        <w:rPr>
          <w:rFonts w:asciiTheme="majorHAnsi" w:hAnsiTheme="majorHAnsi" w:cstheme="majorHAnsi"/>
          <w:kern w:val="24"/>
          <w:position w:val="1"/>
          <w:sz w:val="18"/>
          <w:szCs w:val="18"/>
        </w:rPr>
        <w:t xml:space="preserve">: e.x. </w:t>
      </w:r>
      <w:r w:rsidRPr="007344BA">
        <w:rPr>
          <w:rFonts w:asciiTheme="majorHAnsi" w:hAnsiTheme="majorHAnsi" w:cstheme="majorHAnsi"/>
          <w:kern w:val="24"/>
          <w:sz w:val="18"/>
          <w:szCs w:val="18"/>
        </w:rPr>
        <w:t xml:space="preserve">Cru médio, IFO; </w:t>
      </w:r>
      <w:r w:rsidRPr="007344BA">
        <w:rPr>
          <w:rFonts w:asciiTheme="majorHAnsi" w:hAnsiTheme="majorHAnsi" w:cstheme="majorHAnsi"/>
          <w:b/>
          <w:kern w:val="24"/>
          <w:position w:val="1"/>
          <w:sz w:val="18"/>
          <w:szCs w:val="18"/>
        </w:rPr>
        <w:t>Grupo IV: API 10 - 17.5</w:t>
      </w:r>
      <w:r w:rsidRPr="007344BA">
        <w:rPr>
          <w:rFonts w:asciiTheme="majorHAnsi" w:hAnsiTheme="majorHAnsi" w:cstheme="majorHAnsi"/>
          <w:kern w:val="24"/>
          <w:position w:val="1"/>
          <w:sz w:val="18"/>
          <w:szCs w:val="18"/>
        </w:rPr>
        <w:t>: e.x. Cru pesado</w:t>
      </w:r>
      <w:r w:rsidRPr="007344BA">
        <w:rPr>
          <w:rFonts w:asciiTheme="majorHAnsi" w:hAnsiTheme="majorHAnsi" w:cstheme="majorHAnsi"/>
          <w:kern w:val="24"/>
          <w:sz w:val="18"/>
          <w:szCs w:val="18"/>
        </w:rPr>
        <w:t xml:space="preserve">, óleo de abastecimento Nº. 6); e </w:t>
      </w:r>
      <w:r w:rsidRPr="007344BA">
        <w:rPr>
          <w:rFonts w:asciiTheme="majorHAnsi" w:hAnsiTheme="majorHAnsi" w:cstheme="majorHAnsi"/>
          <w:b/>
          <w:kern w:val="24"/>
          <w:sz w:val="18"/>
          <w:szCs w:val="18"/>
        </w:rPr>
        <w:t>Grupo V</w:t>
      </w:r>
      <w:r w:rsidRPr="007344BA">
        <w:rPr>
          <w:rFonts w:asciiTheme="majorHAnsi" w:hAnsiTheme="majorHAnsi" w:cstheme="majorHAnsi"/>
          <w:b/>
          <w:kern w:val="24"/>
          <w:position w:val="1"/>
          <w:sz w:val="18"/>
          <w:szCs w:val="18"/>
        </w:rPr>
        <w:t>: API &lt;10</w:t>
      </w:r>
      <w:r w:rsidRPr="007344BA">
        <w:rPr>
          <w:rFonts w:asciiTheme="majorHAnsi" w:hAnsiTheme="majorHAnsi" w:cstheme="majorHAnsi"/>
          <w:kern w:val="24"/>
          <w:position w:val="1"/>
          <w:sz w:val="18"/>
          <w:szCs w:val="18"/>
        </w:rPr>
        <w:t xml:space="preserve">: e </w:t>
      </w:r>
      <w:r w:rsidRPr="007344BA">
        <w:rPr>
          <w:rFonts w:asciiTheme="majorHAnsi" w:hAnsiTheme="majorHAnsi" w:cstheme="majorHAnsi"/>
          <w:kern w:val="24"/>
          <w:sz w:val="18"/>
          <w:szCs w:val="18"/>
        </w:rPr>
        <w:t>óleos residuais, asfalto</w:t>
      </w:r>
      <w:r w:rsidRPr="007344BA">
        <w:rPr>
          <w:rFonts w:asciiTheme="majorHAnsi" w:hAnsiTheme="majorHAnsi"/>
          <w:kern w:val="24"/>
          <w:sz w:val="18"/>
          <w:szCs w:val="18"/>
        </w:rPr>
        <w:t>.</w:t>
      </w:r>
    </w:p>
  </w:footnote>
  <w:footnote w:id="52">
    <w:p w14:paraId="370E8F8C" w14:textId="77777777" w:rsidR="00A70C70" w:rsidRPr="007344BA" w:rsidRDefault="00A70C70" w:rsidP="00CD1FE6">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Santa Lúcia, São Vicente &amp; Granadinas, Barbados e Trinidad &amp; Tobago</w:t>
      </w:r>
      <w:r w:rsidRPr="007344BA">
        <w:rPr>
          <w:rFonts w:asciiTheme="majorHAnsi" w:hAnsiTheme="majorHAnsi"/>
          <w:sz w:val="18"/>
          <w:szCs w:val="18"/>
        </w:rPr>
        <w:t>.</w:t>
      </w:r>
    </w:p>
  </w:footnote>
  <w:footnote w:id="53">
    <w:p w14:paraId="685CF53A" w14:textId="77777777" w:rsidR="00A70C70" w:rsidRPr="007344BA" w:rsidRDefault="00A70C70" w:rsidP="00C4748A">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Caso o incidente não envolva a unidade de perfuração, tendo origem nas embarcações dedicada ou de apoio, o IC Local deverá ser o comandante da mesma, podendo variar sua empresa de origem.</w:t>
      </w:r>
    </w:p>
  </w:footnote>
  <w:footnote w:id="54">
    <w:p w14:paraId="5138A815" w14:textId="77777777" w:rsidR="00A70C70" w:rsidRPr="007344BA" w:rsidRDefault="00A70C70" w:rsidP="00C4748A">
      <w:pPr>
        <w:pStyle w:val="Textodenotaderodap"/>
        <w:rPr>
          <w:rFonts w:asciiTheme="majorHAnsi" w:hAnsiTheme="majorHAnsi"/>
          <w:sz w:val="18"/>
          <w:szCs w:val="18"/>
        </w:rPr>
      </w:pPr>
      <w:r w:rsidRPr="007344BA">
        <w:rPr>
          <w:rStyle w:val="Refdenotaderodap"/>
          <w:rFonts w:asciiTheme="majorHAnsi" w:hAnsiTheme="majorHAnsi"/>
          <w:sz w:val="18"/>
          <w:szCs w:val="18"/>
        </w:rPr>
        <w:footnoteRef/>
      </w:r>
      <w:r w:rsidRPr="007344BA">
        <w:rPr>
          <w:rFonts w:asciiTheme="majorHAnsi" w:hAnsiTheme="majorHAnsi"/>
          <w:sz w:val="18"/>
          <w:szCs w:val="18"/>
        </w:rPr>
        <w:t xml:space="preserve"> Na ocorrência de incidentes que demandem o acionamento da IMT, o Comandante do Incidente passa a ser o responsável técnico pela execução do Plano de Emergência Individual (PEI) da instalação.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8A217B" w14:textId="77777777" w:rsidR="00A70C70" w:rsidRDefault="00A70C70">
    <w:pPr>
      <w:pStyle w:val="Cabealho"/>
    </w:pPr>
    <w:r>
      <w:rPr>
        <w:noProof/>
        <w:lang w:val="en-US" w:eastAsia="en-US"/>
      </w:rPr>
      <w:drawing>
        <wp:anchor distT="0" distB="0" distL="114300" distR="114300" simplePos="0" relativeHeight="251661312" behindDoc="1" locked="0" layoutInCell="1" allowOverlap="1" wp14:anchorId="5D257718" wp14:editId="0156AF23">
          <wp:simplePos x="0" y="0"/>
          <wp:positionH relativeFrom="column">
            <wp:posOffset>-930910</wp:posOffset>
          </wp:positionH>
          <wp:positionV relativeFrom="paragraph">
            <wp:posOffset>-469265</wp:posOffset>
          </wp:positionV>
          <wp:extent cx="7794625" cy="10727690"/>
          <wp:effectExtent l="0" t="0" r="0" b="0"/>
          <wp:wrapNone/>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94625" cy="1072769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comgrade"/>
      <w:tblW w:w="5000" w:type="pct"/>
      <w:jc w:val="center"/>
      <w:tblBorders>
        <w:top w:val="none" w:sz="0" w:space="0" w:color="auto"/>
        <w:left w:val="none" w:sz="0" w:space="0" w:color="auto"/>
        <w:bottom w:val="single" w:sz="36" w:space="0" w:color="009E49"/>
        <w:right w:val="none" w:sz="0" w:space="0" w:color="auto"/>
        <w:insideH w:val="none" w:sz="0" w:space="0" w:color="auto"/>
        <w:insideV w:val="none" w:sz="0" w:space="0" w:color="auto"/>
      </w:tblBorders>
      <w:tblLook w:val="04A0" w:firstRow="1" w:lastRow="0" w:firstColumn="1" w:lastColumn="0" w:noHBand="0" w:noVBand="1"/>
    </w:tblPr>
    <w:tblGrid>
      <w:gridCol w:w="3282"/>
      <w:gridCol w:w="5744"/>
      <w:gridCol w:w="4977"/>
    </w:tblGrid>
    <w:tr w:rsidR="00A70C70" w:rsidRPr="00B366A0" w14:paraId="1C5AD903" w14:textId="77777777" w:rsidTr="00E13E52">
      <w:trPr>
        <w:trHeight w:val="845"/>
        <w:jc w:val="center"/>
      </w:trPr>
      <w:tc>
        <w:tcPr>
          <w:tcW w:w="1172" w:type="pct"/>
          <w:tcBorders>
            <w:bottom w:val="single" w:sz="18" w:space="0" w:color="009E49"/>
          </w:tcBorders>
          <w:vAlign w:val="center"/>
        </w:tcPr>
        <w:p w14:paraId="2A744AF9" w14:textId="77777777" w:rsidR="00A70C70" w:rsidRPr="00CE3601" w:rsidRDefault="00A70C70" w:rsidP="00C3335E">
          <w:pPr>
            <w:pStyle w:val="Cabealho"/>
            <w:tabs>
              <w:tab w:val="center" w:pos="4357"/>
              <w:tab w:val="right" w:pos="9720"/>
            </w:tabs>
            <w:spacing w:before="0"/>
            <w:jc w:val="center"/>
            <w:rPr>
              <w:rFonts w:ascii="Cambria" w:hAnsi="Cambria"/>
            </w:rPr>
          </w:pPr>
          <w:r>
            <w:rPr>
              <w:noProof/>
              <w:sz w:val="16"/>
              <w:szCs w:val="16"/>
              <w:lang w:val="en-US"/>
            </w:rPr>
            <w:drawing>
              <wp:inline distT="0" distB="0" distL="0" distR="0" wp14:anchorId="53134451" wp14:editId="2530C75F">
                <wp:extent cx="380852" cy="548640"/>
                <wp:effectExtent l="0" t="0" r="635" b="3810"/>
                <wp:docPr id="1073742132" name="Imagem 107374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c>
        <w:tcPr>
          <w:tcW w:w="2051" w:type="pct"/>
          <w:tcBorders>
            <w:bottom w:val="single" w:sz="18" w:space="0" w:color="009E49"/>
          </w:tcBorders>
          <w:vAlign w:val="center"/>
        </w:tcPr>
        <w:p w14:paraId="4A6CF49E" w14:textId="77777777" w:rsidR="00A70C70" w:rsidRPr="0085655D" w:rsidRDefault="00A70C70" w:rsidP="00C3335E">
          <w:pPr>
            <w:pStyle w:val="Cabealho"/>
            <w:tabs>
              <w:tab w:val="center" w:pos="4357"/>
              <w:tab w:val="right" w:pos="9720"/>
            </w:tabs>
            <w:spacing w:before="0"/>
            <w:jc w:val="center"/>
            <w:rPr>
              <w:rFonts w:asciiTheme="majorHAnsi" w:hAnsiTheme="majorHAnsi"/>
              <w:sz w:val="18"/>
            </w:rPr>
          </w:pPr>
          <w:r w:rsidRPr="0085655D">
            <w:rPr>
              <w:rFonts w:asciiTheme="majorHAnsi" w:hAnsiTheme="majorHAnsi"/>
              <w:sz w:val="18"/>
            </w:rPr>
            <w:t>Plano de Emergência Individual</w:t>
          </w:r>
        </w:p>
        <w:p w14:paraId="50F13A26" w14:textId="2C59748B" w:rsidR="00A70C70" w:rsidRPr="0085655D" w:rsidRDefault="00A70C70" w:rsidP="00C3335E">
          <w:pPr>
            <w:pStyle w:val="Cabealho"/>
            <w:tabs>
              <w:tab w:val="center" w:pos="4357"/>
              <w:tab w:val="right" w:pos="9720"/>
            </w:tabs>
            <w:spacing w:before="0"/>
            <w:jc w:val="center"/>
            <w:rPr>
              <w:rFonts w:asciiTheme="majorHAnsi" w:hAnsiTheme="majorHAnsi"/>
              <w:sz w:val="18"/>
            </w:rPr>
          </w:pPr>
          <w:r>
            <w:rPr>
              <w:rFonts w:asciiTheme="majorHAnsi" w:hAnsiTheme="majorHAnsi"/>
              <w:sz w:val="18"/>
            </w:rPr>
            <w:t xml:space="preserve">ENSCO DS-9 </w:t>
          </w:r>
          <w:r>
            <w:rPr>
              <w:rFonts w:asciiTheme="majorHAnsi" w:hAnsiTheme="majorHAnsi"/>
              <w:sz w:val="18"/>
            </w:rPr>
            <w:sym w:font="Symbol" w:char="F02D"/>
          </w:r>
          <w:r>
            <w:rPr>
              <w:rFonts w:asciiTheme="majorHAnsi" w:hAnsiTheme="majorHAnsi"/>
              <w:sz w:val="18"/>
            </w:rPr>
            <w:t xml:space="preserve"> </w:t>
          </w:r>
          <w:r w:rsidRPr="0085655D">
            <w:rPr>
              <w:rFonts w:asciiTheme="majorHAnsi" w:hAnsiTheme="majorHAnsi"/>
              <w:sz w:val="18"/>
            </w:rPr>
            <w:t xml:space="preserve">Bloco FZA-M-59 </w:t>
          </w:r>
          <w:r>
            <w:rPr>
              <w:rFonts w:asciiTheme="majorHAnsi" w:hAnsiTheme="majorHAnsi"/>
              <w:sz w:val="18"/>
            </w:rPr>
            <w:t>–</w:t>
          </w:r>
          <w:r w:rsidRPr="0085655D">
            <w:rPr>
              <w:rFonts w:asciiTheme="majorHAnsi" w:hAnsiTheme="majorHAnsi"/>
              <w:sz w:val="18"/>
            </w:rPr>
            <w:t xml:space="preserve"> Bacia da Foz do Amazonas</w:t>
          </w:r>
        </w:p>
      </w:tc>
      <w:tc>
        <w:tcPr>
          <w:tcW w:w="1777" w:type="pct"/>
          <w:tcBorders>
            <w:bottom w:val="single" w:sz="18" w:space="0" w:color="009E49"/>
          </w:tcBorders>
          <w:vAlign w:val="center"/>
        </w:tcPr>
        <w:p w14:paraId="51509B18" w14:textId="77777777" w:rsidR="00A70C70" w:rsidRPr="00807DBA" w:rsidRDefault="00A70C70" w:rsidP="00C3335E">
          <w:pPr>
            <w:pStyle w:val="Cabealho"/>
            <w:tabs>
              <w:tab w:val="right" w:pos="9720"/>
            </w:tabs>
            <w:spacing w:before="0"/>
            <w:ind w:right="-144"/>
            <w:jc w:val="center"/>
            <w:rPr>
              <w:rFonts w:ascii="Cambria" w:hAnsi="Cambria"/>
              <w:i/>
              <w:noProof/>
            </w:rPr>
          </w:pPr>
          <w:r w:rsidRPr="00BC71EA">
            <w:rPr>
              <w:rFonts w:ascii="Cambria" w:hAnsi="Cambria"/>
              <w:noProof/>
              <w:lang w:val="en-US"/>
            </w:rPr>
            <w:drawing>
              <wp:inline distT="0" distB="0" distL="0" distR="0" wp14:anchorId="5B5D4939" wp14:editId="24CEF503">
                <wp:extent cx="1627504" cy="310262"/>
                <wp:effectExtent l="0" t="0" r="0" b="0"/>
                <wp:docPr id="1073742133" name="Imagem 1073742133"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8339" cy="318047"/>
                        </a:xfrm>
                        <a:prstGeom prst="rect">
                          <a:avLst/>
                        </a:prstGeom>
                        <a:noFill/>
                      </pic:spPr>
                    </pic:pic>
                  </a:graphicData>
                </a:graphic>
              </wp:inline>
            </w:drawing>
          </w:r>
        </w:p>
      </w:tc>
    </w:tr>
  </w:tbl>
  <w:p w14:paraId="64441424" w14:textId="77777777" w:rsidR="00A70C70" w:rsidRPr="00807DBA" w:rsidRDefault="00A70C70" w:rsidP="00953C7D">
    <w:pPr>
      <w:pStyle w:val="Cabealho"/>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comgrade"/>
      <w:tblW w:w="5000" w:type="pct"/>
      <w:jc w:val="center"/>
      <w:tblBorders>
        <w:top w:val="none" w:sz="0" w:space="0" w:color="auto"/>
        <w:left w:val="none" w:sz="0" w:space="0" w:color="auto"/>
        <w:bottom w:val="single" w:sz="36" w:space="0" w:color="009E49"/>
        <w:right w:val="none" w:sz="0" w:space="0" w:color="auto"/>
        <w:insideH w:val="none" w:sz="0" w:space="0" w:color="auto"/>
        <w:insideV w:val="none" w:sz="0" w:space="0" w:color="auto"/>
      </w:tblBorders>
      <w:tblLook w:val="04A0" w:firstRow="1" w:lastRow="0" w:firstColumn="1" w:lastColumn="0" w:noHBand="0" w:noVBand="1"/>
    </w:tblPr>
    <w:tblGrid>
      <w:gridCol w:w="3333"/>
      <w:gridCol w:w="5833"/>
      <w:gridCol w:w="5053"/>
    </w:tblGrid>
    <w:tr w:rsidR="00A70C70" w:rsidRPr="00B366A0" w14:paraId="67DA4738" w14:textId="77777777" w:rsidTr="00E13E52">
      <w:trPr>
        <w:trHeight w:val="845"/>
        <w:jc w:val="center"/>
      </w:trPr>
      <w:tc>
        <w:tcPr>
          <w:tcW w:w="1172" w:type="pct"/>
          <w:tcBorders>
            <w:bottom w:val="single" w:sz="18" w:space="0" w:color="009E49"/>
          </w:tcBorders>
          <w:vAlign w:val="center"/>
        </w:tcPr>
        <w:p w14:paraId="55FB686E" w14:textId="77777777" w:rsidR="00A70C70" w:rsidRPr="00CE3601" w:rsidRDefault="00A70C70" w:rsidP="00FC10A8">
          <w:pPr>
            <w:pStyle w:val="Cabealho"/>
            <w:tabs>
              <w:tab w:val="center" w:pos="4357"/>
              <w:tab w:val="right" w:pos="9720"/>
            </w:tabs>
            <w:spacing w:before="240" w:after="120"/>
            <w:jc w:val="center"/>
            <w:rPr>
              <w:rFonts w:ascii="Cambria" w:hAnsi="Cambria"/>
            </w:rPr>
          </w:pPr>
          <w:r>
            <w:rPr>
              <w:noProof/>
              <w:sz w:val="16"/>
              <w:szCs w:val="16"/>
              <w:lang w:val="en-US"/>
            </w:rPr>
            <w:drawing>
              <wp:inline distT="0" distB="0" distL="0" distR="0" wp14:anchorId="3BAD1A5C" wp14:editId="7AD90573">
                <wp:extent cx="380852" cy="548640"/>
                <wp:effectExtent l="0" t="0" r="635" b="3810"/>
                <wp:docPr id="1073742135" name="Imagem 107374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c>
        <w:tcPr>
          <w:tcW w:w="2051" w:type="pct"/>
          <w:tcBorders>
            <w:bottom w:val="single" w:sz="18" w:space="0" w:color="009E49"/>
          </w:tcBorders>
          <w:vAlign w:val="center"/>
        </w:tcPr>
        <w:p w14:paraId="28E2291E" w14:textId="77777777" w:rsidR="00A70C70" w:rsidRPr="0085655D" w:rsidRDefault="00A70C70" w:rsidP="00FC10A8">
          <w:pPr>
            <w:pStyle w:val="Cabealho"/>
            <w:tabs>
              <w:tab w:val="center" w:pos="4357"/>
              <w:tab w:val="right" w:pos="9720"/>
            </w:tabs>
            <w:spacing w:after="120"/>
            <w:jc w:val="center"/>
            <w:rPr>
              <w:rFonts w:asciiTheme="majorHAnsi" w:hAnsiTheme="majorHAnsi"/>
              <w:sz w:val="18"/>
            </w:rPr>
          </w:pPr>
          <w:r w:rsidRPr="0085655D">
            <w:rPr>
              <w:rFonts w:asciiTheme="majorHAnsi" w:hAnsiTheme="majorHAnsi"/>
              <w:sz w:val="18"/>
            </w:rPr>
            <w:t>Plano de Emergência Individual</w:t>
          </w:r>
        </w:p>
        <w:p w14:paraId="07501F9F" w14:textId="77777777" w:rsidR="00A70C70" w:rsidRPr="0085655D" w:rsidRDefault="00A70C70" w:rsidP="00FC10A8">
          <w:pPr>
            <w:pStyle w:val="Cabealho"/>
            <w:tabs>
              <w:tab w:val="center" w:pos="4357"/>
              <w:tab w:val="right" w:pos="9720"/>
            </w:tabs>
            <w:spacing w:before="60" w:after="60"/>
            <w:jc w:val="center"/>
            <w:rPr>
              <w:rFonts w:asciiTheme="majorHAnsi" w:hAnsiTheme="majorHAnsi"/>
              <w:sz w:val="18"/>
            </w:rPr>
          </w:pPr>
          <w:r w:rsidRPr="0085655D">
            <w:rPr>
              <w:rFonts w:asciiTheme="majorHAnsi" w:hAnsiTheme="majorHAnsi"/>
              <w:sz w:val="18"/>
            </w:rPr>
            <w:t xml:space="preserve">Bloco FZA-M-59 </w:t>
          </w:r>
          <w:r>
            <w:rPr>
              <w:rFonts w:asciiTheme="majorHAnsi" w:hAnsiTheme="majorHAnsi"/>
              <w:sz w:val="18"/>
            </w:rPr>
            <w:t>–</w:t>
          </w:r>
          <w:r w:rsidRPr="0085655D">
            <w:rPr>
              <w:rFonts w:asciiTheme="majorHAnsi" w:hAnsiTheme="majorHAnsi"/>
              <w:sz w:val="18"/>
            </w:rPr>
            <w:t xml:space="preserve"> Bacia da Foz do Amazonas</w:t>
          </w:r>
        </w:p>
      </w:tc>
      <w:tc>
        <w:tcPr>
          <w:tcW w:w="1777" w:type="pct"/>
          <w:tcBorders>
            <w:bottom w:val="single" w:sz="18" w:space="0" w:color="009E49"/>
          </w:tcBorders>
          <w:vAlign w:val="center"/>
        </w:tcPr>
        <w:p w14:paraId="27D9C153" w14:textId="77777777" w:rsidR="00A70C70" w:rsidRPr="00807DBA" w:rsidRDefault="00A70C70" w:rsidP="00FC10A8">
          <w:pPr>
            <w:pStyle w:val="Cabealho"/>
            <w:tabs>
              <w:tab w:val="right" w:pos="9720"/>
            </w:tabs>
            <w:spacing w:after="120"/>
            <w:ind w:right="-144"/>
            <w:jc w:val="center"/>
            <w:rPr>
              <w:rFonts w:ascii="Cambria" w:hAnsi="Cambria"/>
              <w:i/>
              <w:noProof/>
            </w:rPr>
          </w:pPr>
          <w:r w:rsidRPr="00BC71EA">
            <w:rPr>
              <w:rFonts w:ascii="Cambria" w:hAnsi="Cambria"/>
              <w:noProof/>
              <w:lang w:val="en-US"/>
            </w:rPr>
            <w:drawing>
              <wp:inline distT="0" distB="0" distL="0" distR="0" wp14:anchorId="72B2F84C" wp14:editId="56EC6EA0">
                <wp:extent cx="1627504" cy="310262"/>
                <wp:effectExtent l="0" t="0" r="0" b="0"/>
                <wp:docPr id="1073742136" name="Imagem 1073742136"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8339" cy="318047"/>
                        </a:xfrm>
                        <a:prstGeom prst="rect">
                          <a:avLst/>
                        </a:prstGeom>
                        <a:noFill/>
                      </pic:spPr>
                    </pic:pic>
                  </a:graphicData>
                </a:graphic>
              </wp:inline>
            </w:drawing>
          </w:r>
        </w:p>
      </w:tc>
    </w:tr>
  </w:tbl>
  <w:p w14:paraId="3BEB26C8" w14:textId="77777777" w:rsidR="00A70C70" w:rsidRDefault="00A70C70" w:rsidP="00953C7D">
    <w:pPr>
      <w:pStyle w:val="Cabealho"/>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bottom w:val="single" w:sz="18" w:space="0" w:color="009E49"/>
      </w:tblBorders>
      <w:tblLook w:val="04A0" w:firstRow="1" w:lastRow="0" w:firstColumn="1" w:lastColumn="0" w:noHBand="0" w:noVBand="1"/>
    </w:tblPr>
    <w:tblGrid>
      <w:gridCol w:w="4470"/>
      <w:gridCol w:w="4816"/>
    </w:tblGrid>
    <w:tr w:rsidR="00A70C70" w:rsidRPr="00376EE0" w14:paraId="2A515EB9" w14:textId="77777777" w:rsidTr="0000172F">
      <w:trPr>
        <w:trHeight w:val="845"/>
      </w:trPr>
      <w:tc>
        <w:tcPr>
          <w:tcW w:w="2407" w:type="pct"/>
          <w:vAlign w:val="center"/>
        </w:tcPr>
        <w:p w14:paraId="5B27CF6C" w14:textId="77777777" w:rsidR="00A70C70" w:rsidRPr="00EE37BA" w:rsidRDefault="00A70C70" w:rsidP="0000172F">
          <w:pPr>
            <w:pStyle w:val="Cabealho"/>
            <w:tabs>
              <w:tab w:val="center" w:pos="4357"/>
              <w:tab w:val="right" w:pos="9720"/>
            </w:tabs>
            <w:spacing w:after="120"/>
          </w:pPr>
          <w:r w:rsidRPr="00EE37BA">
            <w:rPr>
              <w:noProof/>
              <w:lang w:val="en-US" w:eastAsia="en-US"/>
            </w:rPr>
            <w:drawing>
              <wp:inline distT="0" distB="0" distL="0" distR="0" wp14:anchorId="475CC312" wp14:editId="4CB4664D">
                <wp:extent cx="2265045" cy="431800"/>
                <wp:effectExtent l="0" t="0" r="1905" b="6350"/>
                <wp:docPr id="1073742137" name="Imagem 1073742137"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65045" cy="431800"/>
                        </a:xfrm>
                        <a:prstGeom prst="rect">
                          <a:avLst/>
                        </a:prstGeom>
                        <a:noFill/>
                      </pic:spPr>
                    </pic:pic>
                  </a:graphicData>
                </a:graphic>
              </wp:inline>
            </w:drawing>
          </w:r>
        </w:p>
      </w:tc>
      <w:tc>
        <w:tcPr>
          <w:tcW w:w="2593" w:type="pct"/>
          <w:vAlign w:val="center"/>
        </w:tcPr>
        <w:p w14:paraId="214D375B" w14:textId="77777777" w:rsidR="00A70C70" w:rsidRPr="00EE37BA" w:rsidRDefault="00A70C70" w:rsidP="0000172F">
          <w:pPr>
            <w:pStyle w:val="Cabealho"/>
            <w:tabs>
              <w:tab w:val="right" w:pos="9720"/>
            </w:tabs>
            <w:spacing w:before="240" w:after="120"/>
            <w:jc w:val="right"/>
            <w:rPr>
              <w:i/>
              <w:noProof/>
            </w:rPr>
          </w:pPr>
          <w:r w:rsidRPr="00EE37BA">
            <w:t xml:space="preserve">Plano de Emergência Individual - Bloco </w:t>
          </w:r>
          <w:r>
            <w:t>FZA-M-90</w:t>
          </w:r>
          <w:r w:rsidRPr="00EE37BA">
            <w:t xml:space="preserve"> - Bacia da Foz do Amazonas</w:t>
          </w:r>
        </w:p>
      </w:tc>
    </w:tr>
  </w:tbl>
  <w:p w14:paraId="0EABAFAF" w14:textId="77777777" w:rsidR="00A70C70" w:rsidRPr="00EE37BA" w:rsidRDefault="00A70C70" w:rsidP="0000172F">
    <w:pPr>
      <w:pStyle w:val="Cabealho"/>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comgrade"/>
      <w:tblW w:w="5000" w:type="pct"/>
      <w:jc w:val="center"/>
      <w:tblBorders>
        <w:top w:val="none" w:sz="0" w:space="0" w:color="auto"/>
        <w:left w:val="none" w:sz="0" w:space="0" w:color="auto"/>
        <w:bottom w:val="single" w:sz="36" w:space="0" w:color="009E49"/>
        <w:right w:val="none" w:sz="0" w:space="0" w:color="auto"/>
        <w:insideH w:val="none" w:sz="0" w:space="0" w:color="auto"/>
        <w:insideV w:val="none" w:sz="0" w:space="0" w:color="auto"/>
      </w:tblBorders>
      <w:tblLook w:val="04A0" w:firstRow="1" w:lastRow="0" w:firstColumn="1" w:lastColumn="0" w:noHBand="0" w:noVBand="1"/>
    </w:tblPr>
    <w:tblGrid>
      <w:gridCol w:w="2126"/>
      <w:gridCol w:w="3721"/>
      <w:gridCol w:w="3223"/>
    </w:tblGrid>
    <w:tr w:rsidR="00A70C70" w:rsidRPr="00B366A0" w14:paraId="3B0C071C" w14:textId="77777777" w:rsidTr="00E13E52">
      <w:trPr>
        <w:trHeight w:val="845"/>
        <w:jc w:val="center"/>
      </w:trPr>
      <w:tc>
        <w:tcPr>
          <w:tcW w:w="1172" w:type="pct"/>
          <w:tcBorders>
            <w:bottom w:val="single" w:sz="18" w:space="0" w:color="009E49"/>
          </w:tcBorders>
          <w:vAlign w:val="center"/>
        </w:tcPr>
        <w:p w14:paraId="15D8FEF7" w14:textId="77777777" w:rsidR="00A70C70" w:rsidRPr="00CE3601" w:rsidRDefault="00A70C70" w:rsidP="00C3335E">
          <w:pPr>
            <w:pStyle w:val="Cabealho"/>
            <w:tabs>
              <w:tab w:val="center" w:pos="4357"/>
              <w:tab w:val="right" w:pos="9720"/>
            </w:tabs>
            <w:spacing w:before="0"/>
            <w:jc w:val="center"/>
            <w:rPr>
              <w:rFonts w:ascii="Cambria" w:hAnsi="Cambria"/>
            </w:rPr>
          </w:pPr>
          <w:r>
            <w:rPr>
              <w:noProof/>
              <w:sz w:val="16"/>
              <w:szCs w:val="16"/>
              <w:lang w:val="en-US"/>
            </w:rPr>
            <w:drawing>
              <wp:inline distT="0" distB="0" distL="0" distR="0" wp14:anchorId="3FC56CDE" wp14:editId="13EE52C6">
                <wp:extent cx="380852" cy="548640"/>
                <wp:effectExtent l="0" t="0" r="635" b="3810"/>
                <wp:docPr id="1073742138" name="Imagem 107374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c>
        <w:tcPr>
          <w:tcW w:w="2051" w:type="pct"/>
          <w:tcBorders>
            <w:bottom w:val="single" w:sz="18" w:space="0" w:color="009E49"/>
          </w:tcBorders>
          <w:vAlign w:val="center"/>
        </w:tcPr>
        <w:p w14:paraId="40BA0F7D" w14:textId="77777777" w:rsidR="00A70C70" w:rsidRPr="0085655D" w:rsidRDefault="00A70C70" w:rsidP="00C3335E">
          <w:pPr>
            <w:pStyle w:val="Cabealho"/>
            <w:tabs>
              <w:tab w:val="center" w:pos="4357"/>
              <w:tab w:val="right" w:pos="9720"/>
            </w:tabs>
            <w:spacing w:before="0"/>
            <w:jc w:val="center"/>
            <w:rPr>
              <w:rFonts w:asciiTheme="majorHAnsi" w:hAnsiTheme="majorHAnsi"/>
              <w:sz w:val="18"/>
            </w:rPr>
          </w:pPr>
          <w:r w:rsidRPr="0085655D">
            <w:rPr>
              <w:rFonts w:asciiTheme="majorHAnsi" w:hAnsiTheme="majorHAnsi"/>
              <w:sz w:val="18"/>
            </w:rPr>
            <w:t>Plano de Emergência Individual</w:t>
          </w:r>
        </w:p>
        <w:p w14:paraId="3CF10C5F" w14:textId="375F3DAC" w:rsidR="00A70C70" w:rsidRPr="0085655D" w:rsidRDefault="00A70C70" w:rsidP="00C3335E">
          <w:pPr>
            <w:pStyle w:val="Cabealho"/>
            <w:tabs>
              <w:tab w:val="center" w:pos="4357"/>
              <w:tab w:val="right" w:pos="9720"/>
            </w:tabs>
            <w:spacing w:before="0"/>
            <w:jc w:val="center"/>
            <w:rPr>
              <w:rFonts w:asciiTheme="majorHAnsi" w:hAnsiTheme="majorHAnsi"/>
              <w:sz w:val="18"/>
            </w:rPr>
          </w:pPr>
          <w:r>
            <w:rPr>
              <w:rFonts w:asciiTheme="majorHAnsi" w:hAnsiTheme="majorHAnsi"/>
              <w:sz w:val="18"/>
            </w:rPr>
            <w:t xml:space="preserve">ENSCO DS-9 </w:t>
          </w:r>
          <w:r>
            <w:rPr>
              <w:rFonts w:asciiTheme="majorHAnsi" w:hAnsiTheme="majorHAnsi"/>
              <w:sz w:val="18"/>
            </w:rPr>
            <w:sym w:font="Symbol" w:char="F02D"/>
          </w:r>
          <w:r>
            <w:rPr>
              <w:rFonts w:asciiTheme="majorHAnsi" w:hAnsiTheme="majorHAnsi"/>
              <w:sz w:val="18"/>
            </w:rPr>
            <w:t xml:space="preserve"> </w:t>
          </w:r>
          <w:r w:rsidRPr="0085655D">
            <w:rPr>
              <w:rFonts w:asciiTheme="majorHAnsi" w:hAnsiTheme="majorHAnsi"/>
              <w:sz w:val="18"/>
            </w:rPr>
            <w:t xml:space="preserve">Bloco FZA-M-59 </w:t>
          </w:r>
          <w:r>
            <w:rPr>
              <w:rFonts w:asciiTheme="majorHAnsi" w:hAnsiTheme="majorHAnsi"/>
              <w:sz w:val="18"/>
            </w:rPr>
            <w:t>–</w:t>
          </w:r>
          <w:r w:rsidRPr="0085655D">
            <w:rPr>
              <w:rFonts w:asciiTheme="majorHAnsi" w:hAnsiTheme="majorHAnsi"/>
              <w:sz w:val="18"/>
            </w:rPr>
            <w:t xml:space="preserve"> Bacia da Foz do Amazonas</w:t>
          </w:r>
        </w:p>
      </w:tc>
      <w:tc>
        <w:tcPr>
          <w:tcW w:w="1777" w:type="pct"/>
          <w:tcBorders>
            <w:bottom w:val="single" w:sz="18" w:space="0" w:color="009E49"/>
          </w:tcBorders>
          <w:vAlign w:val="center"/>
        </w:tcPr>
        <w:p w14:paraId="067469D0" w14:textId="77777777" w:rsidR="00A70C70" w:rsidRPr="00807DBA" w:rsidRDefault="00A70C70" w:rsidP="00C3335E">
          <w:pPr>
            <w:pStyle w:val="Cabealho"/>
            <w:tabs>
              <w:tab w:val="right" w:pos="9720"/>
            </w:tabs>
            <w:spacing w:before="0"/>
            <w:ind w:right="-144"/>
            <w:jc w:val="center"/>
            <w:rPr>
              <w:rFonts w:ascii="Cambria" w:hAnsi="Cambria"/>
              <w:i/>
              <w:noProof/>
            </w:rPr>
          </w:pPr>
          <w:r w:rsidRPr="00BC71EA">
            <w:rPr>
              <w:rFonts w:ascii="Cambria" w:hAnsi="Cambria"/>
              <w:noProof/>
              <w:lang w:val="en-US"/>
            </w:rPr>
            <w:drawing>
              <wp:inline distT="0" distB="0" distL="0" distR="0" wp14:anchorId="38EA2C67" wp14:editId="0AB64749">
                <wp:extent cx="1627504" cy="310262"/>
                <wp:effectExtent l="0" t="0" r="0" b="0"/>
                <wp:docPr id="1073742139" name="Imagem 1073742139"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8339" cy="318047"/>
                        </a:xfrm>
                        <a:prstGeom prst="rect">
                          <a:avLst/>
                        </a:prstGeom>
                        <a:noFill/>
                      </pic:spPr>
                    </pic:pic>
                  </a:graphicData>
                </a:graphic>
              </wp:inline>
            </w:drawing>
          </w:r>
        </w:p>
      </w:tc>
    </w:tr>
  </w:tbl>
  <w:p w14:paraId="5779A000" w14:textId="77777777" w:rsidR="00A70C70" w:rsidRPr="00807DBA" w:rsidRDefault="00A70C70" w:rsidP="00953C7D">
    <w:pPr>
      <w:pStyle w:val="Cabealho"/>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comgrade"/>
      <w:tblW w:w="5000" w:type="pct"/>
      <w:jc w:val="center"/>
      <w:tblBorders>
        <w:top w:val="none" w:sz="0" w:space="0" w:color="auto"/>
        <w:left w:val="none" w:sz="0" w:space="0" w:color="auto"/>
        <w:bottom w:val="single" w:sz="36" w:space="0" w:color="009E49"/>
        <w:right w:val="none" w:sz="0" w:space="0" w:color="auto"/>
        <w:insideH w:val="none" w:sz="0" w:space="0" w:color="auto"/>
        <w:insideV w:val="none" w:sz="0" w:space="0" w:color="auto"/>
      </w:tblBorders>
      <w:tblLook w:val="04A0" w:firstRow="1" w:lastRow="0" w:firstColumn="1" w:lastColumn="0" w:noHBand="0" w:noVBand="1"/>
    </w:tblPr>
    <w:tblGrid>
      <w:gridCol w:w="3282"/>
      <w:gridCol w:w="5744"/>
      <w:gridCol w:w="4977"/>
    </w:tblGrid>
    <w:tr w:rsidR="00A70C70" w:rsidRPr="00B366A0" w14:paraId="1EE59A02" w14:textId="77777777" w:rsidTr="008E2BBA">
      <w:trPr>
        <w:trHeight w:val="845"/>
        <w:jc w:val="center"/>
      </w:trPr>
      <w:tc>
        <w:tcPr>
          <w:tcW w:w="1172" w:type="pct"/>
          <w:tcBorders>
            <w:bottom w:val="single" w:sz="18" w:space="0" w:color="009E49"/>
          </w:tcBorders>
          <w:vAlign w:val="center"/>
        </w:tcPr>
        <w:p w14:paraId="3954EF8A" w14:textId="77777777" w:rsidR="00A70C70" w:rsidRPr="00CE3601" w:rsidRDefault="00A70C70" w:rsidP="00C3335E">
          <w:pPr>
            <w:pStyle w:val="Cabealho"/>
            <w:tabs>
              <w:tab w:val="center" w:pos="4357"/>
              <w:tab w:val="right" w:pos="9720"/>
            </w:tabs>
            <w:spacing w:before="0"/>
            <w:jc w:val="center"/>
            <w:rPr>
              <w:rFonts w:ascii="Cambria" w:hAnsi="Cambria"/>
            </w:rPr>
          </w:pPr>
          <w:r>
            <w:rPr>
              <w:noProof/>
              <w:sz w:val="16"/>
              <w:szCs w:val="16"/>
              <w:lang w:val="en-US"/>
            </w:rPr>
            <w:drawing>
              <wp:inline distT="0" distB="0" distL="0" distR="0" wp14:anchorId="74774A86" wp14:editId="1F72DFE2">
                <wp:extent cx="380852" cy="548640"/>
                <wp:effectExtent l="0" t="0" r="635" b="3810"/>
                <wp:docPr id="1073742143" name="Imagem 107374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c>
        <w:tcPr>
          <w:tcW w:w="2051" w:type="pct"/>
          <w:tcBorders>
            <w:bottom w:val="single" w:sz="18" w:space="0" w:color="009E49"/>
          </w:tcBorders>
          <w:vAlign w:val="center"/>
        </w:tcPr>
        <w:p w14:paraId="0A765AC0" w14:textId="77777777" w:rsidR="00A70C70" w:rsidRPr="0085655D" w:rsidRDefault="00A70C70" w:rsidP="00C3335E">
          <w:pPr>
            <w:pStyle w:val="Cabealho"/>
            <w:tabs>
              <w:tab w:val="center" w:pos="4357"/>
              <w:tab w:val="right" w:pos="9720"/>
            </w:tabs>
            <w:spacing w:before="0"/>
            <w:jc w:val="center"/>
            <w:rPr>
              <w:rFonts w:asciiTheme="majorHAnsi" w:hAnsiTheme="majorHAnsi"/>
              <w:sz w:val="18"/>
            </w:rPr>
          </w:pPr>
          <w:r w:rsidRPr="0085655D">
            <w:rPr>
              <w:rFonts w:asciiTheme="majorHAnsi" w:hAnsiTheme="majorHAnsi"/>
              <w:sz w:val="18"/>
            </w:rPr>
            <w:t>Plano de Emergência Individual</w:t>
          </w:r>
        </w:p>
        <w:p w14:paraId="79843483" w14:textId="6D6C03A8" w:rsidR="00A70C70" w:rsidRPr="0085655D" w:rsidRDefault="00A70C70" w:rsidP="00C3335E">
          <w:pPr>
            <w:pStyle w:val="Cabealho"/>
            <w:tabs>
              <w:tab w:val="center" w:pos="4357"/>
              <w:tab w:val="right" w:pos="9720"/>
            </w:tabs>
            <w:spacing w:before="0"/>
            <w:jc w:val="center"/>
            <w:rPr>
              <w:rFonts w:asciiTheme="majorHAnsi" w:hAnsiTheme="majorHAnsi"/>
              <w:sz w:val="18"/>
            </w:rPr>
          </w:pPr>
          <w:r>
            <w:rPr>
              <w:rFonts w:asciiTheme="majorHAnsi" w:hAnsiTheme="majorHAnsi"/>
              <w:sz w:val="18"/>
            </w:rPr>
            <w:t xml:space="preserve">ENSCO DS-9 </w:t>
          </w:r>
          <w:r>
            <w:rPr>
              <w:rFonts w:asciiTheme="majorHAnsi" w:hAnsiTheme="majorHAnsi"/>
              <w:sz w:val="18"/>
            </w:rPr>
            <w:sym w:font="Symbol" w:char="F02D"/>
          </w:r>
          <w:r>
            <w:rPr>
              <w:rFonts w:asciiTheme="majorHAnsi" w:hAnsiTheme="majorHAnsi"/>
              <w:sz w:val="18"/>
            </w:rPr>
            <w:t xml:space="preserve"> </w:t>
          </w:r>
          <w:r w:rsidRPr="0085655D">
            <w:rPr>
              <w:rFonts w:asciiTheme="majorHAnsi" w:hAnsiTheme="majorHAnsi"/>
              <w:sz w:val="18"/>
            </w:rPr>
            <w:t xml:space="preserve">Bloco FZA-M-59 </w:t>
          </w:r>
          <w:r>
            <w:rPr>
              <w:rFonts w:asciiTheme="majorHAnsi" w:hAnsiTheme="majorHAnsi"/>
              <w:sz w:val="18"/>
            </w:rPr>
            <w:t>–</w:t>
          </w:r>
          <w:r w:rsidRPr="0085655D">
            <w:rPr>
              <w:rFonts w:asciiTheme="majorHAnsi" w:hAnsiTheme="majorHAnsi"/>
              <w:sz w:val="18"/>
            </w:rPr>
            <w:t xml:space="preserve"> Bacia da Foz do Amazonas</w:t>
          </w:r>
        </w:p>
      </w:tc>
      <w:tc>
        <w:tcPr>
          <w:tcW w:w="1777" w:type="pct"/>
          <w:tcBorders>
            <w:bottom w:val="single" w:sz="18" w:space="0" w:color="009E49"/>
          </w:tcBorders>
          <w:vAlign w:val="center"/>
        </w:tcPr>
        <w:p w14:paraId="5FDF91B4" w14:textId="77777777" w:rsidR="00A70C70" w:rsidRPr="00807DBA" w:rsidRDefault="00A70C70" w:rsidP="00C3335E">
          <w:pPr>
            <w:pStyle w:val="Cabealho"/>
            <w:tabs>
              <w:tab w:val="right" w:pos="9720"/>
            </w:tabs>
            <w:spacing w:before="0"/>
            <w:ind w:right="-144"/>
            <w:jc w:val="center"/>
            <w:rPr>
              <w:rFonts w:ascii="Cambria" w:hAnsi="Cambria"/>
              <w:i/>
              <w:noProof/>
            </w:rPr>
          </w:pPr>
          <w:r w:rsidRPr="00BC71EA">
            <w:rPr>
              <w:rFonts w:ascii="Cambria" w:hAnsi="Cambria"/>
              <w:noProof/>
              <w:lang w:val="en-US"/>
            </w:rPr>
            <w:drawing>
              <wp:inline distT="0" distB="0" distL="0" distR="0" wp14:anchorId="1503957B" wp14:editId="458A41E3">
                <wp:extent cx="1627504" cy="310262"/>
                <wp:effectExtent l="0" t="0" r="0" b="0"/>
                <wp:docPr id="1073742144" name="Imagem 1073742144"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8339" cy="318047"/>
                        </a:xfrm>
                        <a:prstGeom prst="rect">
                          <a:avLst/>
                        </a:prstGeom>
                        <a:noFill/>
                      </pic:spPr>
                    </pic:pic>
                  </a:graphicData>
                </a:graphic>
              </wp:inline>
            </w:drawing>
          </w:r>
        </w:p>
      </w:tc>
    </w:tr>
  </w:tbl>
  <w:p w14:paraId="6951FC9D" w14:textId="77777777" w:rsidR="00A70C70" w:rsidRPr="00807DBA" w:rsidRDefault="00A70C70" w:rsidP="008A76B4">
    <w:pPr>
      <w:pStyle w:val="Cabealho"/>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comgrade"/>
      <w:tblW w:w="5000" w:type="pct"/>
      <w:jc w:val="center"/>
      <w:tblBorders>
        <w:top w:val="none" w:sz="0" w:space="0" w:color="auto"/>
        <w:left w:val="none" w:sz="0" w:space="0" w:color="auto"/>
        <w:bottom w:val="single" w:sz="36" w:space="0" w:color="009E49"/>
        <w:right w:val="none" w:sz="0" w:space="0" w:color="auto"/>
        <w:insideH w:val="none" w:sz="0" w:space="0" w:color="auto"/>
        <w:insideV w:val="none" w:sz="0" w:space="0" w:color="auto"/>
      </w:tblBorders>
      <w:tblLook w:val="04A0" w:firstRow="1" w:lastRow="0" w:firstColumn="1" w:lastColumn="0" w:noHBand="0" w:noVBand="1"/>
    </w:tblPr>
    <w:tblGrid>
      <w:gridCol w:w="2126"/>
      <w:gridCol w:w="3721"/>
      <w:gridCol w:w="3223"/>
    </w:tblGrid>
    <w:tr w:rsidR="00A70C70" w:rsidRPr="00B366A0" w14:paraId="7AA6041F" w14:textId="77777777" w:rsidTr="008E2BBA">
      <w:trPr>
        <w:trHeight w:val="845"/>
        <w:jc w:val="center"/>
      </w:trPr>
      <w:tc>
        <w:tcPr>
          <w:tcW w:w="1172" w:type="pct"/>
          <w:tcBorders>
            <w:bottom w:val="single" w:sz="18" w:space="0" w:color="009E49"/>
          </w:tcBorders>
          <w:vAlign w:val="center"/>
        </w:tcPr>
        <w:p w14:paraId="77BB26EA" w14:textId="77777777" w:rsidR="00A70C70" w:rsidRPr="00CE3601" w:rsidRDefault="00A70C70" w:rsidP="00C3335E">
          <w:pPr>
            <w:pStyle w:val="Cabealho"/>
            <w:tabs>
              <w:tab w:val="center" w:pos="4357"/>
              <w:tab w:val="right" w:pos="9720"/>
            </w:tabs>
            <w:spacing w:before="0"/>
            <w:jc w:val="center"/>
            <w:rPr>
              <w:rFonts w:ascii="Cambria" w:hAnsi="Cambria"/>
            </w:rPr>
          </w:pPr>
          <w:r>
            <w:rPr>
              <w:noProof/>
              <w:sz w:val="16"/>
              <w:szCs w:val="16"/>
              <w:lang w:val="en-US"/>
            </w:rPr>
            <w:drawing>
              <wp:inline distT="0" distB="0" distL="0" distR="0" wp14:anchorId="640E6FC3" wp14:editId="18E284ED">
                <wp:extent cx="380852" cy="548640"/>
                <wp:effectExtent l="0" t="0" r="635" b="3810"/>
                <wp:docPr id="1073742145" name="Imagem 107374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c>
        <w:tcPr>
          <w:tcW w:w="2051" w:type="pct"/>
          <w:tcBorders>
            <w:bottom w:val="single" w:sz="18" w:space="0" w:color="009E49"/>
          </w:tcBorders>
          <w:vAlign w:val="center"/>
        </w:tcPr>
        <w:p w14:paraId="61D0CE6D" w14:textId="77777777" w:rsidR="00A70C70" w:rsidRPr="0085655D" w:rsidRDefault="00A70C70" w:rsidP="00C3335E">
          <w:pPr>
            <w:pStyle w:val="Cabealho"/>
            <w:tabs>
              <w:tab w:val="center" w:pos="4357"/>
              <w:tab w:val="right" w:pos="9720"/>
            </w:tabs>
            <w:spacing w:before="0"/>
            <w:jc w:val="center"/>
            <w:rPr>
              <w:rFonts w:asciiTheme="majorHAnsi" w:hAnsiTheme="majorHAnsi"/>
              <w:sz w:val="18"/>
            </w:rPr>
          </w:pPr>
          <w:r w:rsidRPr="0085655D">
            <w:rPr>
              <w:rFonts w:asciiTheme="majorHAnsi" w:hAnsiTheme="majorHAnsi"/>
              <w:sz w:val="18"/>
            </w:rPr>
            <w:t>Plano de Emergência Individual</w:t>
          </w:r>
        </w:p>
        <w:p w14:paraId="228C0956" w14:textId="287D0AB4" w:rsidR="00A70C70" w:rsidRPr="0085655D" w:rsidRDefault="00A70C70" w:rsidP="00C3335E">
          <w:pPr>
            <w:pStyle w:val="Cabealho"/>
            <w:tabs>
              <w:tab w:val="center" w:pos="4357"/>
              <w:tab w:val="right" w:pos="9720"/>
            </w:tabs>
            <w:spacing w:before="0"/>
            <w:jc w:val="center"/>
            <w:rPr>
              <w:rFonts w:asciiTheme="majorHAnsi" w:hAnsiTheme="majorHAnsi"/>
              <w:sz w:val="18"/>
            </w:rPr>
          </w:pPr>
          <w:r>
            <w:rPr>
              <w:rFonts w:asciiTheme="majorHAnsi" w:hAnsiTheme="majorHAnsi"/>
              <w:sz w:val="18"/>
            </w:rPr>
            <w:t xml:space="preserve">ENSCO DS-9 </w:t>
          </w:r>
          <w:r>
            <w:rPr>
              <w:rFonts w:asciiTheme="majorHAnsi" w:hAnsiTheme="majorHAnsi"/>
              <w:sz w:val="18"/>
            </w:rPr>
            <w:sym w:font="Symbol" w:char="F02D"/>
          </w:r>
          <w:r>
            <w:rPr>
              <w:rFonts w:asciiTheme="majorHAnsi" w:hAnsiTheme="majorHAnsi"/>
              <w:sz w:val="18"/>
            </w:rPr>
            <w:t xml:space="preserve"> </w:t>
          </w:r>
          <w:r w:rsidRPr="0085655D">
            <w:rPr>
              <w:rFonts w:asciiTheme="majorHAnsi" w:hAnsiTheme="majorHAnsi"/>
              <w:sz w:val="18"/>
            </w:rPr>
            <w:t xml:space="preserve">Bloco FZA-M-59 </w:t>
          </w:r>
          <w:r>
            <w:rPr>
              <w:rFonts w:asciiTheme="majorHAnsi" w:hAnsiTheme="majorHAnsi"/>
              <w:sz w:val="18"/>
            </w:rPr>
            <w:t>–</w:t>
          </w:r>
          <w:r w:rsidRPr="0085655D">
            <w:rPr>
              <w:rFonts w:asciiTheme="majorHAnsi" w:hAnsiTheme="majorHAnsi"/>
              <w:sz w:val="18"/>
            </w:rPr>
            <w:t xml:space="preserve"> Bacia da Foz do Amazonas</w:t>
          </w:r>
        </w:p>
      </w:tc>
      <w:tc>
        <w:tcPr>
          <w:tcW w:w="1777" w:type="pct"/>
          <w:tcBorders>
            <w:bottom w:val="single" w:sz="18" w:space="0" w:color="009E49"/>
          </w:tcBorders>
          <w:vAlign w:val="center"/>
        </w:tcPr>
        <w:p w14:paraId="714EE4A2" w14:textId="77777777" w:rsidR="00A70C70" w:rsidRPr="00807DBA" w:rsidRDefault="00A70C70" w:rsidP="00C3335E">
          <w:pPr>
            <w:pStyle w:val="Cabealho"/>
            <w:tabs>
              <w:tab w:val="right" w:pos="9720"/>
            </w:tabs>
            <w:spacing w:before="0"/>
            <w:ind w:right="-144"/>
            <w:jc w:val="center"/>
            <w:rPr>
              <w:rFonts w:ascii="Cambria" w:hAnsi="Cambria"/>
              <w:i/>
              <w:noProof/>
            </w:rPr>
          </w:pPr>
          <w:r w:rsidRPr="00BC71EA">
            <w:rPr>
              <w:rFonts w:ascii="Cambria" w:hAnsi="Cambria"/>
              <w:noProof/>
              <w:lang w:val="en-US"/>
            </w:rPr>
            <w:drawing>
              <wp:inline distT="0" distB="0" distL="0" distR="0" wp14:anchorId="45123FF4" wp14:editId="682C54E5">
                <wp:extent cx="1627504" cy="310262"/>
                <wp:effectExtent l="0" t="0" r="0" b="0"/>
                <wp:docPr id="1073742146" name="Imagem 1073742146"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8339" cy="318047"/>
                        </a:xfrm>
                        <a:prstGeom prst="rect">
                          <a:avLst/>
                        </a:prstGeom>
                        <a:noFill/>
                      </pic:spPr>
                    </pic:pic>
                  </a:graphicData>
                </a:graphic>
              </wp:inline>
            </w:drawing>
          </w:r>
        </w:p>
      </w:tc>
    </w:tr>
  </w:tbl>
  <w:p w14:paraId="4DF92168" w14:textId="77777777" w:rsidR="00A70C70" w:rsidRPr="00807DBA" w:rsidRDefault="00A70C70" w:rsidP="008A76B4">
    <w:pPr>
      <w:pStyle w:val="Cabealho"/>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comgrade"/>
      <w:tblW w:w="5000" w:type="pct"/>
      <w:jc w:val="center"/>
      <w:tblBorders>
        <w:top w:val="none" w:sz="0" w:space="0" w:color="auto"/>
        <w:left w:val="none" w:sz="0" w:space="0" w:color="auto"/>
        <w:bottom w:val="single" w:sz="36" w:space="0" w:color="009E49"/>
        <w:right w:val="none" w:sz="0" w:space="0" w:color="auto"/>
        <w:insideH w:val="none" w:sz="0" w:space="0" w:color="auto"/>
        <w:insideV w:val="none" w:sz="0" w:space="0" w:color="auto"/>
      </w:tblBorders>
      <w:tblLook w:val="04A0" w:firstRow="1" w:lastRow="0" w:firstColumn="1" w:lastColumn="0" w:noHBand="0" w:noVBand="1"/>
    </w:tblPr>
    <w:tblGrid>
      <w:gridCol w:w="3282"/>
      <w:gridCol w:w="5744"/>
      <w:gridCol w:w="4976"/>
    </w:tblGrid>
    <w:tr w:rsidR="00A70C70" w:rsidRPr="00B366A0" w14:paraId="372FACCC" w14:textId="77777777" w:rsidTr="008E2BBA">
      <w:trPr>
        <w:trHeight w:val="845"/>
        <w:jc w:val="center"/>
      </w:trPr>
      <w:tc>
        <w:tcPr>
          <w:tcW w:w="1172" w:type="pct"/>
          <w:tcBorders>
            <w:bottom w:val="single" w:sz="18" w:space="0" w:color="009E49"/>
          </w:tcBorders>
          <w:vAlign w:val="center"/>
        </w:tcPr>
        <w:p w14:paraId="50B6F221" w14:textId="77777777" w:rsidR="00A70C70" w:rsidRPr="00CE3601" w:rsidRDefault="00A70C70" w:rsidP="00C3335E">
          <w:pPr>
            <w:pStyle w:val="Cabealho"/>
            <w:tabs>
              <w:tab w:val="center" w:pos="4357"/>
              <w:tab w:val="right" w:pos="9720"/>
            </w:tabs>
            <w:spacing w:before="0"/>
            <w:jc w:val="center"/>
            <w:rPr>
              <w:rFonts w:ascii="Cambria" w:hAnsi="Cambria"/>
            </w:rPr>
          </w:pPr>
          <w:r>
            <w:rPr>
              <w:noProof/>
              <w:sz w:val="16"/>
              <w:szCs w:val="16"/>
              <w:lang w:val="en-US"/>
            </w:rPr>
            <w:drawing>
              <wp:inline distT="0" distB="0" distL="0" distR="0" wp14:anchorId="07C1CC8E" wp14:editId="30D124A0">
                <wp:extent cx="380852" cy="548640"/>
                <wp:effectExtent l="0" t="0" r="635" b="3810"/>
                <wp:docPr id="1073742147" name="Imagem 107374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c>
        <w:tcPr>
          <w:tcW w:w="2051" w:type="pct"/>
          <w:tcBorders>
            <w:bottom w:val="single" w:sz="18" w:space="0" w:color="009E49"/>
          </w:tcBorders>
          <w:vAlign w:val="center"/>
        </w:tcPr>
        <w:p w14:paraId="1573B754" w14:textId="77777777" w:rsidR="00A70C70" w:rsidRPr="0085655D" w:rsidRDefault="00A70C70" w:rsidP="00C3335E">
          <w:pPr>
            <w:pStyle w:val="Cabealho"/>
            <w:tabs>
              <w:tab w:val="center" w:pos="4357"/>
              <w:tab w:val="right" w:pos="9720"/>
            </w:tabs>
            <w:spacing w:before="0"/>
            <w:jc w:val="center"/>
            <w:rPr>
              <w:rFonts w:asciiTheme="majorHAnsi" w:hAnsiTheme="majorHAnsi"/>
              <w:sz w:val="18"/>
            </w:rPr>
          </w:pPr>
          <w:r w:rsidRPr="0085655D">
            <w:rPr>
              <w:rFonts w:asciiTheme="majorHAnsi" w:hAnsiTheme="majorHAnsi"/>
              <w:sz w:val="18"/>
            </w:rPr>
            <w:t>Plano de Emergência Individual</w:t>
          </w:r>
        </w:p>
        <w:p w14:paraId="134CD51B" w14:textId="006FD404" w:rsidR="00A70C70" w:rsidRPr="0085655D" w:rsidRDefault="00A70C70" w:rsidP="00C3335E">
          <w:pPr>
            <w:pStyle w:val="Cabealho"/>
            <w:tabs>
              <w:tab w:val="center" w:pos="4357"/>
              <w:tab w:val="right" w:pos="9720"/>
            </w:tabs>
            <w:spacing w:before="0"/>
            <w:jc w:val="center"/>
            <w:rPr>
              <w:rFonts w:asciiTheme="majorHAnsi" w:hAnsiTheme="majorHAnsi"/>
              <w:sz w:val="18"/>
            </w:rPr>
          </w:pPr>
          <w:r>
            <w:rPr>
              <w:rFonts w:asciiTheme="majorHAnsi" w:hAnsiTheme="majorHAnsi"/>
              <w:sz w:val="18"/>
            </w:rPr>
            <w:t xml:space="preserve">ENSCO DS-9 </w:t>
          </w:r>
          <w:r>
            <w:rPr>
              <w:rFonts w:asciiTheme="majorHAnsi" w:hAnsiTheme="majorHAnsi"/>
              <w:sz w:val="18"/>
            </w:rPr>
            <w:sym w:font="Symbol" w:char="F02D"/>
          </w:r>
          <w:r>
            <w:rPr>
              <w:rFonts w:asciiTheme="majorHAnsi" w:hAnsiTheme="majorHAnsi"/>
              <w:sz w:val="18"/>
            </w:rPr>
            <w:t xml:space="preserve"> </w:t>
          </w:r>
          <w:r w:rsidRPr="0085655D">
            <w:rPr>
              <w:rFonts w:asciiTheme="majorHAnsi" w:hAnsiTheme="majorHAnsi"/>
              <w:sz w:val="18"/>
            </w:rPr>
            <w:t xml:space="preserve">Bloco FZA-M-59 </w:t>
          </w:r>
          <w:r>
            <w:rPr>
              <w:rFonts w:asciiTheme="majorHAnsi" w:hAnsiTheme="majorHAnsi"/>
              <w:sz w:val="18"/>
            </w:rPr>
            <w:t>–</w:t>
          </w:r>
          <w:r w:rsidRPr="0085655D">
            <w:rPr>
              <w:rFonts w:asciiTheme="majorHAnsi" w:hAnsiTheme="majorHAnsi"/>
              <w:sz w:val="18"/>
            </w:rPr>
            <w:t xml:space="preserve"> Bacia da Foz do Amazonas</w:t>
          </w:r>
        </w:p>
      </w:tc>
      <w:tc>
        <w:tcPr>
          <w:tcW w:w="1777" w:type="pct"/>
          <w:tcBorders>
            <w:bottom w:val="single" w:sz="18" w:space="0" w:color="009E49"/>
          </w:tcBorders>
          <w:vAlign w:val="center"/>
        </w:tcPr>
        <w:p w14:paraId="05981A25" w14:textId="77777777" w:rsidR="00A70C70" w:rsidRPr="00807DBA" w:rsidRDefault="00A70C70" w:rsidP="00C3335E">
          <w:pPr>
            <w:pStyle w:val="Cabealho"/>
            <w:tabs>
              <w:tab w:val="right" w:pos="9720"/>
            </w:tabs>
            <w:spacing w:before="0"/>
            <w:ind w:right="-144"/>
            <w:jc w:val="center"/>
            <w:rPr>
              <w:rFonts w:ascii="Cambria" w:hAnsi="Cambria"/>
              <w:i/>
              <w:noProof/>
            </w:rPr>
          </w:pPr>
          <w:r w:rsidRPr="00BC71EA">
            <w:rPr>
              <w:rFonts w:ascii="Cambria" w:hAnsi="Cambria"/>
              <w:noProof/>
              <w:lang w:val="en-US"/>
            </w:rPr>
            <w:drawing>
              <wp:inline distT="0" distB="0" distL="0" distR="0" wp14:anchorId="6276DB13" wp14:editId="04BF56A6">
                <wp:extent cx="1627504" cy="310262"/>
                <wp:effectExtent l="0" t="0" r="0" b="0"/>
                <wp:docPr id="1073742148" name="Imagem 1073742148"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8339" cy="318047"/>
                        </a:xfrm>
                        <a:prstGeom prst="rect">
                          <a:avLst/>
                        </a:prstGeom>
                        <a:noFill/>
                      </pic:spPr>
                    </pic:pic>
                  </a:graphicData>
                </a:graphic>
              </wp:inline>
            </w:drawing>
          </w:r>
        </w:p>
      </w:tc>
    </w:tr>
  </w:tbl>
  <w:p w14:paraId="3B04E028" w14:textId="77777777" w:rsidR="00A70C70" w:rsidRPr="00807DBA" w:rsidRDefault="00A70C70" w:rsidP="008A76B4">
    <w:pPr>
      <w:pStyle w:val="Cabealho"/>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comgrade"/>
      <w:tblW w:w="5000" w:type="pct"/>
      <w:jc w:val="center"/>
      <w:tblBorders>
        <w:top w:val="none" w:sz="0" w:space="0" w:color="auto"/>
        <w:left w:val="none" w:sz="0" w:space="0" w:color="auto"/>
        <w:bottom w:val="single" w:sz="36" w:space="0" w:color="009E49"/>
        <w:right w:val="none" w:sz="0" w:space="0" w:color="auto"/>
        <w:insideH w:val="none" w:sz="0" w:space="0" w:color="auto"/>
        <w:insideV w:val="none" w:sz="0" w:space="0" w:color="auto"/>
      </w:tblBorders>
      <w:tblLook w:val="04A0" w:firstRow="1" w:lastRow="0" w:firstColumn="1" w:lastColumn="0" w:noHBand="0" w:noVBand="1"/>
    </w:tblPr>
    <w:tblGrid>
      <w:gridCol w:w="2126"/>
      <w:gridCol w:w="3721"/>
      <w:gridCol w:w="3223"/>
    </w:tblGrid>
    <w:tr w:rsidR="00A70C70" w:rsidRPr="00B366A0" w14:paraId="16D30045" w14:textId="77777777" w:rsidTr="008E2BBA">
      <w:trPr>
        <w:trHeight w:val="845"/>
        <w:jc w:val="center"/>
      </w:trPr>
      <w:tc>
        <w:tcPr>
          <w:tcW w:w="1172" w:type="pct"/>
          <w:tcBorders>
            <w:bottom w:val="single" w:sz="18" w:space="0" w:color="009E49"/>
          </w:tcBorders>
          <w:vAlign w:val="center"/>
        </w:tcPr>
        <w:p w14:paraId="5A935146" w14:textId="77777777" w:rsidR="00A70C70" w:rsidRPr="00CE3601" w:rsidRDefault="00A70C70" w:rsidP="00C3335E">
          <w:pPr>
            <w:pStyle w:val="Cabealho"/>
            <w:tabs>
              <w:tab w:val="center" w:pos="4357"/>
              <w:tab w:val="right" w:pos="9720"/>
            </w:tabs>
            <w:spacing w:before="0"/>
            <w:jc w:val="center"/>
            <w:rPr>
              <w:rFonts w:ascii="Cambria" w:hAnsi="Cambria"/>
            </w:rPr>
          </w:pPr>
          <w:r>
            <w:rPr>
              <w:noProof/>
              <w:sz w:val="16"/>
              <w:szCs w:val="16"/>
              <w:lang w:val="en-US"/>
            </w:rPr>
            <w:drawing>
              <wp:inline distT="0" distB="0" distL="0" distR="0" wp14:anchorId="3B6BE39D" wp14:editId="3507D88D">
                <wp:extent cx="380852" cy="548640"/>
                <wp:effectExtent l="0" t="0" r="635" b="3810"/>
                <wp:docPr id="1073742117" name="Imagem 107374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c>
        <w:tcPr>
          <w:tcW w:w="2051" w:type="pct"/>
          <w:tcBorders>
            <w:bottom w:val="single" w:sz="18" w:space="0" w:color="009E49"/>
          </w:tcBorders>
          <w:vAlign w:val="center"/>
        </w:tcPr>
        <w:p w14:paraId="60A1CCE2" w14:textId="77777777" w:rsidR="00A70C70" w:rsidRPr="0085655D" w:rsidRDefault="00A70C70" w:rsidP="00C3335E">
          <w:pPr>
            <w:pStyle w:val="Cabealho"/>
            <w:tabs>
              <w:tab w:val="center" w:pos="4357"/>
              <w:tab w:val="right" w:pos="9720"/>
            </w:tabs>
            <w:spacing w:before="0"/>
            <w:jc w:val="center"/>
            <w:rPr>
              <w:rFonts w:asciiTheme="majorHAnsi" w:hAnsiTheme="majorHAnsi"/>
              <w:sz w:val="18"/>
            </w:rPr>
          </w:pPr>
          <w:r w:rsidRPr="0085655D">
            <w:rPr>
              <w:rFonts w:asciiTheme="majorHAnsi" w:hAnsiTheme="majorHAnsi"/>
              <w:sz w:val="18"/>
            </w:rPr>
            <w:t>Plano de Emergência Individual</w:t>
          </w:r>
        </w:p>
        <w:p w14:paraId="3A3DEDDE" w14:textId="37830F1C" w:rsidR="00A70C70" w:rsidRPr="0085655D" w:rsidRDefault="00A70C70" w:rsidP="00C3335E">
          <w:pPr>
            <w:pStyle w:val="Cabealho"/>
            <w:tabs>
              <w:tab w:val="center" w:pos="4357"/>
              <w:tab w:val="right" w:pos="9720"/>
            </w:tabs>
            <w:spacing w:before="0"/>
            <w:jc w:val="center"/>
            <w:rPr>
              <w:rFonts w:asciiTheme="majorHAnsi" w:hAnsiTheme="majorHAnsi"/>
              <w:sz w:val="18"/>
            </w:rPr>
          </w:pPr>
          <w:r>
            <w:rPr>
              <w:rFonts w:asciiTheme="majorHAnsi" w:hAnsiTheme="majorHAnsi"/>
              <w:sz w:val="18"/>
            </w:rPr>
            <w:t xml:space="preserve">ENSCO DS-9 </w:t>
          </w:r>
          <w:r>
            <w:rPr>
              <w:rFonts w:asciiTheme="majorHAnsi" w:hAnsiTheme="majorHAnsi"/>
              <w:sz w:val="18"/>
            </w:rPr>
            <w:sym w:font="Symbol" w:char="F02D"/>
          </w:r>
          <w:r>
            <w:rPr>
              <w:rFonts w:asciiTheme="majorHAnsi" w:hAnsiTheme="majorHAnsi"/>
              <w:sz w:val="18"/>
            </w:rPr>
            <w:t xml:space="preserve"> </w:t>
          </w:r>
          <w:r w:rsidRPr="0085655D">
            <w:rPr>
              <w:rFonts w:asciiTheme="majorHAnsi" w:hAnsiTheme="majorHAnsi"/>
              <w:sz w:val="18"/>
            </w:rPr>
            <w:t xml:space="preserve">Bloco FZA-M-59 </w:t>
          </w:r>
          <w:r>
            <w:rPr>
              <w:rFonts w:asciiTheme="majorHAnsi" w:hAnsiTheme="majorHAnsi"/>
              <w:sz w:val="18"/>
            </w:rPr>
            <w:t>–</w:t>
          </w:r>
          <w:r w:rsidRPr="0085655D">
            <w:rPr>
              <w:rFonts w:asciiTheme="majorHAnsi" w:hAnsiTheme="majorHAnsi"/>
              <w:sz w:val="18"/>
            </w:rPr>
            <w:t xml:space="preserve"> Bacia da Foz do Amazonas</w:t>
          </w:r>
        </w:p>
      </w:tc>
      <w:tc>
        <w:tcPr>
          <w:tcW w:w="1777" w:type="pct"/>
          <w:tcBorders>
            <w:bottom w:val="single" w:sz="18" w:space="0" w:color="009E49"/>
          </w:tcBorders>
          <w:vAlign w:val="center"/>
        </w:tcPr>
        <w:p w14:paraId="74DB2979" w14:textId="77777777" w:rsidR="00A70C70" w:rsidRPr="00807DBA" w:rsidRDefault="00A70C70" w:rsidP="00C3335E">
          <w:pPr>
            <w:pStyle w:val="Cabealho"/>
            <w:tabs>
              <w:tab w:val="right" w:pos="9720"/>
            </w:tabs>
            <w:spacing w:before="0"/>
            <w:ind w:right="-144"/>
            <w:jc w:val="center"/>
            <w:rPr>
              <w:rFonts w:ascii="Cambria" w:hAnsi="Cambria"/>
              <w:i/>
              <w:noProof/>
            </w:rPr>
          </w:pPr>
          <w:r w:rsidRPr="00BC71EA">
            <w:rPr>
              <w:rFonts w:ascii="Cambria" w:hAnsi="Cambria"/>
              <w:noProof/>
              <w:lang w:val="en-US"/>
            </w:rPr>
            <w:drawing>
              <wp:inline distT="0" distB="0" distL="0" distR="0" wp14:anchorId="090B5CE3" wp14:editId="13F724C5">
                <wp:extent cx="1627504" cy="310262"/>
                <wp:effectExtent l="0" t="0" r="0" b="0"/>
                <wp:docPr id="1073742118" name="Imagem 1073742118"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8339" cy="318047"/>
                        </a:xfrm>
                        <a:prstGeom prst="rect">
                          <a:avLst/>
                        </a:prstGeom>
                        <a:noFill/>
                      </pic:spPr>
                    </pic:pic>
                  </a:graphicData>
                </a:graphic>
              </wp:inline>
            </w:drawing>
          </w:r>
        </w:p>
      </w:tc>
    </w:tr>
  </w:tbl>
  <w:p w14:paraId="37BE0D8A" w14:textId="77777777" w:rsidR="00A70C70" w:rsidRPr="008E2BBA" w:rsidRDefault="00A70C70" w:rsidP="008E2BBA">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comgrade"/>
      <w:tblW w:w="5000" w:type="pct"/>
      <w:jc w:val="center"/>
      <w:tblBorders>
        <w:top w:val="none" w:sz="0" w:space="0" w:color="auto"/>
        <w:left w:val="none" w:sz="0" w:space="0" w:color="auto"/>
        <w:bottom w:val="single" w:sz="36" w:space="0" w:color="009E49"/>
        <w:right w:val="none" w:sz="0" w:space="0" w:color="auto"/>
        <w:insideH w:val="none" w:sz="0" w:space="0" w:color="auto"/>
        <w:insideV w:val="none" w:sz="0" w:space="0" w:color="auto"/>
      </w:tblBorders>
      <w:tblLook w:val="04A0" w:firstRow="1" w:lastRow="0" w:firstColumn="1" w:lastColumn="0" w:noHBand="0" w:noVBand="1"/>
    </w:tblPr>
    <w:tblGrid>
      <w:gridCol w:w="2167"/>
      <w:gridCol w:w="3791"/>
      <w:gridCol w:w="3285"/>
    </w:tblGrid>
    <w:tr w:rsidR="00A70C70" w:rsidRPr="00B366A0" w14:paraId="5D9228C5" w14:textId="77777777" w:rsidTr="00832A69">
      <w:trPr>
        <w:trHeight w:val="845"/>
        <w:jc w:val="center"/>
      </w:trPr>
      <w:tc>
        <w:tcPr>
          <w:tcW w:w="1172" w:type="pct"/>
          <w:tcBorders>
            <w:bottom w:val="single" w:sz="18" w:space="0" w:color="009E49"/>
          </w:tcBorders>
          <w:vAlign w:val="center"/>
        </w:tcPr>
        <w:p w14:paraId="5B4A5D69" w14:textId="77777777" w:rsidR="00A70C70" w:rsidRPr="00CE3601" w:rsidRDefault="00A70C70" w:rsidP="007564CC">
          <w:pPr>
            <w:pStyle w:val="Cabealho"/>
            <w:tabs>
              <w:tab w:val="center" w:pos="4357"/>
              <w:tab w:val="right" w:pos="9720"/>
            </w:tabs>
            <w:spacing w:before="240" w:after="120"/>
            <w:jc w:val="center"/>
            <w:rPr>
              <w:rFonts w:ascii="Cambria" w:hAnsi="Cambria"/>
            </w:rPr>
          </w:pPr>
          <w:r>
            <w:rPr>
              <w:noProof/>
              <w:sz w:val="16"/>
              <w:szCs w:val="16"/>
              <w:lang w:val="en-US"/>
            </w:rPr>
            <w:drawing>
              <wp:inline distT="0" distB="0" distL="0" distR="0" wp14:anchorId="1A95F731" wp14:editId="0638E048">
                <wp:extent cx="380852" cy="548640"/>
                <wp:effectExtent l="0" t="0" r="635" b="3810"/>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c>
        <w:tcPr>
          <w:tcW w:w="2051" w:type="pct"/>
          <w:tcBorders>
            <w:bottom w:val="single" w:sz="18" w:space="0" w:color="009E49"/>
          </w:tcBorders>
          <w:vAlign w:val="center"/>
        </w:tcPr>
        <w:p w14:paraId="4EEE65BA" w14:textId="77777777" w:rsidR="00A70C70" w:rsidRPr="0085655D" w:rsidRDefault="00A70C70" w:rsidP="007564CC">
          <w:pPr>
            <w:pStyle w:val="Cabealho"/>
            <w:tabs>
              <w:tab w:val="center" w:pos="4357"/>
              <w:tab w:val="right" w:pos="9720"/>
            </w:tabs>
            <w:spacing w:after="120"/>
            <w:jc w:val="center"/>
            <w:rPr>
              <w:rFonts w:asciiTheme="majorHAnsi" w:hAnsiTheme="majorHAnsi"/>
              <w:sz w:val="18"/>
            </w:rPr>
          </w:pPr>
          <w:r w:rsidRPr="0085655D">
            <w:rPr>
              <w:rFonts w:asciiTheme="majorHAnsi" w:hAnsiTheme="majorHAnsi"/>
              <w:sz w:val="18"/>
            </w:rPr>
            <w:t>Plano de Emergência Individual</w:t>
          </w:r>
        </w:p>
        <w:p w14:paraId="2AC16F95" w14:textId="77777777" w:rsidR="00A70C70" w:rsidRPr="0085655D" w:rsidRDefault="00A70C70" w:rsidP="007564CC">
          <w:pPr>
            <w:pStyle w:val="Cabealho"/>
            <w:tabs>
              <w:tab w:val="center" w:pos="4357"/>
              <w:tab w:val="right" w:pos="9720"/>
            </w:tabs>
            <w:spacing w:before="60" w:after="60"/>
            <w:jc w:val="center"/>
            <w:rPr>
              <w:rFonts w:asciiTheme="majorHAnsi" w:hAnsiTheme="majorHAnsi"/>
              <w:sz w:val="18"/>
            </w:rPr>
          </w:pPr>
          <w:r w:rsidRPr="0085655D">
            <w:rPr>
              <w:rFonts w:asciiTheme="majorHAnsi" w:hAnsiTheme="majorHAnsi"/>
              <w:sz w:val="18"/>
            </w:rPr>
            <w:t xml:space="preserve">Bloco FZA-M-59 </w:t>
          </w:r>
          <w:r>
            <w:rPr>
              <w:rFonts w:asciiTheme="majorHAnsi" w:hAnsiTheme="majorHAnsi"/>
              <w:sz w:val="18"/>
            </w:rPr>
            <w:t>–</w:t>
          </w:r>
          <w:r w:rsidRPr="0085655D">
            <w:rPr>
              <w:rFonts w:asciiTheme="majorHAnsi" w:hAnsiTheme="majorHAnsi"/>
              <w:sz w:val="18"/>
            </w:rPr>
            <w:t xml:space="preserve"> Bacia da Foz do Amazonas</w:t>
          </w:r>
        </w:p>
      </w:tc>
      <w:tc>
        <w:tcPr>
          <w:tcW w:w="1777" w:type="pct"/>
          <w:tcBorders>
            <w:bottom w:val="single" w:sz="18" w:space="0" w:color="009E49"/>
          </w:tcBorders>
          <w:vAlign w:val="center"/>
        </w:tcPr>
        <w:p w14:paraId="59E266E4" w14:textId="77777777" w:rsidR="00A70C70" w:rsidRPr="00807DBA" w:rsidRDefault="00A70C70" w:rsidP="007564CC">
          <w:pPr>
            <w:pStyle w:val="Cabealho"/>
            <w:tabs>
              <w:tab w:val="right" w:pos="9720"/>
            </w:tabs>
            <w:spacing w:after="120"/>
            <w:ind w:right="-144"/>
            <w:jc w:val="center"/>
            <w:rPr>
              <w:rFonts w:ascii="Cambria" w:hAnsi="Cambria"/>
              <w:i/>
              <w:noProof/>
            </w:rPr>
          </w:pPr>
          <w:r w:rsidRPr="00BC71EA">
            <w:rPr>
              <w:rFonts w:ascii="Cambria" w:hAnsi="Cambria"/>
              <w:noProof/>
              <w:lang w:val="en-US"/>
            </w:rPr>
            <w:drawing>
              <wp:inline distT="0" distB="0" distL="0" distR="0" wp14:anchorId="4F00D697" wp14:editId="6E352DAD">
                <wp:extent cx="1627504" cy="310262"/>
                <wp:effectExtent l="0" t="0" r="0" b="0"/>
                <wp:docPr id="57" name="Imagem 57"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8339" cy="318047"/>
                        </a:xfrm>
                        <a:prstGeom prst="rect">
                          <a:avLst/>
                        </a:prstGeom>
                        <a:noFill/>
                      </pic:spPr>
                    </pic:pic>
                  </a:graphicData>
                </a:graphic>
              </wp:inline>
            </w:drawing>
          </w:r>
        </w:p>
      </w:tc>
    </w:tr>
  </w:tbl>
  <w:p w14:paraId="4B32F5A4" w14:textId="77777777" w:rsidR="00A70C70" w:rsidRDefault="00A70C70">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comgrade"/>
      <w:tblW w:w="5000" w:type="pct"/>
      <w:jc w:val="center"/>
      <w:tblBorders>
        <w:top w:val="none" w:sz="0" w:space="0" w:color="auto"/>
        <w:left w:val="none" w:sz="0" w:space="0" w:color="auto"/>
        <w:bottom w:val="single" w:sz="36" w:space="0" w:color="009E49"/>
        <w:right w:val="none" w:sz="0" w:space="0" w:color="auto"/>
        <w:insideH w:val="none" w:sz="0" w:space="0" w:color="auto"/>
        <w:insideV w:val="none" w:sz="0" w:space="0" w:color="auto"/>
      </w:tblBorders>
      <w:tblLook w:val="04A0" w:firstRow="1" w:lastRow="0" w:firstColumn="1" w:lastColumn="0" w:noHBand="0" w:noVBand="1"/>
    </w:tblPr>
    <w:tblGrid>
      <w:gridCol w:w="2126"/>
      <w:gridCol w:w="3721"/>
      <w:gridCol w:w="3223"/>
    </w:tblGrid>
    <w:tr w:rsidR="00A70C70" w:rsidRPr="00B366A0" w14:paraId="49BE95A1" w14:textId="77777777" w:rsidTr="00150CAE">
      <w:trPr>
        <w:trHeight w:val="845"/>
        <w:jc w:val="center"/>
      </w:trPr>
      <w:tc>
        <w:tcPr>
          <w:tcW w:w="1172" w:type="pct"/>
          <w:tcBorders>
            <w:bottom w:val="single" w:sz="18" w:space="0" w:color="009E49"/>
          </w:tcBorders>
          <w:vAlign w:val="center"/>
        </w:tcPr>
        <w:p w14:paraId="1B6FB4B2" w14:textId="77777777" w:rsidR="00A70C70" w:rsidRPr="00CE3601" w:rsidRDefault="00A70C70" w:rsidP="00656D39">
          <w:pPr>
            <w:pStyle w:val="Cabealho"/>
            <w:tabs>
              <w:tab w:val="center" w:pos="4357"/>
              <w:tab w:val="right" w:pos="9720"/>
            </w:tabs>
            <w:spacing w:before="0"/>
            <w:jc w:val="center"/>
            <w:rPr>
              <w:rFonts w:ascii="Cambria" w:hAnsi="Cambria"/>
            </w:rPr>
          </w:pPr>
          <w:r>
            <w:rPr>
              <w:noProof/>
              <w:sz w:val="16"/>
              <w:szCs w:val="16"/>
              <w:lang w:val="en-US"/>
            </w:rPr>
            <w:drawing>
              <wp:inline distT="0" distB="0" distL="0" distR="0" wp14:anchorId="0926495A" wp14:editId="1CD8ACC8">
                <wp:extent cx="380852" cy="548640"/>
                <wp:effectExtent l="0" t="0" r="635" b="3810"/>
                <wp:docPr id="1073742119" name="Imagem 107374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c>
        <w:tcPr>
          <w:tcW w:w="2051" w:type="pct"/>
          <w:tcBorders>
            <w:bottom w:val="single" w:sz="18" w:space="0" w:color="009E49"/>
          </w:tcBorders>
          <w:vAlign w:val="center"/>
        </w:tcPr>
        <w:p w14:paraId="2773D7D9" w14:textId="77777777" w:rsidR="00A70C70" w:rsidRPr="0085655D" w:rsidRDefault="00A70C70" w:rsidP="00656D39">
          <w:pPr>
            <w:pStyle w:val="Cabealho"/>
            <w:tabs>
              <w:tab w:val="center" w:pos="4357"/>
              <w:tab w:val="right" w:pos="9720"/>
            </w:tabs>
            <w:spacing w:before="0"/>
            <w:jc w:val="center"/>
            <w:rPr>
              <w:rFonts w:asciiTheme="majorHAnsi" w:hAnsiTheme="majorHAnsi"/>
              <w:sz w:val="18"/>
            </w:rPr>
          </w:pPr>
          <w:r w:rsidRPr="0085655D">
            <w:rPr>
              <w:rFonts w:asciiTheme="majorHAnsi" w:hAnsiTheme="majorHAnsi"/>
              <w:sz w:val="18"/>
            </w:rPr>
            <w:t>Plano de Emergência Individual</w:t>
          </w:r>
        </w:p>
        <w:p w14:paraId="222C68BD" w14:textId="3025A3AF" w:rsidR="00A70C70" w:rsidRPr="0085655D" w:rsidRDefault="00A70C70" w:rsidP="003523A8">
          <w:pPr>
            <w:pStyle w:val="Cabealho"/>
            <w:tabs>
              <w:tab w:val="center" w:pos="4357"/>
              <w:tab w:val="right" w:pos="9720"/>
            </w:tabs>
            <w:spacing w:before="0"/>
            <w:jc w:val="center"/>
            <w:rPr>
              <w:rFonts w:asciiTheme="majorHAnsi" w:hAnsiTheme="majorHAnsi"/>
              <w:sz w:val="18"/>
            </w:rPr>
          </w:pPr>
          <w:r>
            <w:rPr>
              <w:rFonts w:asciiTheme="majorHAnsi" w:hAnsiTheme="majorHAnsi"/>
              <w:sz w:val="18"/>
            </w:rPr>
            <w:t xml:space="preserve">ENSCO DS-9 </w:t>
          </w:r>
          <w:r>
            <w:rPr>
              <w:rFonts w:asciiTheme="majorHAnsi" w:hAnsiTheme="majorHAnsi"/>
              <w:sz w:val="18"/>
            </w:rPr>
            <w:sym w:font="Symbol" w:char="F02D"/>
          </w:r>
          <w:r>
            <w:rPr>
              <w:rFonts w:asciiTheme="majorHAnsi" w:hAnsiTheme="majorHAnsi"/>
              <w:sz w:val="18"/>
            </w:rPr>
            <w:t xml:space="preserve"> </w:t>
          </w:r>
          <w:r w:rsidRPr="0085655D">
            <w:rPr>
              <w:rFonts w:asciiTheme="majorHAnsi" w:hAnsiTheme="majorHAnsi"/>
              <w:sz w:val="18"/>
            </w:rPr>
            <w:t xml:space="preserve">Bloco FZA-M-59 </w:t>
          </w:r>
          <w:r>
            <w:rPr>
              <w:rFonts w:asciiTheme="majorHAnsi" w:hAnsiTheme="majorHAnsi"/>
              <w:sz w:val="18"/>
            </w:rPr>
            <w:t>–</w:t>
          </w:r>
          <w:r w:rsidRPr="0085655D">
            <w:rPr>
              <w:rFonts w:asciiTheme="majorHAnsi" w:hAnsiTheme="majorHAnsi"/>
              <w:sz w:val="18"/>
            </w:rPr>
            <w:t xml:space="preserve"> Bacia da Foz do Amazonas</w:t>
          </w:r>
        </w:p>
      </w:tc>
      <w:tc>
        <w:tcPr>
          <w:tcW w:w="1777" w:type="pct"/>
          <w:tcBorders>
            <w:bottom w:val="single" w:sz="18" w:space="0" w:color="009E49"/>
          </w:tcBorders>
          <w:vAlign w:val="center"/>
        </w:tcPr>
        <w:p w14:paraId="1CBAEA63" w14:textId="77777777" w:rsidR="00A70C70" w:rsidRPr="00807DBA" w:rsidRDefault="00A70C70" w:rsidP="00656D39">
          <w:pPr>
            <w:pStyle w:val="Cabealho"/>
            <w:tabs>
              <w:tab w:val="right" w:pos="9720"/>
            </w:tabs>
            <w:spacing w:before="0"/>
            <w:ind w:right="-144"/>
            <w:jc w:val="center"/>
            <w:rPr>
              <w:rFonts w:ascii="Cambria" w:hAnsi="Cambria"/>
              <w:i/>
              <w:noProof/>
            </w:rPr>
          </w:pPr>
          <w:r w:rsidRPr="00BC71EA">
            <w:rPr>
              <w:rFonts w:ascii="Cambria" w:hAnsi="Cambria"/>
              <w:noProof/>
              <w:lang w:val="en-US"/>
            </w:rPr>
            <w:drawing>
              <wp:inline distT="0" distB="0" distL="0" distR="0" wp14:anchorId="3F693924" wp14:editId="42C1F4AB">
                <wp:extent cx="1627504" cy="310262"/>
                <wp:effectExtent l="0" t="0" r="0" b="0"/>
                <wp:docPr id="1073742120" name="Imagem 1073742120"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8339" cy="318047"/>
                        </a:xfrm>
                        <a:prstGeom prst="rect">
                          <a:avLst/>
                        </a:prstGeom>
                        <a:noFill/>
                      </pic:spPr>
                    </pic:pic>
                  </a:graphicData>
                </a:graphic>
              </wp:inline>
            </w:drawing>
          </w:r>
        </w:p>
      </w:tc>
    </w:tr>
  </w:tbl>
  <w:p w14:paraId="2F7F2E23" w14:textId="77777777" w:rsidR="00A70C70" w:rsidRPr="00D37C34" w:rsidRDefault="00A70C70" w:rsidP="00023EAB">
    <w:pPr>
      <w:pStyle w:val="Cabealho"/>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comgrade"/>
      <w:tblW w:w="5000" w:type="pct"/>
      <w:jc w:val="center"/>
      <w:tblBorders>
        <w:top w:val="none" w:sz="0" w:space="0" w:color="auto"/>
        <w:left w:val="none" w:sz="0" w:space="0" w:color="auto"/>
        <w:bottom w:val="single" w:sz="36" w:space="0" w:color="009E49"/>
        <w:right w:val="none" w:sz="0" w:space="0" w:color="auto"/>
        <w:insideH w:val="none" w:sz="0" w:space="0" w:color="auto"/>
        <w:insideV w:val="none" w:sz="0" w:space="0" w:color="auto"/>
      </w:tblBorders>
      <w:tblLook w:val="04A0" w:firstRow="1" w:lastRow="0" w:firstColumn="1" w:lastColumn="0" w:noHBand="0" w:noVBand="1"/>
    </w:tblPr>
    <w:tblGrid>
      <w:gridCol w:w="2126"/>
      <w:gridCol w:w="3721"/>
      <w:gridCol w:w="3223"/>
    </w:tblGrid>
    <w:tr w:rsidR="00A70C70" w:rsidRPr="00B366A0" w14:paraId="13613E94" w14:textId="77777777" w:rsidTr="00E13E52">
      <w:trPr>
        <w:trHeight w:val="845"/>
        <w:jc w:val="center"/>
      </w:trPr>
      <w:tc>
        <w:tcPr>
          <w:tcW w:w="1172" w:type="pct"/>
          <w:tcBorders>
            <w:bottom w:val="single" w:sz="18" w:space="0" w:color="009E49"/>
          </w:tcBorders>
          <w:vAlign w:val="center"/>
        </w:tcPr>
        <w:p w14:paraId="62D25838" w14:textId="77777777" w:rsidR="00A70C70" w:rsidRPr="00CE3601" w:rsidRDefault="00A70C70" w:rsidP="00C3335E">
          <w:pPr>
            <w:pStyle w:val="Cabealho"/>
            <w:tabs>
              <w:tab w:val="center" w:pos="4357"/>
              <w:tab w:val="right" w:pos="9720"/>
            </w:tabs>
            <w:spacing w:before="0"/>
            <w:jc w:val="center"/>
            <w:rPr>
              <w:rFonts w:ascii="Cambria" w:hAnsi="Cambria"/>
            </w:rPr>
          </w:pPr>
          <w:r>
            <w:rPr>
              <w:noProof/>
              <w:sz w:val="16"/>
              <w:szCs w:val="16"/>
              <w:lang w:val="en-US"/>
            </w:rPr>
            <w:drawing>
              <wp:inline distT="0" distB="0" distL="0" distR="0" wp14:anchorId="25D40EC0" wp14:editId="5346B24B">
                <wp:extent cx="380852" cy="548640"/>
                <wp:effectExtent l="0" t="0" r="635" b="3810"/>
                <wp:docPr id="1073742121" name="Imagem 107374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c>
        <w:tcPr>
          <w:tcW w:w="2051" w:type="pct"/>
          <w:tcBorders>
            <w:bottom w:val="single" w:sz="18" w:space="0" w:color="009E49"/>
          </w:tcBorders>
          <w:vAlign w:val="center"/>
        </w:tcPr>
        <w:p w14:paraId="3A8F5833" w14:textId="77777777" w:rsidR="00A70C70" w:rsidRPr="0085655D" w:rsidRDefault="00A70C70" w:rsidP="00C3335E">
          <w:pPr>
            <w:pStyle w:val="Cabealho"/>
            <w:tabs>
              <w:tab w:val="center" w:pos="4357"/>
              <w:tab w:val="right" w:pos="9720"/>
            </w:tabs>
            <w:spacing w:before="0"/>
            <w:jc w:val="center"/>
            <w:rPr>
              <w:rFonts w:asciiTheme="majorHAnsi" w:hAnsiTheme="majorHAnsi"/>
              <w:sz w:val="18"/>
            </w:rPr>
          </w:pPr>
          <w:r w:rsidRPr="0085655D">
            <w:rPr>
              <w:rFonts w:asciiTheme="majorHAnsi" w:hAnsiTheme="majorHAnsi"/>
              <w:sz w:val="18"/>
            </w:rPr>
            <w:t>Plano de Emergência Individual</w:t>
          </w:r>
        </w:p>
        <w:p w14:paraId="28378009" w14:textId="27749DE5" w:rsidR="00A70C70" w:rsidRPr="0085655D" w:rsidRDefault="00A70C70" w:rsidP="003523A8">
          <w:pPr>
            <w:pStyle w:val="Cabealho"/>
            <w:tabs>
              <w:tab w:val="center" w:pos="4357"/>
              <w:tab w:val="right" w:pos="9720"/>
            </w:tabs>
            <w:spacing w:before="0"/>
            <w:jc w:val="center"/>
            <w:rPr>
              <w:rFonts w:asciiTheme="majorHAnsi" w:hAnsiTheme="majorHAnsi"/>
              <w:sz w:val="18"/>
            </w:rPr>
          </w:pPr>
          <w:r>
            <w:rPr>
              <w:rFonts w:asciiTheme="majorHAnsi" w:hAnsiTheme="majorHAnsi"/>
              <w:sz w:val="18"/>
            </w:rPr>
            <w:t xml:space="preserve">ENSCO DS-9 </w:t>
          </w:r>
          <w:r>
            <w:rPr>
              <w:rFonts w:asciiTheme="majorHAnsi" w:hAnsiTheme="majorHAnsi"/>
              <w:sz w:val="18"/>
            </w:rPr>
            <w:sym w:font="Symbol" w:char="F02D"/>
          </w:r>
          <w:r>
            <w:rPr>
              <w:rFonts w:asciiTheme="majorHAnsi" w:hAnsiTheme="majorHAnsi"/>
              <w:sz w:val="18"/>
            </w:rPr>
            <w:t xml:space="preserve"> </w:t>
          </w:r>
          <w:r w:rsidRPr="0085655D">
            <w:rPr>
              <w:rFonts w:asciiTheme="majorHAnsi" w:hAnsiTheme="majorHAnsi"/>
              <w:sz w:val="18"/>
            </w:rPr>
            <w:t xml:space="preserve">Bloco FZA-M-59 </w:t>
          </w:r>
          <w:r>
            <w:rPr>
              <w:rFonts w:asciiTheme="majorHAnsi" w:hAnsiTheme="majorHAnsi"/>
              <w:sz w:val="18"/>
            </w:rPr>
            <w:t>–</w:t>
          </w:r>
          <w:r w:rsidRPr="0085655D">
            <w:rPr>
              <w:rFonts w:asciiTheme="majorHAnsi" w:hAnsiTheme="majorHAnsi"/>
              <w:sz w:val="18"/>
            </w:rPr>
            <w:t xml:space="preserve"> Bacia da Foz do Amazonas</w:t>
          </w:r>
        </w:p>
      </w:tc>
      <w:tc>
        <w:tcPr>
          <w:tcW w:w="1777" w:type="pct"/>
          <w:tcBorders>
            <w:bottom w:val="single" w:sz="18" w:space="0" w:color="009E49"/>
          </w:tcBorders>
          <w:vAlign w:val="center"/>
        </w:tcPr>
        <w:p w14:paraId="74379522" w14:textId="77777777" w:rsidR="00A70C70" w:rsidRPr="00807DBA" w:rsidRDefault="00A70C70" w:rsidP="00C3335E">
          <w:pPr>
            <w:pStyle w:val="Cabealho"/>
            <w:tabs>
              <w:tab w:val="right" w:pos="9720"/>
            </w:tabs>
            <w:spacing w:before="0"/>
            <w:ind w:right="-144"/>
            <w:jc w:val="center"/>
            <w:rPr>
              <w:rFonts w:ascii="Cambria" w:hAnsi="Cambria"/>
              <w:i/>
              <w:noProof/>
            </w:rPr>
          </w:pPr>
          <w:r w:rsidRPr="00BC71EA">
            <w:rPr>
              <w:rFonts w:ascii="Cambria" w:hAnsi="Cambria"/>
              <w:noProof/>
              <w:lang w:val="en-US"/>
            </w:rPr>
            <w:drawing>
              <wp:inline distT="0" distB="0" distL="0" distR="0" wp14:anchorId="5A32B937" wp14:editId="66F8683E">
                <wp:extent cx="1627504" cy="310262"/>
                <wp:effectExtent l="0" t="0" r="0" b="0"/>
                <wp:docPr id="1073742122" name="Imagem 1073742122"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8339" cy="318047"/>
                        </a:xfrm>
                        <a:prstGeom prst="rect">
                          <a:avLst/>
                        </a:prstGeom>
                        <a:noFill/>
                      </pic:spPr>
                    </pic:pic>
                  </a:graphicData>
                </a:graphic>
              </wp:inline>
            </w:drawing>
          </w:r>
        </w:p>
      </w:tc>
    </w:tr>
  </w:tbl>
  <w:p w14:paraId="14AA65BF" w14:textId="77777777" w:rsidR="00A70C70" w:rsidRPr="00D37C34" w:rsidRDefault="00A70C70" w:rsidP="00023EAB">
    <w:pPr>
      <w:pStyle w:val="Cabealho"/>
      <w:rPr>
        <w:lang w:val="en-US"/>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comgrade"/>
      <w:tblW w:w="5001" w:type="pct"/>
      <w:tblBorders>
        <w:top w:val="none" w:sz="0" w:space="0" w:color="auto"/>
        <w:left w:val="none" w:sz="0" w:space="0" w:color="auto"/>
        <w:bottom w:val="single" w:sz="18" w:space="0" w:color="009E49"/>
        <w:right w:val="none" w:sz="0" w:space="0" w:color="auto"/>
        <w:insideH w:val="none" w:sz="0" w:space="0" w:color="auto"/>
        <w:insideV w:val="none" w:sz="0" w:space="0" w:color="auto"/>
      </w:tblBorders>
      <w:tblLook w:val="04A0" w:firstRow="1" w:lastRow="0" w:firstColumn="1" w:lastColumn="0" w:noHBand="0" w:noVBand="1"/>
    </w:tblPr>
    <w:tblGrid>
      <w:gridCol w:w="7111"/>
      <w:gridCol w:w="7112"/>
    </w:tblGrid>
    <w:tr w:rsidR="00A70C70" w:rsidRPr="0093270C" w14:paraId="1996D15C" w14:textId="77777777" w:rsidTr="008A76B4">
      <w:trPr>
        <w:trHeight w:val="845"/>
      </w:trPr>
      <w:tc>
        <w:tcPr>
          <w:tcW w:w="2500" w:type="pct"/>
          <w:vAlign w:val="center"/>
        </w:tcPr>
        <w:p w14:paraId="519D9471" w14:textId="77777777" w:rsidR="00A70C70" w:rsidRPr="00FE529E" w:rsidRDefault="00A70C70" w:rsidP="008A76B4">
          <w:pPr>
            <w:pStyle w:val="Cabealho"/>
            <w:tabs>
              <w:tab w:val="center" w:pos="4357"/>
              <w:tab w:val="right" w:pos="9720"/>
            </w:tabs>
            <w:spacing w:before="240" w:after="120"/>
            <w:rPr>
              <w:rFonts w:asciiTheme="majorHAnsi" w:hAnsiTheme="majorHAnsi"/>
            </w:rPr>
          </w:pPr>
          <w:r w:rsidRPr="00FE529E">
            <w:rPr>
              <w:rFonts w:asciiTheme="majorHAnsi" w:hAnsiTheme="majorHAnsi"/>
              <w:noProof/>
              <w:lang w:val="en-US"/>
            </w:rPr>
            <w:drawing>
              <wp:inline distT="0" distB="0" distL="0" distR="0" wp14:anchorId="62C3F6A0" wp14:editId="12D94BBE">
                <wp:extent cx="2265045" cy="431800"/>
                <wp:effectExtent l="0" t="0" r="1905" b="6350"/>
                <wp:docPr id="1073742123" name="Imagem 1073742123"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65045" cy="431800"/>
                        </a:xfrm>
                        <a:prstGeom prst="rect">
                          <a:avLst/>
                        </a:prstGeom>
                        <a:noFill/>
                      </pic:spPr>
                    </pic:pic>
                  </a:graphicData>
                </a:graphic>
              </wp:inline>
            </w:drawing>
          </w:r>
        </w:p>
      </w:tc>
      <w:tc>
        <w:tcPr>
          <w:tcW w:w="2500" w:type="pct"/>
          <w:vAlign w:val="center"/>
        </w:tcPr>
        <w:p w14:paraId="25548925" w14:textId="77777777" w:rsidR="00A70C70" w:rsidRDefault="00A70C70" w:rsidP="008A76B4">
          <w:pPr>
            <w:pStyle w:val="Cabealho"/>
            <w:tabs>
              <w:tab w:val="right" w:pos="9720"/>
            </w:tabs>
            <w:spacing w:line="360" w:lineRule="auto"/>
            <w:ind w:right="176"/>
            <w:jc w:val="right"/>
            <w:rPr>
              <w:rFonts w:asciiTheme="majorHAnsi" w:hAnsiTheme="majorHAnsi"/>
            </w:rPr>
          </w:pPr>
          <w:r w:rsidRPr="00FD3090">
            <w:rPr>
              <w:rFonts w:asciiTheme="majorHAnsi" w:hAnsiTheme="majorHAnsi"/>
            </w:rPr>
            <w:t>Plano de Emergência Individual</w:t>
          </w:r>
          <w:r>
            <w:rPr>
              <w:rFonts w:asciiTheme="majorHAnsi" w:hAnsiTheme="majorHAnsi"/>
            </w:rPr>
            <w:t xml:space="preserve"> - </w:t>
          </w:r>
          <w:r w:rsidRPr="00FD3090">
            <w:rPr>
              <w:rFonts w:asciiTheme="majorHAnsi" w:hAnsiTheme="majorHAnsi"/>
            </w:rPr>
            <w:t xml:space="preserve">Bloco </w:t>
          </w:r>
          <w:r>
            <w:rPr>
              <w:rFonts w:asciiTheme="majorHAnsi" w:hAnsiTheme="majorHAnsi"/>
            </w:rPr>
            <w:t xml:space="preserve">FZA-M-59 </w:t>
          </w:r>
        </w:p>
        <w:p w14:paraId="371E1EF8" w14:textId="77777777" w:rsidR="00A70C70" w:rsidRPr="00FE529E" w:rsidRDefault="00A70C70" w:rsidP="008A76B4">
          <w:pPr>
            <w:pStyle w:val="Cabealho"/>
            <w:tabs>
              <w:tab w:val="right" w:pos="9720"/>
            </w:tabs>
            <w:spacing w:line="360" w:lineRule="auto"/>
            <w:ind w:right="176"/>
            <w:jc w:val="right"/>
            <w:rPr>
              <w:rFonts w:asciiTheme="majorHAnsi" w:hAnsiTheme="majorHAnsi"/>
              <w:i/>
              <w:noProof/>
            </w:rPr>
          </w:pPr>
          <w:r w:rsidRPr="00FD3090">
            <w:rPr>
              <w:rFonts w:asciiTheme="majorHAnsi" w:hAnsiTheme="majorHAnsi"/>
            </w:rPr>
            <w:t>Bacia da Foz do Amazonas</w:t>
          </w:r>
        </w:p>
      </w:tc>
    </w:tr>
  </w:tbl>
  <w:p w14:paraId="49EA71EA" w14:textId="77777777" w:rsidR="00A70C70" w:rsidRPr="00FD3090" w:rsidRDefault="00A70C70">
    <w:pPr>
      <w:pStyle w:val="Cabealh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comgrade"/>
      <w:tblW w:w="5000" w:type="pct"/>
      <w:tblBorders>
        <w:top w:val="none" w:sz="0" w:space="0" w:color="auto"/>
        <w:left w:val="none" w:sz="0" w:space="0" w:color="auto"/>
        <w:bottom w:val="single" w:sz="36" w:space="0" w:color="009E49"/>
        <w:right w:val="none" w:sz="0" w:space="0" w:color="auto"/>
        <w:insideH w:val="none" w:sz="0" w:space="0" w:color="auto"/>
        <w:insideV w:val="none" w:sz="0" w:space="0" w:color="auto"/>
      </w:tblBorders>
      <w:tblLook w:val="04A0" w:firstRow="1" w:lastRow="0" w:firstColumn="1" w:lastColumn="0" w:noHBand="0" w:noVBand="1"/>
    </w:tblPr>
    <w:tblGrid>
      <w:gridCol w:w="3582"/>
      <w:gridCol w:w="6268"/>
      <w:gridCol w:w="4154"/>
    </w:tblGrid>
    <w:tr w:rsidR="00A70C70" w:rsidRPr="00B366A0" w14:paraId="17EC903C" w14:textId="77777777" w:rsidTr="00E13E52">
      <w:trPr>
        <w:trHeight w:val="845"/>
      </w:trPr>
      <w:tc>
        <w:tcPr>
          <w:tcW w:w="1279" w:type="pct"/>
          <w:tcBorders>
            <w:bottom w:val="single" w:sz="18" w:space="0" w:color="009E49"/>
          </w:tcBorders>
          <w:vAlign w:val="center"/>
        </w:tcPr>
        <w:p w14:paraId="0718C2C4" w14:textId="77777777" w:rsidR="00A70C70" w:rsidRPr="00CE3601" w:rsidRDefault="00A70C70" w:rsidP="00C3335E">
          <w:pPr>
            <w:pStyle w:val="Cabealho"/>
            <w:tabs>
              <w:tab w:val="center" w:pos="4357"/>
              <w:tab w:val="right" w:pos="9720"/>
            </w:tabs>
            <w:spacing w:before="0"/>
            <w:jc w:val="center"/>
            <w:rPr>
              <w:rFonts w:ascii="Cambria" w:hAnsi="Cambria"/>
            </w:rPr>
          </w:pPr>
          <w:r>
            <w:rPr>
              <w:noProof/>
              <w:sz w:val="16"/>
              <w:szCs w:val="16"/>
              <w:lang w:val="en-US"/>
            </w:rPr>
            <w:drawing>
              <wp:inline distT="0" distB="0" distL="0" distR="0" wp14:anchorId="353B75EA" wp14:editId="45276D32">
                <wp:extent cx="380852" cy="548640"/>
                <wp:effectExtent l="0" t="0" r="635" b="3810"/>
                <wp:docPr id="1073742124" name="Imagem 107374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c>
        <w:tcPr>
          <w:tcW w:w="2238" w:type="pct"/>
          <w:tcBorders>
            <w:bottom w:val="single" w:sz="18" w:space="0" w:color="009E49"/>
          </w:tcBorders>
          <w:vAlign w:val="center"/>
        </w:tcPr>
        <w:p w14:paraId="5BF482C9" w14:textId="77777777" w:rsidR="00A70C70" w:rsidRPr="0085655D" w:rsidRDefault="00A70C70" w:rsidP="00C3335E">
          <w:pPr>
            <w:pStyle w:val="Cabealho"/>
            <w:tabs>
              <w:tab w:val="center" w:pos="4357"/>
              <w:tab w:val="right" w:pos="9720"/>
            </w:tabs>
            <w:spacing w:before="0"/>
            <w:jc w:val="center"/>
            <w:rPr>
              <w:rFonts w:asciiTheme="majorHAnsi" w:hAnsiTheme="majorHAnsi"/>
              <w:sz w:val="18"/>
            </w:rPr>
          </w:pPr>
          <w:r w:rsidRPr="0085655D">
            <w:rPr>
              <w:rFonts w:asciiTheme="majorHAnsi" w:hAnsiTheme="majorHAnsi"/>
              <w:sz w:val="18"/>
            </w:rPr>
            <w:t>Plano de Emergência Individual</w:t>
          </w:r>
        </w:p>
        <w:p w14:paraId="4E4A51F4" w14:textId="1C8C3B3E" w:rsidR="00A70C70" w:rsidRPr="0085655D" w:rsidRDefault="00A70C70" w:rsidP="003523A8">
          <w:pPr>
            <w:pStyle w:val="Cabealho"/>
            <w:tabs>
              <w:tab w:val="center" w:pos="4357"/>
              <w:tab w:val="right" w:pos="9720"/>
            </w:tabs>
            <w:spacing w:before="0"/>
            <w:jc w:val="center"/>
            <w:rPr>
              <w:rFonts w:asciiTheme="majorHAnsi" w:hAnsiTheme="majorHAnsi"/>
              <w:sz w:val="18"/>
            </w:rPr>
          </w:pPr>
          <w:r>
            <w:rPr>
              <w:rFonts w:asciiTheme="majorHAnsi" w:hAnsiTheme="majorHAnsi"/>
              <w:sz w:val="18"/>
            </w:rPr>
            <w:t xml:space="preserve">ENSCO DS-9 </w:t>
          </w:r>
          <w:r>
            <w:rPr>
              <w:rFonts w:asciiTheme="majorHAnsi" w:hAnsiTheme="majorHAnsi"/>
              <w:sz w:val="18"/>
            </w:rPr>
            <w:sym w:font="Symbol" w:char="F02D"/>
          </w:r>
          <w:r>
            <w:rPr>
              <w:rFonts w:asciiTheme="majorHAnsi" w:hAnsiTheme="majorHAnsi"/>
              <w:sz w:val="18"/>
            </w:rPr>
            <w:t xml:space="preserve"> </w:t>
          </w:r>
          <w:r w:rsidRPr="0085655D">
            <w:rPr>
              <w:rFonts w:asciiTheme="majorHAnsi" w:hAnsiTheme="majorHAnsi"/>
              <w:sz w:val="18"/>
            </w:rPr>
            <w:t xml:space="preserve">Bloco FZA-M-59 </w:t>
          </w:r>
          <w:r>
            <w:rPr>
              <w:rFonts w:asciiTheme="majorHAnsi" w:hAnsiTheme="majorHAnsi"/>
              <w:sz w:val="18"/>
            </w:rPr>
            <w:t>–</w:t>
          </w:r>
          <w:r w:rsidRPr="0085655D">
            <w:rPr>
              <w:rFonts w:asciiTheme="majorHAnsi" w:hAnsiTheme="majorHAnsi"/>
              <w:sz w:val="18"/>
            </w:rPr>
            <w:t xml:space="preserve"> Bacia da Foz do Amazonas</w:t>
          </w:r>
        </w:p>
      </w:tc>
      <w:tc>
        <w:tcPr>
          <w:tcW w:w="1483" w:type="pct"/>
          <w:tcBorders>
            <w:bottom w:val="single" w:sz="18" w:space="0" w:color="009E49"/>
          </w:tcBorders>
          <w:vAlign w:val="center"/>
        </w:tcPr>
        <w:p w14:paraId="1436DDED" w14:textId="77777777" w:rsidR="00A70C70" w:rsidRPr="00807DBA" w:rsidRDefault="00A70C70" w:rsidP="00C3335E">
          <w:pPr>
            <w:pStyle w:val="Cabealho"/>
            <w:tabs>
              <w:tab w:val="right" w:pos="9720"/>
            </w:tabs>
            <w:spacing w:before="0"/>
            <w:ind w:right="-144"/>
            <w:jc w:val="center"/>
            <w:rPr>
              <w:rFonts w:ascii="Cambria" w:hAnsi="Cambria"/>
              <w:i/>
              <w:noProof/>
            </w:rPr>
          </w:pPr>
          <w:r w:rsidRPr="00BC71EA">
            <w:rPr>
              <w:rFonts w:ascii="Cambria" w:hAnsi="Cambria"/>
              <w:noProof/>
              <w:lang w:val="en-US"/>
            </w:rPr>
            <w:drawing>
              <wp:inline distT="0" distB="0" distL="0" distR="0" wp14:anchorId="1494F32E" wp14:editId="3141E149">
                <wp:extent cx="1627504" cy="310262"/>
                <wp:effectExtent l="0" t="0" r="0" b="0"/>
                <wp:docPr id="1073742125" name="Imagem 1073742125"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8339" cy="318047"/>
                        </a:xfrm>
                        <a:prstGeom prst="rect">
                          <a:avLst/>
                        </a:prstGeom>
                        <a:noFill/>
                      </pic:spPr>
                    </pic:pic>
                  </a:graphicData>
                </a:graphic>
              </wp:inline>
            </w:drawing>
          </w:r>
        </w:p>
      </w:tc>
    </w:tr>
  </w:tbl>
  <w:p w14:paraId="69661E0B" w14:textId="77777777" w:rsidR="00A70C70" w:rsidRPr="00807DBA" w:rsidRDefault="00A70C70" w:rsidP="008A76B4">
    <w:pPr>
      <w:pStyle w:val="Cabealh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comgrade"/>
      <w:tblW w:w="5000" w:type="pct"/>
      <w:jc w:val="center"/>
      <w:tblBorders>
        <w:top w:val="none" w:sz="0" w:space="0" w:color="auto"/>
        <w:left w:val="none" w:sz="0" w:space="0" w:color="auto"/>
        <w:bottom w:val="single" w:sz="36" w:space="0" w:color="009E49"/>
        <w:right w:val="none" w:sz="0" w:space="0" w:color="auto"/>
        <w:insideH w:val="none" w:sz="0" w:space="0" w:color="auto"/>
        <w:insideV w:val="none" w:sz="0" w:space="0" w:color="auto"/>
      </w:tblBorders>
      <w:tblLook w:val="04A0" w:firstRow="1" w:lastRow="0" w:firstColumn="1" w:lastColumn="0" w:noHBand="0" w:noVBand="1"/>
    </w:tblPr>
    <w:tblGrid>
      <w:gridCol w:w="2126"/>
      <w:gridCol w:w="3721"/>
      <w:gridCol w:w="3224"/>
    </w:tblGrid>
    <w:tr w:rsidR="00A70C70" w:rsidRPr="00B366A0" w14:paraId="5B4E32DA" w14:textId="77777777" w:rsidTr="00E13E52">
      <w:trPr>
        <w:trHeight w:val="845"/>
        <w:jc w:val="center"/>
      </w:trPr>
      <w:tc>
        <w:tcPr>
          <w:tcW w:w="1172" w:type="pct"/>
          <w:tcBorders>
            <w:bottom w:val="single" w:sz="18" w:space="0" w:color="009E49"/>
          </w:tcBorders>
          <w:vAlign w:val="center"/>
        </w:tcPr>
        <w:p w14:paraId="5902E5E6" w14:textId="77777777" w:rsidR="00A70C70" w:rsidRPr="00CE3601" w:rsidRDefault="00A70C70" w:rsidP="00C3335E">
          <w:pPr>
            <w:pStyle w:val="Cabealho"/>
            <w:tabs>
              <w:tab w:val="center" w:pos="4357"/>
              <w:tab w:val="right" w:pos="9720"/>
            </w:tabs>
            <w:spacing w:before="0"/>
            <w:jc w:val="center"/>
            <w:rPr>
              <w:rFonts w:ascii="Cambria" w:hAnsi="Cambria"/>
            </w:rPr>
          </w:pPr>
          <w:r>
            <w:rPr>
              <w:noProof/>
              <w:sz w:val="16"/>
              <w:szCs w:val="16"/>
              <w:lang w:val="en-US"/>
            </w:rPr>
            <w:drawing>
              <wp:inline distT="0" distB="0" distL="0" distR="0" wp14:anchorId="53BCDD37" wp14:editId="0F7F6338">
                <wp:extent cx="380852" cy="548640"/>
                <wp:effectExtent l="0" t="0" r="635" b="3810"/>
                <wp:docPr id="1073742127" name="Imagem 107374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c>
        <w:tcPr>
          <w:tcW w:w="2051" w:type="pct"/>
          <w:tcBorders>
            <w:bottom w:val="single" w:sz="18" w:space="0" w:color="009E49"/>
          </w:tcBorders>
          <w:vAlign w:val="center"/>
        </w:tcPr>
        <w:p w14:paraId="5F3A8F6E" w14:textId="77777777" w:rsidR="00A70C70" w:rsidRPr="0085655D" w:rsidRDefault="00A70C70" w:rsidP="00C3335E">
          <w:pPr>
            <w:pStyle w:val="Cabealho"/>
            <w:tabs>
              <w:tab w:val="center" w:pos="4357"/>
              <w:tab w:val="right" w:pos="9720"/>
            </w:tabs>
            <w:spacing w:before="0"/>
            <w:jc w:val="center"/>
            <w:rPr>
              <w:rFonts w:asciiTheme="majorHAnsi" w:hAnsiTheme="majorHAnsi"/>
              <w:sz w:val="18"/>
            </w:rPr>
          </w:pPr>
          <w:r w:rsidRPr="0085655D">
            <w:rPr>
              <w:rFonts w:asciiTheme="majorHAnsi" w:hAnsiTheme="majorHAnsi"/>
              <w:sz w:val="18"/>
            </w:rPr>
            <w:t>Plano de Emergência Individual</w:t>
          </w:r>
        </w:p>
        <w:p w14:paraId="649D57DC" w14:textId="2DF42736" w:rsidR="00A70C70" w:rsidRPr="0085655D" w:rsidRDefault="00A70C70" w:rsidP="003523A8">
          <w:pPr>
            <w:pStyle w:val="Cabealho"/>
            <w:tabs>
              <w:tab w:val="center" w:pos="4357"/>
              <w:tab w:val="right" w:pos="9720"/>
            </w:tabs>
            <w:spacing w:before="0"/>
            <w:jc w:val="center"/>
            <w:rPr>
              <w:rFonts w:asciiTheme="majorHAnsi" w:hAnsiTheme="majorHAnsi"/>
              <w:sz w:val="18"/>
            </w:rPr>
          </w:pPr>
          <w:r>
            <w:rPr>
              <w:rFonts w:asciiTheme="majorHAnsi" w:hAnsiTheme="majorHAnsi"/>
              <w:sz w:val="18"/>
            </w:rPr>
            <w:t xml:space="preserve">ENSCO DS-9 </w:t>
          </w:r>
          <w:r>
            <w:rPr>
              <w:rFonts w:asciiTheme="majorHAnsi" w:hAnsiTheme="majorHAnsi"/>
              <w:sz w:val="18"/>
            </w:rPr>
            <w:sym w:font="Symbol" w:char="F02D"/>
          </w:r>
          <w:r>
            <w:rPr>
              <w:rFonts w:asciiTheme="majorHAnsi" w:hAnsiTheme="majorHAnsi"/>
              <w:sz w:val="18"/>
            </w:rPr>
            <w:t xml:space="preserve"> </w:t>
          </w:r>
          <w:r w:rsidRPr="0085655D">
            <w:rPr>
              <w:rFonts w:asciiTheme="majorHAnsi" w:hAnsiTheme="majorHAnsi"/>
              <w:sz w:val="18"/>
            </w:rPr>
            <w:t xml:space="preserve">Bloco FZA-M-59 </w:t>
          </w:r>
          <w:r>
            <w:rPr>
              <w:rFonts w:asciiTheme="majorHAnsi" w:hAnsiTheme="majorHAnsi"/>
              <w:sz w:val="18"/>
            </w:rPr>
            <w:t>–</w:t>
          </w:r>
          <w:r w:rsidRPr="0085655D">
            <w:rPr>
              <w:rFonts w:asciiTheme="majorHAnsi" w:hAnsiTheme="majorHAnsi"/>
              <w:sz w:val="18"/>
            </w:rPr>
            <w:t xml:space="preserve"> Bacia da Foz do Amazonas</w:t>
          </w:r>
        </w:p>
      </w:tc>
      <w:tc>
        <w:tcPr>
          <w:tcW w:w="1777" w:type="pct"/>
          <w:tcBorders>
            <w:bottom w:val="single" w:sz="18" w:space="0" w:color="009E49"/>
          </w:tcBorders>
          <w:vAlign w:val="center"/>
        </w:tcPr>
        <w:p w14:paraId="03407827" w14:textId="77777777" w:rsidR="00A70C70" w:rsidRPr="00807DBA" w:rsidRDefault="00A70C70" w:rsidP="00C3335E">
          <w:pPr>
            <w:pStyle w:val="Cabealho"/>
            <w:tabs>
              <w:tab w:val="right" w:pos="9720"/>
            </w:tabs>
            <w:spacing w:before="0"/>
            <w:ind w:right="-144"/>
            <w:jc w:val="center"/>
            <w:rPr>
              <w:rFonts w:ascii="Cambria" w:hAnsi="Cambria"/>
              <w:i/>
              <w:noProof/>
            </w:rPr>
          </w:pPr>
          <w:r w:rsidRPr="00BC71EA">
            <w:rPr>
              <w:rFonts w:ascii="Cambria" w:hAnsi="Cambria"/>
              <w:noProof/>
              <w:lang w:val="en-US"/>
            </w:rPr>
            <w:drawing>
              <wp:inline distT="0" distB="0" distL="0" distR="0" wp14:anchorId="250E25D3" wp14:editId="2ACDD842">
                <wp:extent cx="1627504" cy="310262"/>
                <wp:effectExtent l="0" t="0" r="0" b="0"/>
                <wp:docPr id="1073742128" name="Imagem 1073742128"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8339" cy="318047"/>
                        </a:xfrm>
                        <a:prstGeom prst="rect">
                          <a:avLst/>
                        </a:prstGeom>
                        <a:noFill/>
                      </pic:spPr>
                    </pic:pic>
                  </a:graphicData>
                </a:graphic>
              </wp:inline>
            </w:drawing>
          </w:r>
        </w:p>
      </w:tc>
    </w:tr>
  </w:tbl>
  <w:p w14:paraId="6201C85C" w14:textId="77777777" w:rsidR="00A70C70" w:rsidRPr="00807DBA" w:rsidRDefault="00A70C70" w:rsidP="008A76B4">
    <w:pPr>
      <w:pStyle w:val="Cabealho"/>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comgrade"/>
      <w:tblW w:w="5000" w:type="pct"/>
      <w:jc w:val="center"/>
      <w:tblBorders>
        <w:top w:val="none" w:sz="0" w:space="0" w:color="auto"/>
        <w:left w:val="none" w:sz="0" w:space="0" w:color="auto"/>
        <w:bottom w:val="single" w:sz="36" w:space="0" w:color="009E49"/>
        <w:right w:val="none" w:sz="0" w:space="0" w:color="auto"/>
        <w:insideH w:val="none" w:sz="0" w:space="0" w:color="auto"/>
        <w:insideV w:val="none" w:sz="0" w:space="0" w:color="auto"/>
      </w:tblBorders>
      <w:tblLook w:val="04A0" w:firstRow="1" w:lastRow="0" w:firstColumn="1" w:lastColumn="0" w:noHBand="0" w:noVBand="1"/>
    </w:tblPr>
    <w:tblGrid>
      <w:gridCol w:w="2176"/>
      <w:gridCol w:w="3810"/>
      <w:gridCol w:w="3301"/>
    </w:tblGrid>
    <w:tr w:rsidR="00A70C70" w:rsidRPr="00B366A0" w14:paraId="461824E4" w14:textId="77777777" w:rsidTr="00E13E52">
      <w:trPr>
        <w:trHeight w:val="845"/>
        <w:jc w:val="center"/>
      </w:trPr>
      <w:tc>
        <w:tcPr>
          <w:tcW w:w="1172" w:type="pct"/>
          <w:tcBorders>
            <w:bottom w:val="single" w:sz="18" w:space="0" w:color="009E49"/>
          </w:tcBorders>
          <w:vAlign w:val="center"/>
        </w:tcPr>
        <w:p w14:paraId="2D2ABDF5" w14:textId="77777777" w:rsidR="00A70C70" w:rsidRPr="00CE3601" w:rsidRDefault="00A70C70" w:rsidP="007564CC">
          <w:pPr>
            <w:pStyle w:val="Cabealho"/>
            <w:tabs>
              <w:tab w:val="center" w:pos="4357"/>
              <w:tab w:val="right" w:pos="9720"/>
            </w:tabs>
            <w:spacing w:before="240" w:after="120"/>
            <w:jc w:val="center"/>
            <w:rPr>
              <w:rFonts w:ascii="Cambria" w:hAnsi="Cambria"/>
            </w:rPr>
          </w:pPr>
          <w:r>
            <w:rPr>
              <w:noProof/>
              <w:sz w:val="16"/>
              <w:szCs w:val="16"/>
              <w:lang w:val="en-US"/>
            </w:rPr>
            <w:drawing>
              <wp:inline distT="0" distB="0" distL="0" distR="0" wp14:anchorId="35EE3631" wp14:editId="0EA1C3F4">
                <wp:extent cx="380852" cy="548640"/>
                <wp:effectExtent l="0" t="0" r="635" b="3810"/>
                <wp:docPr id="1073742129" name="Imagem 107374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c>
        <w:tcPr>
          <w:tcW w:w="2051" w:type="pct"/>
          <w:tcBorders>
            <w:bottom w:val="single" w:sz="18" w:space="0" w:color="009E49"/>
          </w:tcBorders>
          <w:vAlign w:val="center"/>
        </w:tcPr>
        <w:p w14:paraId="5BC63100" w14:textId="77777777" w:rsidR="00A70C70" w:rsidRPr="0085655D" w:rsidRDefault="00A70C70" w:rsidP="007564CC">
          <w:pPr>
            <w:pStyle w:val="Cabealho"/>
            <w:tabs>
              <w:tab w:val="center" w:pos="4357"/>
              <w:tab w:val="right" w:pos="9720"/>
            </w:tabs>
            <w:spacing w:after="120"/>
            <w:jc w:val="center"/>
            <w:rPr>
              <w:rFonts w:asciiTheme="majorHAnsi" w:hAnsiTheme="majorHAnsi"/>
              <w:sz w:val="18"/>
            </w:rPr>
          </w:pPr>
          <w:r w:rsidRPr="0085655D">
            <w:rPr>
              <w:rFonts w:asciiTheme="majorHAnsi" w:hAnsiTheme="majorHAnsi"/>
              <w:sz w:val="18"/>
            </w:rPr>
            <w:t>Plano de Emergência Individual</w:t>
          </w:r>
        </w:p>
        <w:p w14:paraId="5D52B466" w14:textId="77777777" w:rsidR="00A70C70" w:rsidRPr="0085655D" w:rsidRDefault="00A70C70" w:rsidP="007564CC">
          <w:pPr>
            <w:pStyle w:val="Cabealho"/>
            <w:tabs>
              <w:tab w:val="center" w:pos="4357"/>
              <w:tab w:val="right" w:pos="9720"/>
            </w:tabs>
            <w:spacing w:before="60" w:after="60"/>
            <w:jc w:val="center"/>
            <w:rPr>
              <w:rFonts w:asciiTheme="majorHAnsi" w:hAnsiTheme="majorHAnsi"/>
              <w:sz w:val="18"/>
            </w:rPr>
          </w:pPr>
          <w:r w:rsidRPr="0085655D">
            <w:rPr>
              <w:rFonts w:asciiTheme="majorHAnsi" w:hAnsiTheme="majorHAnsi"/>
              <w:sz w:val="18"/>
            </w:rPr>
            <w:t xml:space="preserve">Bloco FZA-M-59 </w:t>
          </w:r>
          <w:r>
            <w:rPr>
              <w:rFonts w:asciiTheme="majorHAnsi" w:hAnsiTheme="majorHAnsi"/>
              <w:sz w:val="18"/>
            </w:rPr>
            <w:t>–</w:t>
          </w:r>
          <w:r w:rsidRPr="0085655D">
            <w:rPr>
              <w:rFonts w:asciiTheme="majorHAnsi" w:hAnsiTheme="majorHAnsi"/>
              <w:sz w:val="18"/>
            </w:rPr>
            <w:t xml:space="preserve"> Bacia da Foz do Amazonas</w:t>
          </w:r>
        </w:p>
      </w:tc>
      <w:tc>
        <w:tcPr>
          <w:tcW w:w="1777" w:type="pct"/>
          <w:tcBorders>
            <w:bottom w:val="single" w:sz="18" w:space="0" w:color="009E49"/>
          </w:tcBorders>
          <w:vAlign w:val="center"/>
        </w:tcPr>
        <w:p w14:paraId="48DFA05E" w14:textId="77777777" w:rsidR="00A70C70" w:rsidRPr="00807DBA" w:rsidRDefault="00A70C70" w:rsidP="007564CC">
          <w:pPr>
            <w:pStyle w:val="Cabealho"/>
            <w:tabs>
              <w:tab w:val="right" w:pos="9720"/>
            </w:tabs>
            <w:spacing w:after="120"/>
            <w:ind w:right="-144"/>
            <w:jc w:val="center"/>
            <w:rPr>
              <w:rFonts w:ascii="Cambria" w:hAnsi="Cambria"/>
              <w:i/>
              <w:noProof/>
            </w:rPr>
          </w:pPr>
          <w:r w:rsidRPr="00BC71EA">
            <w:rPr>
              <w:rFonts w:ascii="Cambria" w:hAnsi="Cambria"/>
              <w:noProof/>
              <w:lang w:val="en-US"/>
            </w:rPr>
            <w:drawing>
              <wp:inline distT="0" distB="0" distL="0" distR="0" wp14:anchorId="6EE72C6C" wp14:editId="35A021B2">
                <wp:extent cx="1627504" cy="310262"/>
                <wp:effectExtent l="0" t="0" r="0" b="0"/>
                <wp:docPr id="1073742130" name="Imagem 1073742130"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8339" cy="318047"/>
                        </a:xfrm>
                        <a:prstGeom prst="rect">
                          <a:avLst/>
                        </a:prstGeom>
                        <a:noFill/>
                      </pic:spPr>
                    </pic:pic>
                  </a:graphicData>
                </a:graphic>
              </wp:inline>
            </w:drawing>
          </w:r>
        </w:p>
      </w:tc>
    </w:tr>
  </w:tbl>
  <w:p w14:paraId="274C2A80" w14:textId="77777777" w:rsidR="00A70C70" w:rsidRDefault="00A70C70">
    <w:pPr>
      <w:pStyle w:val="Cabealho"/>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comgrade"/>
      <w:tblW w:w="5000" w:type="pct"/>
      <w:tblBorders>
        <w:top w:val="none" w:sz="0" w:space="0" w:color="auto"/>
        <w:left w:val="none" w:sz="0" w:space="0" w:color="auto"/>
        <w:bottom w:val="single" w:sz="18" w:space="0" w:color="009E49"/>
        <w:right w:val="none" w:sz="0" w:space="0" w:color="auto"/>
        <w:insideH w:val="none" w:sz="0" w:space="0" w:color="auto"/>
        <w:insideV w:val="none" w:sz="0" w:space="0" w:color="auto"/>
      </w:tblBorders>
      <w:tblLook w:val="04A0" w:firstRow="1" w:lastRow="0" w:firstColumn="1" w:lastColumn="0" w:noHBand="0" w:noVBand="1"/>
    </w:tblPr>
    <w:tblGrid>
      <w:gridCol w:w="6325"/>
      <w:gridCol w:w="7894"/>
    </w:tblGrid>
    <w:tr w:rsidR="00A70C70" w:rsidRPr="00AE0145" w14:paraId="6268EB86" w14:textId="77777777" w:rsidTr="00953C7D">
      <w:trPr>
        <w:trHeight w:val="845"/>
      </w:trPr>
      <w:tc>
        <w:tcPr>
          <w:tcW w:w="2224" w:type="pct"/>
          <w:vAlign w:val="center"/>
        </w:tcPr>
        <w:p w14:paraId="3A19EDF2" w14:textId="77777777" w:rsidR="00A70C70" w:rsidRPr="00FE529E" w:rsidRDefault="00A70C70" w:rsidP="00953C7D">
          <w:pPr>
            <w:pStyle w:val="Cabealho"/>
            <w:tabs>
              <w:tab w:val="center" w:pos="4357"/>
              <w:tab w:val="right" w:pos="9720"/>
            </w:tabs>
            <w:spacing w:after="120"/>
            <w:rPr>
              <w:rFonts w:asciiTheme="majorHAnsi" w:hAnsiTheme="majorHAnsi"/>
            </w:rPr>
          </w:pPr>
          <w:r w:rsidRPr="00FE529E">
            <w:rPr>
              <w:rFonts w:asciiTheme="majorHAnsi" w:hAnsiTheme="majorHAnsi"/>
              <w:noProof/>
              <w:lang w:val="en-US"/>
            </w:rPr>
            <w:drawing>
              <wp:inline distT="0" distB="0" distL="0" distR="0" wp14:anchorId="5B398A3F" wp14:editId="497971E5">
                <wp:extent cx="2265045" cy="431800"/>
                <wp:effectExtent l="0" t="0" r="1905" b="6350"/>
                <wp:docPr id="1073742131" name="Imagem 1073742131"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65045" cy="431800"/>
                        </a:xfrm>
                        <a:prstGeom prst="rect">
                          <a:avLst/>
                        </a:prstGeom>
                        <a:noFill/>
                      </pic:spPr>
                    </pic:pic>
                  </a:graphicData>
                </a:graphic>
              </wp:inline>
            </w:drawing>
          </w:r>
        </w:p>
      </w:tc>
      <w:tc>
        <w:tcPr>
          <w:tcW w:w="2776" w:type="pct"/>
          <w:vAlign w:val="center"/>
        </w:tcPr>
        <w:p w14:paraId="0FCA28F8" w14:textId="77777777" w:rsidR="00A70C70" w:rsidRDefault="00A70C70" w:rsidP="00953C7D">
          <w:pPr>
            <w:pStyle w:val="Cabealho"/>
            <w:tabs>
              <w:tab w:val="right" w:pos="9720"/>
            </w:tabs>
            <w:spacing w:after="120"/>
            <w:ind w:right="176"/>
            <w:jc w:val="right"/>
            <w:rPr>
              <w:rFonts w:asciiTheme="majorHAnsi" w:hAnsiTheme="majorHAnsi"/>
            </w:rPr>
          </w:pPr>
          <w:r w:rsidRPr="00FD3090">
            <w:rPr>
              <w:rFonts w:asciiTheme="majorHAnsi" w:hAnsiTheme="majorHAnsi"/>
            </w:rPr>
            <w:t>Plano de Emergência Individual</w:t>
          </w:r>
        </w:p>
        <w:p w14:paraId="59927394" w14:textId="77777777" w:rsidR="00A70C70" w:rsidRPr="00FE529E" w:rsidRDefault="00A70C70" w:rsidP="00953C7D">
          <w:pPr>
            <w:pStyle w:val="Cabealho"/>
            <w:tabs>
              <w:tab w:val="right" w:pos="9720"/>
            </w:tabs>
            <w:spacing w:after="120"/>
            <w:ind w:right="176"/>
            <w:jc w:val="right"/>
            <w:rPr>
              <w:rFonts w:asciiTheme="majorHAnsi" w:hAnsiTheme="majorHAnsi"/>
              <w:i/>
              <w:noProof/>
            </w:rPr>
          </w:pPr>
          <w:r w:rsidRPr="00FD3090">
            <w:rPr>
              <w:rFonts w:asciiTheme="majorHAnsi" w:hAnsiTheme="majorHAnsi"/>
            </w:rPr>
            <w:t xml:space="preserve">Bloco </w:t>
          </w:r>
          <w:r w:rsidRPr="003941A0">
            <w:rPr>
              <w:rFonts w:asciiTheme="majorHAnsi" w:hAnsiTheme="majorHAnsi"/>
            </w:rPr>
            <w:t>FZA-M-</w:t>
          </w:r>
          <w:r>
            <w:rPr>
              <w:rFonts w:asciiTheme="majorHAnsi" w:hAnsiTheme="majorHAnsi"/>
            </w:rPr>
            <w:t>59</w:t>
          </w:r>
          <w:r w:rsidRPr="003941A0">
            <w:rPr>
              <w:rFonts w:asciiTheme="majorHAnsi" w:hAnsiTheme="majorHAnsi"/>
            </w:rPr>
            <w:t xml:space="preserve"> </w:t>
          </w:r>
          <w:r>
            <w:rPr>
              <w:rFonts w:asciiTheme="majorHAnsi" w:hAnsiTheme="majorHAnsi"/>
            </w:rPr>
            <w:t xml:space="preserve">- </w:t>
          </w:r>
          <w:r w:rsidRPr="00FD3090">
            <w:rPr>
              <w:rFonts w:asciiTheme="majorHAnsi" w:hAnsiTheme="majorHAnsi"/>
            </w:rPr>
            <w:t>Bacia da Foz do Amazonas</w:t>
          </w:r>
        </w:p>
      </w:tc>
    </w:tr>
  </w:tbl>
  <w:p w14:paraId="6E20700F" w14:textId="77777777" w:rsidR="00A70C70" w:rsidRPr="00FD3090" w:rsidRDefault="00A70C70">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A94F32"/>
    <w:multiLevelType w:val="multilevel"/>
    <w:tmpl w:val="F77258C4"/>
    <w:styleLink w:val="List31"/>
    <w:lvl w:ilvl="0">
      <w:start w:val="1"/>
      <w:numFmt w:val="upperLetter"/>
      <w:lvlText w:val="APÊNDICE %1 - "/>
      <w:lvlJc w:val="left"/>
      <w:rPr>
        <w:rFonts w:ascii="Calibri" w:hAnsi="Calibri" w:hint="default"/>
        <w:b/>
        <w:i w:val="0"/>
        <w:caps w:val="0"/>
        <w:strike w:val="0"/>
        <w:dstrike w:val="0"/>
        <w:vanish w:val="0"/>
        <w:color w:val="1F497D"/>
        <w:position w:val="0"/>
        <w:sz w:val="32"/>
        <w:vertAlign w:val="baseline"/>
        <w:rtl w:val="0"/>
      </w:rPr>
    </w:lvl>
    <w:lvl w:ilvl="1">
      <w:start w:val="1"/>
      <w:numFmt w:val="lowerLetter"/>
      <w:lvlText w:val="%2."/>
      <w:lvlJc w:val="left"/>
      <w:rPr>
        <w:color w:val="000000"/>
        <w:position w:val="0"/>
        <w:rtl w:val="0"/>
      </w:rPr>
    </w:lvl>
    <w:lvl w:ilvl="2">
      <w:start w:val="1"/>
      <w:numFmt w:val="lowerRoman"/>
      <w:lvlText w:val="%3."/>
      <w:lvlJc w:val="left"/>
      <w:rPr>
        <w:color w:val="000000"/>
        <w:position w:val="0"/>
        <w:rtl w:val="0"/>
      </w:rPr>
    </w:lvl>
    <w:lvl w:ilvl="3">
      <w:start w:val="1"/>
      <w:numFmt w:val="decimal"/>
      <w:lvlText w:val="%4."/>
      <w:lvlJc w:val="left"/>
      <w:rPr>
        <w:color w:val="000000"/>
        <w:position w:val="0"/>
        <w:rtl w:val="0"/>
      </w:rPr>
    </w:lvl>
    <w:lvl w:ilvl="4">
      <w:start w:val="1"/>
      <w:numFmt w:val="lowerLetter"/>
      <w:lvlText w:val="%5."/>
      <w:lvlJc w:val="left"/>
      <w:rPr>
        <w:color w:val="000000"/>
        <w:position w:val="0"/>
        <w:rtl w:val="0"/>
      </w:rPr>
    </w:lvl>
    <w:lvl w:ilvl="5">
      <w:start w:val="1"/>
      <w:numFmt w:val="lowerRoman"/>
      <w:lvlText w:val="%6."/>
      <w:lvlJc w:val="left"/>
      <w:rPr>
        <w:color w:val="000000"/>
        <w:position w:val="0"/>
        <w:rtl w:val="0"/>
      </w:rPr>
    </w:lvl>
    <w:lvl w:ilvl="6">
      <w:start w:val="1"/>
      <w:numFmt w:val="decimal"/>
      <w:lvlText w:val="%7."/>
      <w:lvlJc w:val="left"/>
      <w:rPr>
        <w:color w:val="000000"/>
        <w:position w:val="0"/>
        <w:rtl w:val="0"/>
      </w:rPr>
    </w:lvl>
    <w:lvl w:ilvl="7">
      <w:start w:val="1"/>
      <w:numFmt w:val="lowerLetter"/>
      <w:lvlText w:val="%8."/>
      <w:lvlJc w:val="left"/>
      <w:rPr>
        <w:color w:val="000000"/>
        <w:position w:val="0"/>
        <w:rtl w:val="0"/>
      </w:rPr>
    </w:lvl>
    <w:lvl w:ilvl="8">
      <w:start w:val="1"/>
      <w:numFmt w:val="lowerRoman"/>
      <w:lvlText w:val="%9."/>
      <w:lvlJc w:val="left"/>
      <w:rPr>
        <w:color w:val="000000"/>
        <w:position w:val="0"/>
        <w:rtl w:val="0"/>
      </w:rPr>
    </w:lvl>
  </w:abstractNum>
  <w:abstractNum w:abstractNumId="1" w15:restartNumberingAfterBreak="0">
    <w:nsid w:val="03EE7783"/>
    <w:multiLevelType w:val="hybridMultilevel"/>
    <w:tmpl w:val="B72C9102"/>
    <w:lvl w:ilvl="0" w:tplc="04090001">
      <w:start w:val="1"/>
      <w:numFmt w:val="bullet"/>
      <w:lvlText w:val=""/>
      <w:lvlJc w:val="left"/>
      <w:pPr>
        <w:ind w:left="768" w:hanging="360"/>
      </w:pPr>
      <w:rPr>
        <w:rFonts w:ascii="Symbol" w:hAnsi="Symbol" w:hint="default"/>
      </w:rPr>
    </w:lvl>
    <w:lvl w:ilvl="1" w:tplc="04090009">
      <w:start w:val="1"/>
      <w:numFmt w:val="bullet"/>
      <w:lvlText w:val=""/>
      <w:lvlJc w:val="left"/>
      <w:pPr>
        <w:ind w:left="1488" w:hanging="360"/>
      </w:pPr>
      <w:rPr>
        <w:rFonts w:ascii="Wingdings" w:hAnsi="Wingdings" w:hint="default"/>
      </w:rPr>
    </w:lvl>
    <w:lvl w:ilvl="2" w:tplc="04090005">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2" w15:restartNumberingAfterBreak="0">
    <w:nsid w:val="04612F43"/>
    <w:multiLevelType w:val="hybridMultilevel"/>
    <w:tmpl w:val="DEAACB22"/>
    <w:lvl w:ilvl="0" w:tplc="ADD677D8">
      <w:start w:val="1"/>
      <w:numFmt w:val="bullet"/>
      <w:lvlText w:val=""/>
      <w:lvlJc w:val="left"/>
      <w:pPr>
        <w:tabs>
          <w:tab w:val="num" w:pos="546"/>
        </w:tabs>
        <w:ind w:left="546" w:hanging="360"/>
      </w:pPr>
      <w:rPr>
        <w:rFonts w:ascii="Symbol" w:hAnsi="Symbol" w:hint="default"/>
        <w:color w:val="auto"/>
      </w:rPr>
    </w:lvl>
    <w:lvl w:ilvl="1" w:tplc="CAC0E26C">
      <w:start w:val="3496"/>
      <w:numFmt w:val="bullet"/>
      <w:lvlText w:val="-"/>
      <w:lvlJc w:val="left"/>
      <w:pPr>
        <w:tabs>
          <w:tab w:val="num" w:pos="1266"/>
        </w:tabs>
        <w:ind w:left="1266" w:hanging="360"/>
      </w:pPr>
      <w:rPr>
        <w:rFonts w:ascii="Times New Roman" w:hAnsi="Times New Roman" w:hint="default"/>
      </w:rPr>
    </w:lvl>
    <w:lvl w:ilvl="2" w:tplc="F49492C8" w:tentative="1">
      <w:start w:val="1"/>
      <w:numFmt w:val="bullet"/>
      <w:lvlText w:val=""/>
      <w:lvlJc w:val="left"/>
      <w:pPr>
        <w:tabs>
          <w:tab w:val="num" w:pos="1986"/>
        </w:tabs>
        <w:ind w:left="1986" w:hanging="360"/>
      </w:pPr>
      <w:rPr>
        <w:rFonts w:ascii="Wingdings" w:hAnsi="Wingdings" w:hint="default"/>
      </w:rPr>
    </w:lvl>
    <w:lvl w:ilvl="3" w:tplc="A068541E" w:tentative="1">
      <w:start w:val="1"/>
      <w:numFmt w:val="bullet"/>
      <w:lvlText w:val=""/>
      <w:lvlJc w:val="left"/>
      <w:pPr>
        <w:tabs>
          <w:tab w:val="num" w:pos="2706"/>
        </w:tabs>
        <w:ind w:left="2706" w:hanging="360"/>
      </w:pPr>
      <w:rPr>
        <w:rFonts w:ascii="Wingdings" w:hAnsi="Wingdings" w:hint="default"/>
      </w:rPr>
    </w:lvl>
    <w:lvl w:ilvl="4" w:tplc="84CE468A" w:tentative="1">
      <w:start w:val="1"/>
      <w:numFmt w:val="bullet"/>
      <w:lvlText w:val=""/>
      <w:lvlJc w:val="left"/>
      <w:pPr>
        <w:tabs>
          <w:tab w:val="num" w:pos="3426"/>
        </w:tabs>
        <w:ind w:left="3426" w:hanging="360"/>
      </w:pPr>
      <w:rPr>
        <w:rFonts w:ascii="Wingdings" w:hAnsi="Wingdings" w:hint="default"/>
      </w:rPr>
    </w:lvl>
    <w:lvl w:ilvl="5" w:tplc="AA087AC4" w:tentative="1">
      <w:start w:val="1"/>
      <w:numFmt w:val="bullet"/>
      <w:lvlText w:val=""/>
      <w:lvlJc w:val="left"/>
      <w:pPr>
        <w:tabs>
          <w:tab w:val="num" w:pos="4146"/>
        </w:tabs>
        <w:ind w:left="4146" w:hanging="360"/>
      </w:pPr>
      <w:rPr>
        <w:rFonts w:ascii="Wingdings" w:hAnsi="Wingdings" w:hint="default"/>
      </w:rPr>
    </w:lvl>
    <w:lvl w:ilvl="6" w:tplc="3A681238" w:tentative="1">
      <w:start w:val="1"/>
      <w:numFmt w:val="bullet"/>
      <w:lvlText w:val=""/>
      <w:lvlJc w:val="left"/>
      <w:pPr>
        <w:tabs>
          <w:tab w:val="num" w:pos="4866"/>
        </w:tabs>
        <w:ind w:left="4866" w:hanging="360"/>
      </w:pPr>
      <w:rPr>
        <w:rFonts w:ascii="Wingdings" w:hAnsi="Wingdings" w:hint="default"/>
      </w:rPr>
    </w:lvl>
    <w:lvl w:ilvl="7" w:tplc="5FC47530" w:tentative="1">
      <w:start w:val="1"/>
      <w:numFmt w:val="bullet"/>
      <w:lvlText w:val=""/>
      <w:lvlJc w:val="left"/>
      <w:pPr>
        <w:tabs>
          <w:tab w:val="num" w:pos="5586"/>
        </w:tabs>
        <w:ind w:left="5586" w:hanging="360"/>
      </w:pPr>
      <w:rPr>
        <w:rFonts w:ascii="Wingdings" w:hAnsi="Wingdings" w:hint="default"/>
      </w:rPr>
    </w:lvl>
    <w:lvl w:ilvl="8" w:tplc="120A61F2" w:tentative="1">
      <w:start w:val="1"/>
      <w:numFmt w:val="bullet"/>
      <w:lvlText w:val=""/>
      <w:lvlJc w:val="left"/>
      <w:pPr>
        <w:tabs>
          <w:tab w:val="num" w:pos="6306"/>
        </w:tabs>
        <w:ind w:left="6306" w:hanging="360"/>
      </w:pPr>
      <w:rPr>
        <w:rFonts w:ascii="Wingdings" w:hAnsi="Wingdings" w:hint="default"/>
      </w:rPr>
    </w:lvl>
  </w:abstractNum>
  <w:abstractNum w:abstractNumId="3" w15:restartNumberingAfterBreak="0">
    <w:nsid w:val="05D163A1"/>
    <w:multiLevelType w:val="hybridMultilevel"/>
    <w:tmpl w:val="CF047E20"/>
    <w:lvl w:ilvl="0" w:tplc="04160001">
      <w:start w:val="1"/>
      <w:numFmt w:val="bullet"/>
      <w:lvlText w:val=""/>
      <w:lvlJc w:val="left"/>
      <w:pPr>
        <w:ind w:left="706" w:hanging="360"/>
      </w:pPr>
      <w:rPr>
        <w:rFonts w:ascii="Symbol" w:hAnsi="Symbol" w:hint="default"/>
      </w:rPr>
    </w:lvl>
    <w:lvl w:ilvl="1" w:tplc="04160003" w:tentative="1">
      <w:start w:val="1"/>
      <w:numFmt w:val="bullet"/>
      <w:lvlText w:val="o"/>
      <w:lvlJc w:val="left"/>
      <w:pPr>
        <w:ind w:left="1426" w:hanging="360"/>
      </w:pPr>
      <w:rPr>
        <w:rFonts w:ascii="Courier New" w:hAnsi="Courier New" w:cs="Courier New" w:hint="default"/>
      </w:rPr>
    </w:lvl>
    <w:lvl w:ilvl="2" w:tplc="04160005" w:tentative="1">
      <w:start w:val="1"/>
      <w:numFmt w:val="bullet"/>
      <w:lvlText w:val=""/>
      <w:lvlJc w:val="left"/>
      <w:pPr>
        <w:ind w:left="2146" w:hanging="360"/>
      </w:pPr>
      <w:rPr>
        <w:rFonts w:ascii="Wingdings" w:hAnsi="Wingdings" w:hint="default"/>
      </w:rPr>
    </w:lvl>
    <w:lvl w:ilvl="3" w:tplc="04160001" w:tentative="1">
      <w:start w:val="1"/>
      <w:numFmt w:val="bullet"/>
      <w:lvlText w:val=""/>
      <w:lvlJc w:val="left"/>
      <w:pPr>
        <w:ind w:left="2866" w:hanging="360"/>
      </w:pPr>
      <w:rPr>
        <w:rFonts w:ascii="Symbol" w:hAnsi="Symbol" w:hint="default"/>
      </w:rPr>
    </w:lvl>
    <w:lvl w:ilvl="4" w:tplc="04160003" w:tentative="1">
      <w:start w:val="1"/>
      <w:numFmt w:val="bullet"/>
      <w:lvlText w:val="o"/>
      <w:lvlJc w:val="left"/>
      <w:pPr>
        <w:ind w:left="3586" w:hanging="360"/>
      </w:pPr>
      <w:rPr>
        <w:rFonts w:ascii="Courier New" w:hAnsi="Courier New" w:cs="Courier New" w:hint="default"/>
      </w:rPr>
    </w:lvl>
    <w:lvl w:ilvl="5" w:tplc="04160005" w:tentative="1">
      <w:start w:val="1"/>
      <w:numFmt w:val="bullet"/>
      <w:lvlText w:val=""/>
      <w:lvlJc w:val="left"/>
      <w:pPr>
        <w:ind w:left="4306" w:hanging="360"/>
      </w:pPr>
      <w:rPr>
        <w:rFonts w:ascii="Wingdings" w:hAnsi="Wingdings" w:hint="default"/>
      </w:rPr>
    </w:lvl>
    <w:lvl w:ilvl="6" w:tplc="04160001" w:tentative="1">
      <w:start w:val="1"/>
      <w:numFmt w:val="bullet"/>
      <w:lvlText w:val=""/>
      <w:lvlJc w:val="left"/>
      <w:pPr>
        <w:ind w:left="5026" w:hanging="360"/>
      </w:pPr>
      <w:rPr>
        <w:rFonts w:ascii="Symbol" w:hAnsi="Symbol" w:hint="default"/>
      </w:rPr>
    </w:lvl>
    <w:lvl w:ilvl="7" w:tplc="04160003" w:tentative="1">
      <w:start w:val="1"/>
      <w:numFmt w:val="bullet"/>
      <w:lvlText w:val="o"/>
      <w:lvlJc w:val="left"/>
      <w:pPr>
        <w:ind w:left="5746" w:hanging="360"/>
      </w:pPr>
      <w:rPr>
        <w:rFonts w:ascii="Courier New" w:hAnsi="Courier New" w:cs="Courier New" w:hint="default"/>
      </w:rPr>
    </w:lvl>
    <w:lvl w:ilvl="8" w:tplc="04160005" w:tentative="1">
      <w:start w:val="1"/>
      <w:numFmt w:val="bullet"/>
      <w:lvlText w:val=""/>
      <w:lvlJc w:val="left"/>
      <w:pPr>
        <w:ind w:left="6466" w:hanging="360"/>
      </w:pPr>
      <w:rPr>
        <w:rFonts w:ascii="Wingdings" w:hAnsi="Wingdings" w:hint="default"/>
      </w:rPr>
    </w:lvl>
  </w:abstractNum>
  <w:abstractNum w:abstractNumId="4" w15:restartNumberingAfterBreak="0">
    <w:nsid w:val="070F01DE"/>
    <w:multiLevelType w:val="hybridMultilevel"/>
    <w:tmpl w:val="2FC27A1A"/>
    <w:lvl w:ilvl="0" w:tplc="F6C2167E">
      <w:start w:val="1"/>
      <w:numFmt w:val="decimal"/>
      <w:lvlText w:val="%1."/>
      <w:lvlJc w:val="left"/>
      <w:pPr>
        <w:ind w:left="1065" w:hanging="360"/>
      </w:pPr>
    </w:lvl>
    <w:lvl w:ilvl="1" w:tplc="04160019">
      <w:start w:val="1"/>
      <w:numFmt w:val="lowerLetter"/>
      <w:lvlText w:val="%2."/>
      <w:lvlJc w:val="left"/>
      <w:pPr>
        <w:ind w:left="1785" w:hanging="360"/>
      </w:pPr>
    </w:lvl>
    <w:lvl w:ilvl="2" w:tplc="0416001B">
      <w:start w:val="1"/>
      <w:numFmt w:val="lowerRoman"/>
      <w:lvlText w:val="%3."/>
      <w:lvlJc w:val="right"/>
      <w:pPr>
        <w:ind w:left="2505" w:hanging="180"/>
      </w:pPr>
    </w:lvl>
    <w:lvl w:ilvl="3" w:tplc="0416000F">
      <w:start w:val="1"/>
      <w:numFmt w:val="decimal"/>
      <w:lvlText w:val="%4."/>
      <w:lvlJc w:val="left"/>
      <w:pPr>
        <w:ind w:left="3225" w:hanging="360"/>
      </w:pPr>
    </w:lvl>
    <w:lvl w:ilvl="4" w:tplc="04160019">
      <w:start w:val="1"/>
      <w:numFmt w:val="lowerLetter"/>
      <w:lvlText w:val="%5."/>
      <w:lvlJc w:val="left"/>
      <w:pPr>
        <w:ind w:left="3945" w:hanging="360"/>
      </w:pPr>
    </w:lvl>
    <w:lvl w:ilvl="5" w:tplc="0416001B">
      <w:start w:val="1"/>
      <w:numFmt w:val="lowerRoman"/>
      <w:lvlText w:val="%6."/>
      <w:lvlJc w:val="right"/>
      <w:pPr>
        <w:ind w:left="4665" w:hanging="180"/>
      </w:pPr>
    </w:lvl>
    <w:lvl w:ilvl="6" w:tplc="0416000F">
      <w:start w:val="1"/>
      <w:numFmt w:val="decimal"/>
      <w:lvlText w:val="%7."/>
      <w:lvlJc w:val="left"/>
      <w:pPr>
        <w:ind w:left="5385" w:hanging="360"/>
      </w:pPr>
    </w:lvl>
    <w:lvl w:ilvl="7" w:tplc="04160019">
      <w:start w:val="1"/>
      <w:numFmt w:val="lowerLetter"/>
      <w:lvlText w:val="%8."/>
      <w:lvlJc w:val="left"/>
      <w:pPr>
        <w:ind w:left="6105" w:hanging="360"/>
      </w:pPr>
    </w:lvl>
    <w:lvl w:ilvl="8" w:tplc="0416001B">
      <w:start w:val="1"/>
      <w:numFmt w:val="lowerRoman"/>
      <w:lvlText w:val="%9."/>
      <w:lvlJc w:val="right"/>
      <w:pPr>
        <w:ind w:left="6825" w:hanging="180"/>
      </w:pPr>
    </w:lvl>
  </w:abstractNum>
  <w:abstractNum w:abstractNumId="5" w15:restartNumberingAfterBreak="0">
    <w:nsid w:val="0A371260"/>
    <w:multiLevelType w:val="hybridMultilevel"/>
    <w:tmpl w:val="2D50A16A"/>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6" w15:restartNumberingAfterBreak="0">
    <w:nsid w:val="0B7B2C6D"/>
    <w:multiLevelType w:val="hybridMultilevel"/>
    <w:tmpl w:val="40322E1A"/>
    <w:lvl w:ilvl="0" w:tplc="BF4C603C">
      <w:start w:val="1"/>
      <w:numFmt w:val="bullet"/>
      <w:lvlText w:val="­"/>
      <w:lvlJc w:val="left"/>
      <w:pPr>
        <w:ind w:left="948" w:hanging="360"/>
      </w:pPr>
      <w:rPr>
        <w:rFonts w:ascii="Verdana" w:hAnsi="Verdana" w:hint="default"/>
      </w:rPr>
    </w:lvl>
    <w:lvl w:ilvl="1" w:tplc="04090003" w:tentative="1">
      <w:start w:val="1"/>
      <w:numFmt w:val="bullet"/>
      <w:lvlText w:val="o"/>
      <w:lvlJc w:val="left"/>
      <w:pPr>
        <w:ind w:left="1668" w:hanging="360"/>
      </w:pPr>
      <w:rPr>
        <w:rFonts w:ascii="Courier New" w:hAnsi="Courier New" w:hint="default"/>
      </w:rPr>
    </w:lvl>
    <w:lvl w:ilvl="2" w:tplc="04090005" w:tentative="1">
      <w:start w:val="1"/>
      <w:numFmt w:val="bullet"/>
      <w:lvlText w:val=""/>
      <w:lvlJc w:val="left"/>
      <w:pPr>
        <w:ind w:left="2388" w:hanging="360"/>
      </w:pPr>
      <w:rPr>
        <w:rFonts w:ascii="Wingdings" w:hAnsi="Wingdings" w:hint="default"/>
      </w:rPr>
    </w:lvl>
    <w:lvl w:ilvl="3" w:tplc="04090001" w:tentative="1">
      <w:start w:val="1"/>
      <w:numFmt w:val="bullet"/>
      <w:lvlText w:val=""/>
      <w:lvlJc w:val="left"/>
      <w:pPr>
        <w:ind w:left="3108" w:hanging="360"/>
      </w:pPr>
      <w:rPr>
        <w:rFonts w:ascii="Symbol" w:hAnsi="Symbol" w:hint="default"/>
      </w:rPr>
    </w:lvl>
    <w:lvl w:ilvl="4" w:tplc="04090003" w:tentative="1">
      <w:start w:val="1"/>
      <w:numFmt w:val="bullet"/>
      <w:lvlText w:val="o"/>
      <w:lvlJc w:val="left"/>
      <w:pPr>
        <w:ind w:left="3828" w:hanging="360"/>
      </w:pPr>
      <w:rPr>
        <w:rFonts w:ascii="Courier New" w:hAnsi="Courier New" w:hint="default"/>
      </w:rPr>
    </w:lvl>
    <w:lvl w:ilvl="5" w:tplc="04090005" w:tentative="1">
      <w:start w:val="1"/>
      <w:numFmt w:val="bullet"/>
      <w:lvlText w:val=""/>
      <w:lvlJc w:val="left"/>
      <w:pPr>
        <w:ind w:left="4548" w:hanging="360"/>
      </w:pPr>
      <w:rPr>
        <w:rFonts w:ascii="Wingdings" w:hAnsi="Wingdings" w:hint="default"/>
      </w:rPr>
    </w:lvl>
    <w:lvl w:ilvl="6" w:tplc="04090001" w:tentative="1">
      <w:start w:val="1"/>
      <w:numFmt w:val="bullet"/>
      <w:lvlText w:val=""/>
      <w:lvlJc w:val="left"/>
      <w:pPr>
        <w:ind w:left="5268" w:hanging="360"/>
      </w:pPr>
      <w:rPr>
        <w:rFonts w:ascii="Symbol" w:hAnsi="Symbol" w:hint="default"/>
      </w:rPr>
    </w:lvl>
    <w:lvl w:ilvl="7" w:tplc="04090003" w:tentative="1">
      <w:start w:val="1"/>
      <w:numFmt w:val="bullet"/>
      <w:lvlText w:val="o"/>
      <w:lvlJc w:val="left"/>
      <w:pPr>
        <w:ind w:left="5988" w:hanging="360"/>
      </w:pPr>
      <w:rPr>
        <w:rFonts w:ascii="Courier New" w:hAnsi="Courier New" w:hint="default"/>
      </w:rPr>
    </w:lvl>
    <w:lvl w:ilvl="8" w:tplc="04090005" w:tentative="1">
      <w:start w:val="1"/>
      <w:numFmt w:val="bullet"/>
      <w:lvlText w:val=""/>
      <w:lvlJc w:val="left"/>
      <w:pPr>
        <w:ind w:left="6708" w:hanging="360"/>
      </w:pPr>
      <w:rPr>
        <w:rFonts w:ascii="Wingdings" w:hAnsi="Wingdings" w:hint="default"/>
      </w:rPr>
    </w:lvl>
  </w:abstractNum>
  <w:abstractNum w:abstractNumId="7" w15:restartNumberingAfterBreak="0">
    <w:nsid w:val="10537485"/>
    <w:multiLevelType w:val="hybridMultilevel"/>
    <w:tmpl w:val="EBCA5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1A1007"/>
    <w:multiLevelType w:val="hybridMultilevel"/>
    <w:tmpl w:val="326E0616"/>
    <w:lvl w:ilvl="0" w:tplc="04090001">
      <w:start w:val="1"/>
      <w:numFmt w:val="bullet"/>
      <w:lvlText w:val=""/>
      <w:lvlJc w:val="left"/>
      <w:pPr>
        <w:ind w:left="1066" w:hanging="360"/>
      </w:pPr>
      <w:rPr>
        <w:rFonts w:ascii="Symbol" w:hAnsi="Symbol" w:hint="default"/>
      </w:rPr>
    </w:lvl>
    <w:lvl w:ilvl="1" w:tplc="04090003" w:tentative="1">
      <w:start w:val="1"/>
      <w:numFmt w:val="bullet"/>
      <w:lvlText w:val="o"/>
      <w:lvlJc w:val="left"/>
      <w:pPr>
        <w:ind w:left="1786" w:hanging="360"/>
      </w:pPr>
      <w:rPr>
        <w:rFonts w:ascii="Courier New" w:hAnsi="Courier New" w:cs="Courier New" w:hint="default"/>
      </w:rPr>
    </w:lvl>
    <w:lvl w:ilvl="2" w:tplc="04090005" w:tentative="1">
      <w:start w:val="1"/>
      <w:numFmt w:val="bullet"/>
      <w:lvlText w:val=""/>
      <w:lvlJc w:val="left"/>
      <w:pPr>
        <w:ind w:left="2506" w:hanging="360"/>
      </w:pPr>
      <w:rPr>
        <w:rFonts w:ascii="Wingdings" w:hAnsi="Wingdings" w:hint="default"/>
      </w:rPr>
    </w:lvl>
    <w:lvl w:ilvl="3" w:tplc="04090001" w:tentative="1">
      <w:start w:val="1"/>
      <w:numFmt w:val="bullet"/>
      <w:lvlText w:val=""/>
      <w:lvlJc w:val="left"/>
      <w:pPr>
        <w:ind w:left="3226" w:hanging="360"/>
      </w:pPr>
      <w:rPr>
        <w:rFonts w:ascii="Symbol" w:hAnsi="Symbol" w:hint="default"/>
      </w:rPr>
    </w:lvl>
    <w:lvl w:ilvl="4" w:tplc="04090003" w:tentative="1">
      <w:start w:val="1"/>
      <w:numFmt w:val="bullet"/>
      <w:lvlText w:val="o"/>
      <w:lvlJc w:val="left"/>
      <w:pPr>
        <w:ind w:left="3946" w:hanging="360"/>
      </w:pPr>
      <w:rPr>
        <w:rFonts w:ascii="Courier New" w:hAnsi="Courier New" w:cs="Courier New" w:hint="default"/>
      </w:rPr>
    </w:lvl>
    <w:lvl w:ilvl="5" w:tplc="04090005" w:tentative="1">
      <w:start w:val="1"/>
      <w:numFmt w:val="bullet"/>
      <w:lvlText w:val=""/>
      <w:lvlJc w:val="left"/>
      <w:pPr>
        <w:ind w:left="4666" w:hanging="360"/>
      </w:pPr>
      <w:rPr>
        <w:rFonts w:ascii="Wingdings" w:hAnsi="Wingdings" w:hint="default"/>
      </w:rPr>
    </w:lvl>
    <w:lvl w:ilvl="6" w:tplc="04090001" w:tentative="1">
      <w:start w:val="1"/>
      <w:numFmt w:val="bullet"/>
      <w:lvlText w:val=""/>
      <w:lvlJc w:val="left"/>
      <w:pPr>
        <w:ind w:left="5386" w:hanging="360"/>
      </w:pPr>
      <w:rPr>
        <w:rFonts w:ascii="Symbol" w:hAnsi="Symbol" w:hint="default"/>
      </w:rPr>
    </w:lvl>
    <w:lvl w:ilvl="7" w:tplc="04090003" w:tentative="1">
      <w:start w:val="1"/>
      <w:numFmt w:val="bullet"/>
      <w:lvlText w:val="o"/>
      <w:lvlJc w:val="left"/>
      <w:pPr>
        <w:ind w:left="6106" w:hanging="360"/>
      </w:pPr>
      <w:rPr>
        <w:rFonts w:ascii="Courier New" w:hAnsi="Courier New" w:cs="Courier New" w:hint="default"/>
      </w:rPr>
    </w:lvl>
    <w:lvl w:ilvl="8" w:tplc="04090005" w:tentative="1">
      <w:start w:val="1"/>
      <w:numFmt w:val="bullet"/>
      <w:lvlText w:val=""/>
      <w:lvlJc w:val="left"/>
      <w:pPr>
        <w:ind w:left="6826" w:hanging="360"/>
      </w:pPr>
      <w:rPr>
        <w:rFonts w:ascii="Wingdings" w:hAnsi="Wingdings" w:hint="default"/>
      </w:rPr>
    </w:lvl>
  </w:abstractNum>
  <w:abstractNum w:abstractNumId="9" w15:restartNumberingAfterBreak="0">
    <w:nsid w:val="13D91334"/>
    <w:multiLevelType w:val="hybridMultilevel"/>
    <w:tmpl w:val="CFDCE6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D30659"/>
    <w:multiLevelType w:val="hybridMultilevel"/>
    <w:tmpl w:val="87589F2C"/>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500982"/>
    <w:multiLevelType w:val="multilevel"/>
    <w:tmpl w:val="E652726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EFF6429"/>
    <w:multiLevelType w:val="hybridMultilevel"/>
    <w:tmpl w:val="A4722AA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202B3DFE"/>
    <w:multiLevelType w:val="hybridMultilevel"/>
    <w:tmpl w:val="555C0602"/>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4" w15:restartNumberingAfterBreak="0">
    <w:nsid w:val="26F2516F"/>
    <w:multiLevelType w:val="hybridMultilevel"/>
    <w:tmpl w:val="5FC8F340"/>
    <w:lvl w:ilvl="0" w:tplc="696A5EA4">
      <w:start w:val="1"/>
      <w:numFmt w:val="decimal"/>
      <w:pStyle w:val="tit"/>
      <w:lvlText w:val="%1)"/>
      <w:lvlJc w:val="left"/>
      <w:pPr>
        <w:ind w:left="360" w:hanging="360"/>
      </w:pPr>
      <w:rPr>
        <w:color w:val="auto"/>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28476AEE"/>
    <w:multiLevelType w:val="multilevel"/>
    <w:tmpl w:val="87AEB8B2"/>
    <w:styleLink w:val="List41"/>
    <w:lvl w:ilvl="0">
      <w:start w:val="1"/>
      <w:numFmt w:val="upperLetter"/>
      <w:lvlText w:val="ANEXO %1 - "/>
      <w:lvlJc w:val="left"/>
      <w:rPr>
        <w:rFonts w:ascii="Calibri" w:hAnsi="Calibri" w:hint="default"/>
        <w:b/>
        <w:i w:val="0"/>
        <w:caps w:val="0"/>
        <w:strike w:val="0"/>
        <w:dstrike w:val="0"/>
        <w:vanish w:val="0"/>
        <w:color w:val="1F497D"/>
        <w:position w:val="0"/>
        <w:sz w:val="32"/>
        <w:vertAlign w:val="baseline"/>
        <w:rtl w:val="0"/>
      </w:rPr>
    </w:lvl>
    <w:lvl w:ilvl="1">
      <w:start w:val="1"/>
      <w:numFmt w:val="lowerLetter"/>
      <w:lvlText w:val="%2."/>
      <w:lvlJc w:val="left"/>
      <w:rPr>
        <w:color w:val="000000"/>
        <w:position w:val="0"/>
        <w:rtl w:val="0"/>
      </w:rPr>
    </w:lvl>
    <w:lvl w:ilvl="2">
      <w:start w:val="1"/>
      <w:numFmt w:val="lowerRoman"/>
      <w:lvlText w:val="%3."/>
      <w:lvlJc w:val="left"/>
      <w:rPr>
        <w:color w:val="000000"/>
        <w:position w:val="0"/>
        <w:rtl w:val="0"/>
      </w:rPr>
    </w:lvl>
    <w:lvl w:ilvl="3">
      <w:start w:val="1"/>
      <w:numFmt w:val="decimal"/>
      <w:lvlText w:val="%4."/>
      <w:lvlJc w:val="left"/>
      <w:rPr>
        <w:color w:val="000000"/>
        <w:position w:val="0"/>
        <w:rtl w:val="0"/>
      </w:rPr>
    </w:lvl>
    <w:lvl w:ilvl="4">
      <w:start w:val="1"/>
      <w:numFmt w:val="lowerLetter"/>
      <w:lvlText w:val="%5."/>
      <w:lvlJc w:val="left"/>
      <w:rPr>
        <w:color w:val="000000"/>
        <w:position w:val="0"/>
        <w:rtl w:val="0"/>
      </w:rPr>
    </w:lvl>
    <w:lvl w:ilvl="5">
      <w:start w:val="1"/>
      <w:numFmt w:val="lowerRoman"/>
      <w:lvlText w:val="%6."/>
      <w:lvlJc w:val="left"/>
      <w:rPr>
        <w:color w:val="000000"/>
        <w:position w:val="0"/>
        <w:rtl w:val="0"/>
      </w:rPr>
    </w:lvl>
    <w:lvl w:ilvl="6">
      <w:start w:val="1"/>
      <w:numFmt w:val="decimal"/>
      <w:lvlText w:val="%7."/>
      <w:lvlJc w:val="left"/>
      <w:rPr>
        <w:color w:val="000000"/>
        <w:position w:val="0"/>
        <w:rtl w:val="0"/>
      </w:rPr>
    </w:lvl>
    <w:lvl w:ilvl="7">
      <w:start w:val="1"/>
      <w:numFmt w:val="lowerLetter"/>
      <w:lvlText w:val="%8."/>
      <w:lvlJc w:val="left"/>
      <w:rPr>
        <w:color w:val="000000"/>
        <w:position w:val="0"/>
        <w:rtl w:val="0"/>
      </w:rPr>
    </w:lvl>
    <w:lvl w:ilvl="8">
      <w:start w:val="1"/>
      <w:numFmt w:val="lowerRoman"/>
      <w:lvlText w:val="%9."/>
      <w:lvlJc w:val="left"/>
      <w:rPr>
        <w:color w:val="000000"/>
        <w:position w:val="0"/>
        <w:rtl w:val="0"/>
      </w:rPr>
    </w:lvl>
  </w:abstractNum>
  <w:abstractNum w:abstractNumId="16" w15:restartNumberingAfterBreak="0">
    <w:nsid w:val="2A400FBE"/>
    <w:multiLevelType w:val="multilevel"/>
    <w:tmpl w:val="640C9522"/>
    <w:lvl w:ilvl="0">
      <w:start w:val="1"/>
      <w:numFmt w:val="upperRoman"/>
      <w:pStyle w:val="Titulo1WOB"/>
      <w:lvlText w:val="%1."/>
      <w:lvlJc w:val="left"/>
      <w:pPr>
        <w:ind w:left="360" w:hanging="360"/>
      </w:pPr>
      <w:rPr>
        <w:rFonts w:hint="default"/>
      </w:rPr>
    </w:lvl>
    <w:lvl w:ilvl="1">
      <w:start w:val="1"/>
      <w:numFmt w:val="decimal"/>
      <w:pStyle w:val="Titulo2WOB"/>
      <w:lvlText w:val="%1.%2."/>
      <w:lvlJc w:val="left"/>
      <w:pPr>
        <w:ind w:left="792" w:hanging="432"/>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ulo3WOB"/>
      <w:lvlText w:val="%1.%2.%3."/>
      <w:lvlJc w:val="left"/>
      <w:pPr>
        <w:ind w:left="6458" w:hanging="504"/>
      </w:pPr>
      <w:rPr>
        <w:rFonts w:hint="default"/>
      </w:rPr>
    </w:lvl>
    <w:lvl w:ilvl="3">
      <w:start w:val="1"/>
      <w:numFmt w:val="decimal"/>
      <w:pStyle w:val="Titulo4WOB"/>
      <w:lvlText w:val="%1.%2.%3.%4."/>
      <w:lvlJc w:val="left"/>
      <w:pPr>
        <w:ind w:left="1728" w:hanging="648"/>
      </w:pPr>
      <w:rPr>
        <w:rFonts w:hint="default"/>
      </w:rPr>
    </w:lvl>
    <w:lvl w:ilvl="4">
      <w:start w:val="1"/>
      <w:numFmt w:val="decimal"/>
      <w:lvlText w:val="%1.%2.%3.%4.%5."/>
      <w:lvlJc w:val="left"/>
      <w:pPr>
        <w:ind w:left="79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C1C6397"/>
    <w:multiLevelType w:val="hybridMultilevel"/>
    <w:tmpl w:val="BDAA9F4A"/>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0DA4D8C"/>
    <w:multiLevelType w:val="hybridMultilevel"/>
    <w:tmpl w:val="BF6AD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1B77AA5"/>
    <w:multiLevelType w:val="hybridMultilevel"/>
    <w:tmpl w:val="207C834C"/>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31C350ED"/>
    <w:multiLevelType w:val="hybridMultilevel"/>
    <w:tmpl w:val="975C0B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23C623A"/>
    <w:multiLevelType w:val="multilevel"/>
    <w:tmpl w:val="092AFBD2"/>
    <w:styleLink w:val="List6"/>
    <w:lvl w:ilvl="0">
      <w:numFmt w:val="bullet"/>
      <w:lvlText w:val="•"/>
      <w:lvlJc w:val="left"/>
      <w:rPr>
        <w:position w:val="0"/>
        <w:rtl w:val="0"/>
      </w:rPr>
    </w:lvl>
    <w:lvl w:ilvl="1">
      <w:start w:val="1"/>
      <w:numFmt w:val="bullet"/>
      <w:lvlText w:val="o"/>
      <w:lvlJc w:val="left"/>
      <w:rPr>
        <w:position w:val="0"/>
        <w:rtl w:val="0"/>
      </w:rPr>
    </w:lvl>
    <w:lvl w:ilvl="2">
      <w:start w:val="1"/>
      <w:numFmt w:val="bullet"/>
      <w:lvlText w:val="▪"/>
      <w:lvlJc w:val="left"/>
      <w:rPr>
        <w:position w:val="0"/>
        <w:rtl w:val="0"/>
      </w:rPr>
    </w:lvl>
    <w:lvl w:ilvl="3">
      <w:start w:val="1"/>
      <w:numFmt w:val="bullet"/>
      <w:lvlText w:val="•"/>
      <w:lvlJc w:val="left"/>
      <w:rPr>
        <w:position w:val="0"/>
        <w:rtl w:val="0"/>
      </w:rPr>
    </w:lvl>
    <w:lvl w:ilvl="4">
      <w:start w:val="1"/>
      <w:numFmt w:val="bullet"/>
      <w:lvlText w:val="o"/>
      <w:lvlJc w:val="left"/>
      <w:rPr>
        <w:position w:val="0"/>
        <w:rtl w:val="0"/>
      </w:rPr>
    </w:lvl>
    <w:lvl w:ilvl="5">
      <w:start w:val="1"/>
      <w:numFmt w:val="bullet"/>
      <w:lvlText w:val="▪"/>
      <w:lvlJc w:val="left"/>
      <w:rPr>
        <w:position w:val="0"/>
        <w:rtl w:val="0"/>
      </w:rPr>
    </w:lvl>
    <w:lvl w:ilvl="6">
      <w:start w:val="1"/>
      <w:numFmt w:val="bullet"/>
      <w:lvlText w:val="•"/>
      <w:lvlJc w:val="left"/>
      <w:rPr>
        <w:position w:val="0"/>
        <w:rtl w:val="0"/>
      </w:rPr>
    </w:lvl>
    <w:lvl w:ilvl="7">
      <w:start w:val="1"/>
      <w:numFmt w:val="bullet"/>
      <w:lvlText w:val="o"/>
      <w:lvlJc w:val="left"/>
      <w:rPr>
        <w:position w:val="0"/>
        <w:rtl w:val="0"/>
      </w:rPr>
    </w:lvl>
    <w:lvl w:ilvl="8">
      <w:start w:val="1"/>
      <w:numFmt w:val="bullet"/>
      <w:lvlText w:val="▪"/>
      <w:lvlJc w:val="left"/>
      <w:rPr>
        <w:position w:val="0"/>
        <w:rtl w:val="0"/>
      </w:rPr>
    </w:lvl>
  </w:abstractNum>
  <w:abstractNum w:abstractNumId="22" w15:restartNumberingAfterBreak="0">
    <w:nsid w:val="328C5853"/>
    <w:multiLevelType w:val="hybridMultilevel"/>
    <w:tmpl w:val="5BD0C4BA"/>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23" w15:restartNumberingAfterBreak="0">
    <w:nsid w:val="335F6F8D"/>
    <w:multiLevelType w:val="multilevel"/>
    <w:tmpl w:val="FC167500"/>
    <w:styleLink w:val="Estilo3"/>
    <w:lvl w:ilvl="0">
      <w:start w:val="1"/>
      <w:numFmt w:val="decimal"/>
      <w:lvlText w:val="%1."/>
      <w:lvlJc w:val="left"/>
      <w:pPr>
        <w:ind w:left="680" w:hanging="320"/>
      </w:pPr>
      <w:rPr>
        <w:rFonts w:hint="default"/>
      </w:rPr>
    </w:lvl>
    <w:lvl w:ilvl="1">
      <w:start w:val="1"/>
      <w:numFmt w:val="decimal"/>
      <w:lvlText w:val="%1.%2."/>
      <w:lvlJc w:val="left"/>
      <w:pPr>
        <w:ind w:left="1152" w:hanging="432"/>
      </w:pPr>
      <w:rPr>
        <w:rFonts w:asciiTheme="minorHAnsi" w:hAnsiTheme="minorHAnsi" w:hint="default"/>
        <w:b/>
        <w:color w:val="000000" w:themeColor="text1"/>
        <w:sz w:val="22"/>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24" w15:restartNumberingAfterBreak="0">
    <w:nsid w:val="3A1611A6"/>
    <w:multiLevelType w:val="hybridMultilevel"/>
    <w:tmpl w:val="A050B52C"/>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25" w15:restartNumberingAfterBreak="0">
    <w:nsid w:val="3E38378D"/>
    <w:multiLevelType w:val="multilevel"/>
    <w:tmpl w:val="48C4EC9A"/>
    <w:lvl w:ilvl="0">
      <w:start w:val="1"/>
      <w:numFmt w:val="decimal"/>
      <w:pStyle w:val="Ttulo1"/>
      <w:lvlText w:val="%1."/>
      <w:lvlJc w:val="left"/>
      <w:pPr>
        <w:ind w:left="360" w:hanging="360"/>
      </w:pPr>
      <w:rPr>
        <w:rFonts w:hint="default"/>
        <w:sz w:val="28"/>
        <w:szCs w:val="28"/>
      </w:rPr>
    </w:lvl>
    <w:lvl w:ilvl="1">
      <w:start w:val="1"/>
      <w:numFmt w:val="decimal"/>
      <w:pStyle w:val="Ttulo2"/>
      <w:lvlText w:val="%1.%2."/>
      <w:lvlJc w:val="left"/>
      <w:pPr>
        <w:ind w:left="858" w:hanging="432"/>
      </w:pPr>
      <w:rPr>
        <w:lang w:val="pt-BR"/>
      </w:rPr>
    </w:lvl>
    <w:lvl w:ilvl="2">
      <w:start w:val="1"/>
      <w:numFmt w:val="decimal"/>
      <w:pStyle w:val="Ttulo3"/>
      <w:lvlText w:val="%1.%2.%3."/>
      <w:lvlJc w:val="left"/>
      <w:pPr>
        <w:ind w:left="1404" w:hanging="504"/>
      </w:pPr>
    </w:lvl>
    <w:lvl w:ilvl="3">
      <w:start w:val="1"/>
      <w:numFmt w:val="decimal"/>
      <w:pStyle w:val="Ttulo4OdB"/>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3EAB786E"/>
    <w:multiLevelType w:val="hybridMultilevel"/>
    <w:tmpl w:val="DFAED3D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27" w15:restartNumberingAfterBreak="0">
    <w:nsid w:val="3EF623A9"/>
    <w:multiLevelType w:val="multilevel"/>
    <w:tmpl w:val="531854B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28" w15:restartNumberingAfterBreak="0">
    <w:nsid w:val="472B0855"/>
    <w:multiLevelType w:val="multilevel"/>
    <w:tmpl w:val="31D8A66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49DD73CF"/>
    <w:multiLevelType w:val="hybridMultilevel"/>
    <w:tmpl w:val="5CC8CC7E"/>
    <w:lvl w:ilvl="0" w:tplc="FFFFFFFF">
      <w:start w:val="1"/>
      <w:numFmt w:val="lowerLetter"/>
      <w:lvlText w:val="%1."/>
      <w:lvlJc w:val="left"/>
      <w:pPr>
        <w:ind w:left="720" w:hanging="360"/>
      </w:pPr>
    </w:lvl>
    <w:lvl w:ilvl="1" w:tplc="B88A0E1C">
      <w:start w:val="1"/>
      <w:numFmt w:val="decimal"/>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4B065BFD"/>
    <w:multiLevelType w:val="hybridMultilevel"/>
    <w:tmpl w:val="6D08292A"/>
    <w:lvl w:ilvl="0" w:tplc="F680548E">
      <w:start w:val="1"/>
      <w:numFmt w:val="bullet"/>
      <w:lvlText w:val=""/>
      <w:lvlJc w:val="left"/>
      <w:pPr>
        <w:tabs>
          <w:tab w:val="num" w:pos="1080"/>
        </w:tabs>
        <w:ind w:left="1224" w:hanging="216"/>
      </w:pPr>
      <w:rPr>
        <w:rFonts w:ascii="Wingdings" w:hAnsi="Wingdings" w:hint="default"/>
      </w:rPr>
    </w:lvl>
    <w:lvl w:ilvl="1" w:tplc="6AB6244C">
      <w:start w:val="1"/>
      <w:numFmt w:val="bullet"/>
      <w:lvlText w:val=""/>
      <w:lvlJc w:val="left"/>
      <w:pPr>
        <w:tabs>
          <w:tab w:val="num" w:pos="2852"/>
        </w:tabs>
        <w:ind w:left="2852" w:hanging="360"/>
      </w:pPr>
      <w:rPr>
        <w:rFonts w:ascii="Wingdings" w:hAnsi="Wingdings" w:hint="default"/>
        <w:b w:val="0"/>
        <w:i w:val="0"/>
        <w:color w:val="auto"/>
        <w:sz w:val="22"/>
      </w:rPr>
    </w:lvl>
    <w:lvl w:ilvl="2" w:tplc="04090005" w:tentative="1">
      <w:start w:val="1"/>
      <w:numFmt w:val="bullet"/>
      <w:lvlText w:val=""/>
      <w:lvlJc w:val="left"/>
      <w:pPr>
        <w:tabs>
          <w:tab w:val="num" w:pos="3572"/>
        </w:tabs>
        <w:ind w:left="3572" w:hanging="360"/>
      </w:pPr>
      <w:rPr>
        <w:rFonts w:ascii="Wingdings" w:hAnsi="Wingdings" w:hint="default"/>
      </w:rPr>
    </w:lvl>
    <w:lvl w:ilvl="3" w:tplc="04090001" w:tentative="1">
      <w:start w:val="1"/>
      <w:numFmt w:val="bullet"/>
      <w:lvlText w:val=""/>
      <w:lvlJc w:val="left"/>
      <w:pPr>
        <w:tabs>
          <w:tab w:val="num" w:pos="4292"/>
        </w:tabs>
        <w:ind w:left="4292" w:hanging="360"/>
      </w:pPr>
      <w:rPr>
        <w:rFonts w:ascii="Symbol" w:hAnsi="Symbol" w:hint="default"/>
      </w:rPr>
    </w:lvl>
    <w:lvl w:ilvl="4" w:tplc="04090003" w:tentative="1">
      <w:start w:val="1"/>
      <w:numFmt w:val="bullet"/>
      <w:lvlText w:val="o"/>
      <w:lvlJc w:val="left"/>
      <w:pPr>
        <w:tabs>
          <w:tab w:val="num" w:pos="5012"/>
        </w:tabs>
        <w:ind w:left="5012" w:hanging="360"/>
      </w:pPr>
      <w:rPr>
        <w:rFonts w:ascii="Courier New" w:hAnsi="Courier New" w:hint="default"/>
      </w:rPr>
    </w:lvl>
    <w:lvl w:ilvl="5" w:tplc="04090005" w:tentative="1">
      <w:start w:val="1"/>
      <w:numFmt w:val="bullet"/>
      <w:lvlText w:val=""/>
      <w:lvlJc w:val="left"/>
      <w:pPr>
        <w:tabs>
          <w:tab w:val="num" w:pos="5732"/>
        </w:tabs>
        <w:ind w:left="5732" w:hanging="360"/>
      </w:pPr>
      <w:rPr>
        <w:rFonts w:ascii="Wingdings" w:hAnsi="Wingdings" w:hint="default"/>
      </w:rPr>
    </w:lvl>
    <w:lvl w:ilvl="6" w:tplc="04090001" w:tentative="1">
      <w:start w:val="1"/>
      <w:numFmt w:val="bullet"/>
      <w:lvlText w:val=""/>
      <w:lvlJc w:val="left"/>
      <w:pPr>
        <w:tabs>
          <w:tab w:val="num" w:pos="6452"/>
        </w:tabs>
        <w:ind w:left="6452" w:hanging="360"/>
      </w:pPr>
      <w:rPr>
        <w:rFonts w:ascii="Symbol" w:hAnsi="Symbol" w:hint="default"/>
      </w:rPr>
    </w:lvl>
    <w:lvl w:ilvl="7" w:tplc="04090003" w:tentative="1">
      <w:start w:val="1"/>
      <w:numFmt w:val="bullet"/>
      <w:lvlText w:val="o"/>
      <w:lvlJc w:val="left"/>
      <w:pPr>
        <w:tabs>
          <w:tab w:val="num" w:pos="7172"/>
        </w:tabs>
        <w:ind w:left="7172" w:hanging="360"/>
      </w:pPr>
      <w:rPr>
        <w:rFonts w:ascii="Courier New" w:hAnsi="Courier New" w:hint="default"/>
      </w:rPr>
    </w:lvl>
    <w:lvl w:ilvl="8" w:tplc="04090005" w:tentative="1">
      <w:start w:val="1"/>
      <w:numFmt w:val="bullet"/>
      <w:lvlText w:val=""/>
      <w:lvlJc w:val="left"/>
      <w:pPr>
        <w:tabs>
          <w:tab w:val="num" w:pos="7892"/>
        </w:tabs>
        <w:ind w:left="7892" w:hanging="360"/>
      </w:pPr>
      <w:rPr>
        <w:rFonts w:ascii="Wingdings" w:hAnsi="Wingdings" w:hint="default"/>
      </w:rPr>
    </w:lvl>
  </w:abstractNum>
  <w:abstractNum w:abstractNumId="31" w15:restartNumberingAfterBreak="0">
    <w:nsid w:val="4B7F7F72"/>
    <w:multiLevelType w:val="hybridMultilevel"/>
    <w:tmpl w:val="F4146CD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15:restartNumberingAfterBreak="0">
    <w:nsid w:val="54162234"/>
    <w:multiLevelType w:val="hybridMultilevel"/>
    <w:tmpl w:val="9D6841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5EA3B3B"/>
    <w:multiLevelType w:val="hybridMultilevel"/>
    <w:tmpl w:val="2FC27A1A"/>
    <w:lvl w:ilvl="0" w:tplc="F6C2167E">
      <w:start w:val="1"/>
      <w:numFmt w:val="decimal"/>
      <w:lvlText w:val="%1."/>
      <w:lvlJc w:val="left"/>
      <w:pPr>
        <w:ind w:left="1065" w:hanging="360"/>
      </w:pPr>
    </w:lvl>
    <w:lvl w:ilvl="1" w:tplc="04160019">
      <w:start w:val="1"/>
      <w:numFmt w:val="lowerLetter"/>
      <w:lvlText w:val="%2."/>
      <w:lvlJc w:val="left"/>
      <w:pPr>
        <w:ind w:left="1785" w:hanging="360"/>
      </w:pPr>
    </w:lvl>
    <w:lvl w:ilvl="2" w:tplc="0416001B">
      <w:start w:val="1"/>
      <w:numFmt w:val="lowerRoman"/>
      <w:lvlText w:val="%3."/>
      <w:lvlJc w:val="right"/>
      <w:pPr>
        <w:ind w:left="2505" w:hanging="180"/>
      </w:pPr>
    </w:lvl>
    <w:lvl w:ilvl="3" w:tplc="0416000F">
      <w:start w:val="1"/>
      <w:numFmt w:val="decimal"/>
      <w:lvlText w:val="%4."/>
      <w:lvlJc w:val="left"/>
      <w:pPr>
        <w:ind w:left="3225" w:hanging="360"/>
      </w:pPr>
    </w:lvl>
    <w:lvl w:ilvl="4" w:tplc="04160019">
      <w:start w:val="1"/>
      <w:numFmt w:val="lowerLetter"/>
      <w:lvlText w:val="%5."/>
      <w:lvlJc w:val="left"/>
      <w:pPr>
        <w:ind w:left="3945" w:hanging="360"/>
      </w:pPr>
    </w:lvl>
    <w:lvl w:ilvl="5" w:tplc="0416001B">
      <w:start w:val="1"/>
      <w:numFmt w:val="lowerRoman"/>
      <w:lvlText w:val="%6."/>
      <w:lvlJc w:val="right"/>
      <w:pPr>
        <w:ind w:left="4665" w:hanging="180"/>
      </w:pPr>
    </w:lvl>
    <w:lvl w:ilvl="6" w:tplc="0416000F">
      <w:start w:val="1"/>
      <w:numFmt w:val="decimal"/>
      <w:lvlText w:val="%7."/>
      <w:lvlJc w:val="left"/>
      <w:pPr>
        <w:ind w:left="5385" w:hanging="360"/>
      </w:pPr>
    </w:lvl>
    <w:lvl w:ilvl="7" w:tplc="04160019">
      <w:start w:val="1"/>
      <w:numFmt w:val="lowerLetter"/>
      <w:lvlText w:val="%8."/>
      <w:lvlJc w:val="left"/>
      <w:pPr>
        <w:ind w:left="6105" w:hanging="360"/>
      </w:pPr>
    </w:lvl>
    <w:lvl w:ilvl="8" w:tplc="0416001B">
      <w:start w:val="1"/>
      <w:numFmt w:val="lowerRoman"/>
      <w:lvlText w:val="%9."/>
      <w:lvlJc w:val="right"/>
      <w:pPr>
        <w:ind w:left="6825" w:hanging="180"/>
      </w:pPr>
    </w:lvl>
  </w:abstractNum>
  <w:abstractNum w:abstractNumId="34" w15:restartNumberingAfterBreak="0">
    <w:nsid w:val="59FA03B9"/>
    <w:multiLevelType w:val="hybridMultilevel"/>
    <w:tmpl w:val="EFC86688"/>
    <w:lvl w:ilvl="0" w:tplc="FFFFFFFF">
      <w:start w:val="1"/>
      <w:numFmt w:val="bullet"/>
      <w:lvlText w:val=""/>
      <w:lvlJc w:val="left"/>
      <w:pPr>
        <w:tabs>
          <w:tab w:val="num" w:pos="928"/>
        </w:tabs>
        <w:ind w:left="928" w:hanging="360"/>
      </w:pPr>
      <w:rPr>
        <w:rFonts w:ascii="Wingdings" w:hAnsi="Wingdings" w:hint="default"/>
        <w:sz w:val="22"/>
        <w:szCs w:val="22"/>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C5F6F11"/>
    <w:multiLevelType w:val="hybridMultilevel"/>
    <w:tmpl w:val="C6483248"/>
    <w:lvl w:ilvl="0" w:tplc="5CE09BA6">
      <w:start w:val="1"/>
      <w:numFmt w:val="bullet"/>
      <w:pStyle w:val="PargrafodaLista"/>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36" w15:restartNumberingAfterBreak="0">
    <w:nsid w:val="65B76F03"/>
    <w:multiLevelType w:val="hybridMultilevel"/>
    <w:tmpl w:val="EEB06E6C"/>
    <w:lvl w:ilvl="0" w:tplc="04090001">
      <w:start w:val="1"/>
      <w:numFmt w:val="bullet"/>
      <w:pStyle w:val="OCETexto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BC945F7"/>
    <w:multiLevelType w:val="multilevel"/>
    <w:tmpl w:val="CEA425F2"/>
    <w:lvl w:ilvl="0">
      <w:start w:val="1"/>
      <w:numFmt w:val="bullet"/>
      <w:pStyle w:val="itemx"/>
      <w:lvlText w:val=""/>
      <w:lvlJc w:val="left"/>
      <w:pPr>
        <w:tabs>
          <w:tab w:val="num" w:pos="397"/>
        </w:tabs>
        <w:ind w:left="397" w:hanging="397"/>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27F53EC"/>
    <w:multiLevelType w:val="hybridMultilevel"/>
    <w:tmpl w:val="A6F8EE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77176F89"/>
    <w:multiLevelType w:val="hybridMultilevel"/>
    <w:tmpl w:val="66E031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C303AF"/>
    <w:multiLevelType w:val="hybridMultilevel"/>
    <w:tmpl w:val="1A744EF6"/>
    <w:lvl w:ilvl="0" w:tplc="0416000D">
      <w:start w:val="1"/>
      <w:numFmt w:val="bullet"/>
      <w:lvlText w:val=""/>
      <w:lvlJc w:val="left"/>
      <w:pPr>
        <w:tabs>
          <w:tab w:val="num" w:pos="1772"/>
        </w:tabs>
        <w:ind w:left="1772" w:hanging="360"/>
      </w:pPr>
      <w:rPr>
        <w:rFonts w:ascii="Wingdings" w:hAnsi="Wingdings" w:hint="default"/>
      </w:rPr>
    </w:lvl>
    <w:lvl w:ilvl="1" w:tplc="04090005">
      <w:start w:val="1"/>
      <w:numFmt w:val="bullet"/>
      <w:lvlText w:val=""/>
      <w:lvlJc w:val="left"/>
      <w:pPr>
        <w:tabs>
          <w:tab w:val="num" w:pos="2492"/>
        </w:tabs>
        <w:ind w:left="2492" w:hanging="360"/>
      </w:pPr>
      <w:rPr>
        <w:rFonts w:ascii="Wingdings" w:hAnsi="Wingdings" w:hint="default"/>
      </w:rPr>
    </w:lvl>
    <w:lvl w:ilvl="2" w:tplc="04160005">
      <w:start w:val="1"/>
      <w:numFmt w:val="bullet"/>
      <w:lvlText w:val=""/>
      <w:lvlJc w:val="left"/>
      <w:pPr>
        <w:ind w:left="3212" w:hanging="360"/>
      </w:pPr>
      <w:rPr>
        <w:rFonts w:ascii="Wingdings" w:hAnsi="Wingdings" w:hint="default"/>
      </w:rPr>
    </w:lvl>
    <w:lvl w:ilvl="3" w:tplc="04160001" w:tentative="1">
      <w:start w:val="1"/>
      <w:numFmt w:val="bullet"/>
      <w:lvlText w:val=""/>
      <w:lvlJc w:val="left"/>
      <w:pPr>
        <w:ind w:left="3932" w:hanging="360"/>
      </w:pPr>
      <w:rPr>
        <w:rFonts w:ascii="Symbol" w:hAnsi="Symbol" w:hint="default"/>
      </w:rPr>
    </w:lvl>
    <w:lvl w:ilvl="4" w:tplc="04160003" w:tentative="1">
      <w:start w:val="1"/>
      <w:numFmt w:val="bullet"/>
      <w:lvlText w:val="o"/>
      <w:lvlJc w:val="left"/>
      <w:pPr>
        <w:ind w:left="4652" w:hanging="360"/>
      </w:pPr>
      <w:rPr>
        <w:rFonts w:ascii="Courier New" w:hAnsi="Courier New" w:cs="Courier New" w:hint="default"/>
      </w:rPr>
    </w:lvl>
    <w:lvl w:ilvl="5" w:tplc="04160005" w:tentative="1">
      <w:start w:val="1"/>
      <w:numFmt w:val="bullet"/>
      <w:lvlText w:val=""/>
      <w:lvlJc w:val="left"/>
      <w:pPr>
        <w:ind w:left="5372" w:hanging="360"/>
      </w:pPr>
      <w:rPr>
        <w:rFonts w:ascii="Wingdings" w:hAnsi="Wingdings" w:hint="default"/>
      </w:rPr>
    </w:lvl>
    <w:lvl w:ilvl="6" w:tplc="04160001" w:tentative="1">
      <w:start w:val="1"/>
      <w:numFmt w:val="bullet"/>
      <w:lvlText w:val=""/>
      <w:lvlJc w:val="left"/>
      <w:pPr>
        <w:ind w:left="6092" w:hanging="360"/>
      </w:pPr>
      <w:rPr>
        <w:rFonts w:ascii="Symbol" w:hAnsi="Symbol" w:hint="default"/>
      </w:rPr>
    </w:lvl>
    <w:lvl w:ilvl="7" w:tplc="04160003" w:tentative="1">
      <w:start w:val="1"/>
      <w:numFmt w:val="bullet"/>
      <w:lvlText w:val="o"/>
      <w:lvlJc w:val="left"/>
      <w:pPr>
        <w:ind w:left="6812" w:hanging="360"/>
      </w:pPr>
      <w:rPr>
        <w:rFonts w:ascii="Courier New" w:hAnsi="Courier New" w:cs="Courier New" w:hint="default"/>
      </w:rPr>
    </w:lvl>
    <w:lvl w:ilvl="8" w:tplc="04160005" w:tentative="1">
      <w:start w:val="1"/>
      <w:numFmt w:val="bullet"/>
      <w:lvlText w:val=""/>
      <w:lvlJc w:val="left"/>
      <w:pPr>
        <w:ind w:left="7532" w:hanging="360"/>
      </w:pPr>
      <w:rPr>
        <w:rFonts w:ascii="Wingdings" w:hAnsi="Wingdings" w:hint="default"/>
      </w:rPr>
    </w:lvl>
  </w:abstractNum>
  <w:abstractNum w:abstractNumId="41" w15:restartNumberingAfterBreak="0">
    <w:nsid w:val="7BAB1812"/>
    <w:multiLevelType w:val="hybridMultilevel"/>
    <w:tmpl w:val="DE5C2F56"/>
    <w:lvl w:ilvl="0" w:tplc="FFFFFFFF">
      <w:start w:val="1"/>
      <w:numFmt w:val="bullet"/>
      <w:pStyle w:val="bartfogalt3checkbox"/>
      <w:lvlText w:val=""/>
      <w:lvlJc w:val="left"/>
      <w:pPr>
        <w:tabs>
          <w:tab w:val="num" w:pos="360"/>
        </w:tabs>
        <w:ind w:left="360" w:hanging="360"/>
      </w:pPr>
      <w:rPr>
        <w:rFonts w:ascii="Wingdings" w:hAnsi="Wingdings" w:hint="default"/>
        <w:sz w:val="18"/>
      </w:rPr>
    </w:lvl>
    <w:lvl w:ilvl="1" w:tplc="FFFFFFFF">
      <w:start w:val="1"/>
      <w:numFmt w:val="bullet"/>
      <w:lvlText w:val=""/>
      <w:lvlJc w:val="left"/>
      <w:pPr>
        <w:tabs>
          <w:tab w:val="num" w:pos="1170"/>
        </w:tabs>
        <w:ind w:left="1170" w:hanging="360"/>
      </w:pPr>
      <w:rPr>
        <w:rFonts w:ascii="Symbol" w:hAnsi="Symbol" w:hint="default"/>
        <w:sz w:val="18"/>
      </w:rPr>
    </w:lvl>
    <w:lvl w:ilvl="2" w:tplc="FFFFFFFF">
      <w:start w:val="5"/>
      <w:numFmt w:val="bullet"/>
      <w:lvlText w:val="-"/>
      <w:lvlJc w:val="left"/>
      <w:pPr>
        <w:tabs>
          <w:tab w:val="num" w:pos="2160"/>
        </w:tabs>
        <w:ind w:left="2160" w:hanging="360"/>
      </w:pPr>
      <w:rPr>
        <w:rFonts w:ascii="Univers 45 Light" w:eastAsia="Times New Roman" w:hAnsi="Univers 45 Light"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D37721A"/>
    <w:multiLevelType w:val="hybridMultilevel"/>
    <w:tmpl w:val="36CEE7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7"/>
  </w:num>
  <w:num w:numId="2">
    <w:abstractNumId w:val="14"/>
  </w:num>
  <w:num w:numId="3">
    <w:abstractNumId w:val="23"/>
  </w:num>
  <w:num w:numId="4">
    <w:abstractNumId w:val="25"/>
  </w:num>
  <w:num w:numId="5">
    <w:abstractNumId w:val="25"/>
  </w:num>
  <w:num w:numId="6">
    <w:abstractNumId w:val="16"/>
  </w:num>
  <w:num w:numId="7">
    <w:abstractNumId w:val="21"/>
  </w:num>
  <w:num w:numId="8">
    <w:abstractNumId w:val="35"/>
  </w:num>
  <w:num w:numId="9">
    <w:abstractNumId w:val="13"/>
  </w:num>
  <w:num w:numId="10">
    <w:abstractNumId w:val="38"/>
  </w:num>
  <w:num w:numId="11">
    <w:abstractNumId w:val="0"/>
  </w:num>
  <w:num w:numId="12">
    <w:abstractNumId w:val="15"/>
  </w:num>
  <w:num w:numId="13">
    <w:abstractNumId w:val="37"/>
  </w:num>
  <w:num w:numId="14">
    <w:abstractNumId w:val="36"/>
  </w:num>
  <w:num w:numId="15">
    <w:abstractNumId w:val="11"/>
  </w:num>
  <w:num w:numId="16">
    <w:abstractNumId w:val="41"/>
  </w:num>
  <w:num w:numId="17">
    <w:abstractNumId w:val="34"/>
  </w:num>
  <w:num w:numId="18">
    <w:abstractNumId w:val="7"/>
  </w:num>
  <w:num w:numId="19">
    <w:abstractNumId w:val="24"/>
  </w:num>
  <w:num w:numId="20">
    <w:abstractNumId w:val="2"/>
  </w:num>
  <w:num w:numId="21">
    <w:abstractNumId w:val="30"/>
  </w:num>
  <w:num w:numId="22">
    <w:abstractNumId w:val="6"/>
  </w:num>
  <w:num w:numId="23">
    <w:abstractNumId w:val="3"/>
  </w:num>
  <w:num w:numId="24">
    <w:abstractNumId w:val="26"/>
  </w:num>
  <w:num w:numId="25">
    <w:abstractNumId w:val="19"/>
  </w:num>
  <w:num w:numId="26">
    <w:abstractNumId w:val="40"/>
  </w:num>
  <w:num w:numId="27">
    <w:abstractNumId w:val="12"/>
  </w:num>
  <w:num w:numId="28">
    <w:abstractNumId w:val="31"/>
  </w:num>
  <w:num w:numId="29">
    <w:abstractNumId w:val="29"/>
  </w:num>
  <w:num w:numId="3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3"/>
  </w:num>
  <w:num w:numId="32">
    <w:abstractNumId w:val="4"/>
  </w:num>
  <w:num w:numId="33">
    <w:abstractNumId w:val="9"/>
  </w:num>
  <w:num w:numId="34">
    <w:abstractNumId w:val="17"/>
  </w:num>
  <w:num w:numId="3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5"/>
  </w:num>
  <w:num w:numId="37">
    <w:abstractNumId w:val="39"/>
  </w:num>
  <w:num w:numId="38">
    <w:abstractNumId w:val="20"/>
  </w:num>
  <w:num w:numId="39">
    <w:abstractNumId w:val="32"/>
  </w:num>
  <w:num w:numId="40">
    <w:abstractNumId w:val="18"/>
  </w:num>
  <w:num w:numId="41">
    <w:abstractNumId w:val="42"/>
  </w:num>
  <w:num w:numId="42">
    <w:abstractNumId w:val="28"/>
  </w:num>
  <w:num w:numId="43">
    <w:abstractNumId w:val="22"/>
  </w:num>
  <w:num w:numId="44">
    <w:abstractNumId w:val="8"/>
  </w:num>
  <w:num w:numId="45">
    <w:abstractNumId w:val="5"/>
  </w:num>
  <w:num w:numId="46">
    <w:abstractNumId w:val="1"/>
  </w:num>
  <w:num w:numId="47">
    <w:abstractNumId w:val="10"/>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hideSpellingErrors/>
  <w:hideGrammaticalErrors/>
  <w:activeWritingStyle w:appName="MSWord" w:lang="pt-BR" w:vendorID="1" w:dllVersion="513" w:checkStyle="0"/>
  <w:activeWritingStyle w:appName="MSWord" w:lang="pt-PT" w:vendorID="1" w:dllVersion="513" w:checkStyle="1"/>
  <w:defaultTabStop w:val="706"/>
  <w:hyphenationZone w:val="425"/>
  <w:drawingGridHorizontalSpacing w:val="110"/>
  <w:displayHorizontalDrawingGridEvery w:val="2"/>
  <w:characterSpacingControl w:val="doNotCompress"/>
  <w:hdrShapeDefaults>
    <o:shapedefaults v:ext="edit" spidmax="2457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1B8F"/>
    <w:rsid w:val="0000064D"/>
    <w:rsid w:val="00000DB5"/>
    <w:rsid w:val="0000172F"/>
    <w:rsid w:val="000018F8"/>
    <w:rsid w:val="000027C2"/>
    <w:rsid w:val="00003154"/>
    <w:rsid w:val="0000687A"/>
    <w:rsid w:val="00007470"/>
    <w:rsid w:val="00007882"/>
    <w:rsid w:val="00010B4A"/>
    <w:rsid w:val="0001133A"/>
    <w:rsid w:val="000113A4"/>
    <w:rsid w:val="000119AD"/>
    <w:rsid w:val="00012593"/>
    <w:rsid w:val="00013888"/>
    <w:rsid w:val="00014882"/>
    <w:rsid w:val="00015488"/>
    <w:rsid w:val="00016E75"/>
    <w:rsid w:val="00017C3D"/>
    <w:rsid w:val="00020620"/>
    <w:rsid w:val="000206D2"/>
    <w:rsid w:val="00021913"/>
    <w:rsid w:val="00021CF6"/>
    <w:rsid w:val="000224AE"/>
    <w:rsid w:val="00023481"/>
    <w:rsid w:val="000235F9"/>
    <w:rsid w:val="00023EAB"/>
    <w:rsid w:val="000246B8"/>
    <w:rsid w:val="00024C7B"/>
    <w:rsid w:val="000305C7"/>
    <w:rsid w:val="00030C24"/>
    <w:rsid w:val="00030C37"/>
    <w:rsid w:val="0003202F"/>
    <w:rsid w:val="00032904"/>
    <w:rsid w:val="000329A6"/>
    <w:rsid w:val="00036487"/>
    <w:rsid w:val="0003689D"/>
    <w:rsid w:val="00036C9D"/>
    <w:rsid w:val="000372BB"/>
    <w:rsid w:val="00037A63"/>
    <w:rsid w:val="00037F51"/>
    <w:rsid w:val="00040DD8"/>
    <w:rsid w:val="00043124"/>
    <w:rsid w:val="00043DA8"/>
    <w:rsid w:val="0004427F"/>
    <w:rsid w:val="00044E93"/>
    <w:rsid w:val="000458C5"/>
    <w:rsid w:val="00046728"/>
    <w:rsid w:val="00046AB6"/>
    <w:rsid w:val="000475C9"/>
    <w:rsid w:val="00047F2C"/>
    <w:rsid w:val="00050A43"/>
    <w:rsid w:val="0005141C"/>
    <w:rsid w:val="0005212C"/>
    <w:rsid w:val="00052308"/>
    <w:rsid w:val="00052929"/>
    <w:rsid w:val="00054CC5"/>
    <w:rsid w:val="00055282"/>
    <w:rsid w:val="0005575F"/>
    <w:rsid w:val="00056157"/>
    <w:rsid w:val="00057ED9"/>
    <w:rsid w:val="00060328"/>
    <w:rsid w:val="00060EEA"/>
    <w:rsid w:val="00060F54"/>
    <w:rsid w:val="00061B1D"/>
    <w:rsid w:val="00062A14"/>
    <w:rsid w:val="0006347F"/>
    <w:rsid w:val="00064CBD"/>
    <w:rsid w:val="000653C9"/>
    <w:rsid w:val="00065B6C"/>
    <w:rsid w:val="00065C22"/>
    <w:rsid w:val="00065FD1"/>
    <w:rsid w:val="00065FDA"/>
    <w:rsid w:val="00066477"/>
    <w:rsid w:val="0006748A"/>
    <w:rsid w:val="000722D9"/>
    <w:rsid w:val="000725F9"/>
    <w:rsid w:val="00072DE2"/>
    <w:rsid w:val="0007300D"/>
    <w:rsid w:val="00073908"/>
    <w:rsid w:val="00073BB6"/>
    <w:rsid w:val="000742C9"/>
    <w:rsid w:val="00076191"/>
    <w:rsid w:val="0007674A"/>
    <w:rsid w:val="00076872"/>
    <w:rsid w:val="00076F75"/>
    <w:rsid w:val="00077A8F"/>
    <w:rsid w:val="000807DF"/>
    <w:rsid w:val="00080A46"/>
    <w:rsid w:val="00080BDD"/>
    <w:rsid w:val="00081378"/>
    <w:rsid w:val="00081381"/>
    <w:rsid w:val="00082224"/>
    <w:rsid w:val="00082586"/>
    <w:rsid w:val="00082780"/>
    <w:rsid w:val="0008447C"/>
    <w:rsid w:val="00085CF5"/>
    <w:rsid w:val="0008747A"/>
    <w:rsid w:val="0008757F"/>
    <w:rsid w:val="00087854"/>
    <w:rsid w:val="0009030E"/>
    <w:rsid w:val="00090B5E"/>
    <w:rsid w:val="0009102C"/>
    <w:rsid w:val="000927D3"/>
    <w:rsid w:val="000928BA"/>
    <w:rsid w:val="0009455F"/>
    <w:rsid w:val="00094A29"/>
    <w:rsid w:val="00095164"/>
    <w:rsid w:val="00095389"/>
    <w:rsid w:val="0009548F"/>
    <w:rsid w:val="00095742"/>
    <w:rsid w:val="0009597B"/>
    <w:rsid w:val="00095A9F"/>
    <w:rsid w:val="00095D1B"/>
    <w:rsid w:val="000A0458"/>
    <w:rsid w:val="000A1B8F"/>
    <w:rsid w:val="000A2A1F"/>
    <w:rsid w:val="000A3626"/>
    <w:rsid w:val="000A4165"/>
    <w:rsid w:val="000A548E"/>
    <w:rsid w:val="000A59A2"/>
    <w:rsid w:val="000A78D7"/>
    <w:rsid w:val="000B00FA"/>
    <w:rsid w:val="000B0891"/>
    <w:rsid w:val="000B0EDC"/>
    <w:rsid w:val="000B31CB"/>
    <w:rsid w:val="000B3C63"/>
    <w:rsid w:val="000B434F"/>
    <w:rsid w:val="000B4FB3"/>
    <w:rsid w:val="000B53E2"/>
    <w:rsid w:val="000B567D"/>
    <w:rsid w:val="000B5A55"/>
    <w:rsid w:val="000B5B2B"/>
    <w:rsid w:val="000B6210"/>
    <w:rsid w:val="000B65C4"/>
    <w:rsid w:val="000B6F07"/>
    <w:rsid w:val="000C0733"/>
    <w:rsid w:val="000C0D83"/>
    <w:rsid w:val="000C1028"/>
    <w:rsid w:val="000C13E4"/>
    <w:rsid w:val="000C1442"/>
    <w:rsid w:val="000C2275"/>
    <w:rsid w:val="000C2F25"/>
    <w:rsid w:val="000C4067"/>
    <w:rsid w:val="000C4B02"/>
    <w:rsid w:val="000C57F9"/>
    <w:rsid w:val="000C5A9D"/>
    <w:rsid w:val="000C5F3D"/>
    <w:rsid w:val="000C624C"/>
    <w:rsid w:val="000C6787"/>
    <w:rsid w:val="000C6FAD"/>
    <w:rsid w:val="000C7C11"/>
    <w:rsid w:val="000C7E16"/>
    <w:rsid w:val="000C7FAC"/>
    <w:rsid w:val="000D114E"/>
    <w:rsid w:val="000D2998"/>
    <w:rsid w:val="000D3460"/>
    <w:rsid w:val="000D3B04"/>
    <w:rsid w:val="000D490C"/>
    <w:rsid w:val="000D49AD"/>
    <w:rsid w:val="000D5F03"/>
    <w:rsid w:val="000D65DA"/>
    <w:rsid w:val="000D6F6A"/>
    <w:rsid w:val="000D7B0D"/>
    <w:rsid w:val="000E00D4"/>
    <w:rsid w:val="000E0523"/>
    <w:rsid w:val="000E167D"/>
    <w:rsid w:val="000E1DCB"/>
    <w:rsid w:val="000E1F5C"/>
    <w:rsid w:val="000E30A8"/>
    <w:rsid w:val="000E3101"/>
    <w:rsid w:val="000E3866"/>
    <w:rsid w:val="000E5237"/>
    <w:rsid w:val="000E551C"/>
    <w:rsid w:val="000E63CB"/>
    <w:rsid w:val="000E68AB"/>
    <w:rsid w:val="000E6C42"/>
    <w:rsid w:val="000E7713"/>
    <w:rsid w:val="000E7E6A"/>
    <w:rsid w:val="000F190F"/>
    <w:rsid w:val="000F2921"/>
    <w:rsid w:val="000F3DA6"/>
    <w:rsid w:val="000F4778"/>
    <w:rsid w:val="000F5021"/>
    <w:rsid w:val="000F586B"/>
    <w:rsid w:val="000F5E5B"/>
    <w:rsid w:val="000F6DC8"/>
    <w:rsid w:val="000F78AF"/>
    <w:rsid w:val="000F78C1"/>
    <w:rsid w:val="000F7D19"/>
    <w:rsid w:val="000F7E09"/>
    <w:rsid w:val="001005C1"/>
    <w:rsid w:val="00100A08"/>
    <w:rsid w:val="001010D9"/>
    <w:rsid w:val="00102ABD"/>
    <w:rsid w:val="00104893"/>
    <w:rsid w:val="001056EA"/>
    <w:rsid w:val="001058A3"/>
    <w:rsid w:val="00106042"/>
    <w:rsid w:val="0010683E"/>
    <w:rsid w:val="00106B50"/>
    <w:rsid w:val="001070B3"/>
    <w:rsid w:val="00107790"/>
    <w:rsid w:val="001077BD"/>
    <w:rsid w:val="00110386"/>
    <w:rsid w:val="00110B68"/>
    <w:rsid w:val="001116D9"/>
    <w:rsid w:val="001116EC"/>
    <w:rsid w:val="001117E0"/>
    <w:rsid w:val="00111FB0"/>
    <w:rsid w:val="00112F53"/>
    <w:rsid w:val="0011338A"/>
    <w:rsid w:val="00115431"/>
    <w:rsid w:val="00115DAC"/>
    <w:rsid w:val="00116E63"/>
    <w:rsid w:val="001170B1"/>
    <w:rsid w:val="001175E7"/>
    <w:rsid w:val="00117AC3"/>
    <w:rsid w:val="00117DA0"/>
    <w:rsid w:val="001203F7"/>
    <w:rsid w:val="00121413"/>
    <w:rsid w:val="00121F26"/>
    <w:rsid w:val="001222DA"/>
    <w:rsid w:val="00122E4A"/>
    <w:rsid w:val="001230D3"/>
    <w:rsid w:val="00124312"/>
    <w:rsid w:val="00124862"/>
    <w:rsid w:val="00124907"/>
    <w:rsid w:val="00125DBF"/>
    <w:rsid w:val="00126D03"/>
    <w:rsid w:val="00127402"/>
    <w:rsid w:val="00127A1D"/>
    <w:rsid w:val="00130C5A"/>
    <w:rsid w:val="00132016"/>
    <w:rsid w:val="001324F0"/>
    <w:rsid w:val="0013308E"/>
    <w:rsid w:val="00133925"/>
    <w:rsid w:val="0013559F"/>
    <w:rsid w:val="00135DB0"/>
    <w:rsid w:val="0013659D"/>
    <w:rsid w:val="00136F6D"/>
    <w:rsid w:val="00137BC4"/>
    <w:rsid w:val="00137ECB"/>
    <w:rsid w:val="001410B4"/>
    <w:rsid w:val="0014163D"/>
    <w:rsid w:val="00141691"/>
    <w:rsid w:val="00141AAF"/>
    <w:rsid w:val="00143223"/>
    <w:rsid w:val="001437FD"/>
    <w:rsid w:val="00143951"/>
    <w:rsid w:val="00144710"/>
    <w:rsid w:val="00144929"/>
    <w:rsid w:val="00144D65"/>
    <w:rsid w:val="00144F10"/>
    <w:rsid w:val="00145A76"/>
    <w:rsid w:val="00146348"/>
    <w:rsid w:val="00147060"/>
    <w:rsid w:val="001500A7"/>
    <w:rsid w:val="00150C97"/>
    <w:rsid w:val="00150CAE"/>
    <w:rsid w:val="00151441"/>
    <w:rsid w:val="001517D6"/>
    <w:rsid w:val="00152A2A"/>
    <w:rsid w:val="001531F0"/>
    <w:rsid w:val="00153DF1"/>
    <w:rsid w:val="00153F3F"/>
    <w:rsid w:val="001559C3"/>
    <w:rsid w:val="00155E8F"/>
    <w:rsid w:val="00156E20"/>
    <w:rsid w:val="00157606"/>
    <w:rsid w:val="001577AB"/>
    <w:rsid w:val="001606DF"/>
    <w:rsid w:val="001612A4"/>
    <w:rsid w:val="00161970"/>
    <w:rsid w:val="00161C6E"/>
    <w:rsid w:val="00163BE0"/>
    <w:rsid w:val="0016415D"/>
    <w:rsid w:val="00164D47"/>
    <w:rsid w:val="00165A96"/>
    <w:rsid w:val="001665A2"/>
    <w:rsid w:val="001708B1"/>
    <w:rsid w:val="00170E6F"/>
    <w:rsid w:val="00170E92"/>
    <w:rsid w:val="001714B3"/>
    <w:rsid w:val="00172248"/>
    <w:rsid w:val="00172C11"/>
    <w:rsid w:val="001735BE"/>
    <w:rsid w:val="001744F1"/>
    <w:rsid w:val="00174FE3"/>
    <w:rsid w:val="001755DD"/>
    <w:rsid w:val="0017696E"/>
    <w:rsid w:val="00177B02"/>
    <w:rsid w:val="001813B3"/>
    <w:rsid w:val="0018374E"/>
    <w:rsid w:val="00183E41"/>
    <w:rsid w:val="001842DE"/>
    <w:rsid w:val="001850C3"/>
    <w:rsid w:val="00185D0C"/>
    <w:rsid w:val="00185D15"/>
    <w:rsid w:val="001864AF"/>
    <w:rsid w:val="00187089"/>
    <w:rsid w:val="001915DE"/>
    <w:rsid w:val="0019174C"/>
    <w:rsid w:val="00191F0B"/>
    <w:rsid w:val="0019469C"/>
    <w:rsid w:val="00194801"/>
    <w:rsid w:val="00194D5C"/>
    <w:rsid w:val="00194F32"/>
    <w:rsid w:val="0019584F"/>
    <w:rsid w:val="00196055"/>
    <w:rsid w:val="001966A1"/>
    <w:rsid w:val="00196A55"/>
    <w:rsid w:val="001A0409"/>
    <w:rsid w:val="001A0496"/>
    <w:rsid w:val="001A1052"/>
    <w:rsid w:val="001A1559"/>
    <w:rsid w:val="001A338E"/>
    <w:rsid w:val="001A3A8E"/>
    <w:rsid w:val="001A40FB"/>
    <w:rsid w:val="001A4904"/>
    <w:rsid w:val="001A6812"/>
    <w:rsid w:val="001A6A4D"/>
    <w:rsid w:val="001A7695"/>
    <w:rsid w:val="001A7B8D"/>
    <w:rsid w:val="001A7B94"/>
    <w:rsid w:val="001B07F3"/>
    <w:rsid w:val="001B0A34"/>
    <w:rsid w:val="001B0AA7"/>
    <w:rsid w:val="001B0C10"/>
    <w:rsid w:val="001B0C79"/>
    <w:rsid w:val="001B2652"/>
    <w:rsid w:val="001B3163"/>
    <w:rsid w:val="001B401C"/>
    <w:rsid w:val="001B416D"/>
    <w:rsid w:val="001B54B3"/>
    <w:rsid w:val="001B65E2"/>
    <w:rsid w:val="001B6611"/>
    <w:rsid w:val="001B6E1A"/>
    <w:rsid w:val="001B77EC"/>
    <w:rsid w:val="001B7F20"/>
    <w:rsid w:val="001C0967"/>
    <w:rsid w:val="001C19E3"/>
    <w:rsid w:val="001C1C8A"/>
    <w:rsid w:val="001C1FE0"/>
    <w:rsid w:val="001C3BC1"/>
    <w:rsid w:val="001C4686"/>
    <w:rsid w:val="001C4932"/>
    <w:rsid w:val="001C580E"/>
    <w:rsid w:val="001C6D6D"/>
    <w:rsid w:val="001C7262"/>
    <w:rsid w:val="001D0D18"/>
    <w:rsid w:val="001D1A37"/>
    <w:rsid w:val="001D1CF2"/>
    <w:rsid w:val="001D2B2A"/>
    <w:rsid w:val="001D31C9"/>
    <w:rsid w:val="001D45D0"/>
    <w:rsid w:val="001D4B93"/>
    <w:rsid w:val="001D5292"/>
    <w:rsid w:val="001D5596"/>
    <w:rsid w:val="001D582E"/>
    <w:rsid w:val="001D5E17"/>
    <w:rsid w:val="001D651B"/>
    <w:rsid w:val="001D6690"/>
    <w:rsid w:val="001D69BA"/>
    <w:rsid w:val="001D6E59"/>
    <w:rsid w:val="001D71C0"/>
    <w:rsid w:val="001D74FA"/>
    <w:rsid w:val="001E21BE"/>
    <w:rsid w:val="001E243A"/>
    <w:rsid w:val="001E2663"/>
    <w:rsid w:val="001E287C"/>
    <w:rsid w:val="001E2979"/>
    <w:rsid w:val="001E2B67"/>
    <w:rsid w:val="001E39F8"/>
    <w:rsid w:val="001E3F84"/>
    <w:rsid w:val="001E4969"/>
    <w:rsid w:val="001E4C90"/>
    <w:rsid w:val="001E538C"/>
    <w:rsid w:val="001E5ADA"/>
    <w:rsid w:val="001E5B59"/>
    <w:rsid w:val="001E6239"/>
    <w:rsid w:val="001E663D"/>
    <w:rsid w:val="001E79CE"/>
    <w:rsid w:val="001F002C"/>
    <w:rsid w:val="001F00E4"/>
    <w:rsid w:val="001F02A3"/>
    <w:rsid w:val="001F1E6D"/>
    <w:rsid w:val="001F20CB"/>
    <w:rsid w:val="001F253A"/>
    <w:rsid w:val="001F3A83"/>
    <w:rsid w:val="001F3B3E"/>
    <w:rsid w:val="001F4849"/>
    <w:rsid w:val="001F4DF6"/>
    <w:rsid w:val="001F5134"/>
    <w:rsid w:val="001F7E6D"/>
    <w:rsid w:val="00200863"/>
    <w:rsid w:val="00201146"/>
    <w:rsid w:val="00201196"/>
    <w:rsid w:val="0020126E"/>
    <w:rsid w:val="00201F14"/>
    <w:rsid w:val="0020323B"/>
    <w:rsid w:val="00205806"/>
    <w:rsid w:val="00205A4D"/>
    <w:rsid w:val="00206ADD"/>
    <w:rsid w:val="002103E2"/>
    <w:rsid w:val="00210F54"/>
    <w:rsid w:val="0021168D"/>
    <w:rsid w:val="00212C31"/>
    <w:rsid w:val="00213694"/>
    <w:rsid w:val="0021373C"/>
    <w:rsid w:val="00213981"/>
    <w:rsid w:val="002145E0"/>
    <w:rsid w:val="002165AE"/>
    <w:rsid w:val="00217873"/>
    <w:rsid w:val="00217DFE"/>
    <w:rsid w:val="00223021"/>
    <w:rsid w:val="00223486"/>
    <w:rsid w:val="0022412E"/>
    <w:rsid w:val="00224F15"/>
    <w:rsid w:val="00225885"/>
    <w:rsid w:val="002260F4"/>
    <w:rsid w:val="002261AA"/>
    <w:rsid w:val="00227C32"/>
    <w:rsid w:val="00227CAF"/>
    <w:rsid w:val="002314E1"/>
    <w:rsid w:val="00231A54"/>
    <w:rsid w:val="00231ADC"/>
    <w:rsid w:val="00231C5E"/>
    <w:rsid w:val="00231E41"/>
    <w:rsid w:val="00232004"/>
    <w:rsid w:val="00232C57"/>
    <w:rsid w:val="00233038"/>
    <w:rsid w:val="00233217"/>
    <w:rsid w:val="002332AF"/>
    <w:rsid w:val="00233B7C"/>
    <w:rsid w:val="00234F46"/>
    <w:rsid w:val="002354D1"/>
    <w:rsid w:val="00235858"/>
    <w:rsid w:val="00235973"/>
    <w:rsid w:val="00235AFC"/>
    <w:rsid w:val="00236499"/>
    <w:rsid w:val="0023676B"/>
    <w:rsid w:val="002367AC"/>
    <w:rsid w:val="00237264"/>
    <w:rsid w:val="0023778D"/>
    <w:rsid w:val="002377C4"/>
    <w:rsid w:val="0024091C"/>
    <w:rsid w:val="00241AFC"/>
    <w:rsid w:val="00241B90"/>
    <w:rsid w:val="00242759"/>
    <w:rsid w:val="00243C43"/>
    <w:rsid w:val="002441B7"/>
    <w:rsid w:val="00244A5B"/>
    <w:rsid w:val="00245C9B"/>
    <w:rsid w:val="00246EFC"/>
    <w:rsid w:val="00246F01"/>
    <w:rsid w:val="00247852"/>
    <w:rsid w:val="0024792F"/>
    <w:rsid w:val="00247B37"/>
    <w:rsid w:val="00247CB2"/>
    <w:rsid w:val="00247CE1"/>
    <w:rsid w:val="00252A95"/>
    <w:rsid w:val="00252F62"/>
    <w:rsid w:val="002538E2"/>
    <w:rsid w:val="002540D6"/>
    <w:rsid w:val="002541D0"/>
    <w:rsid w:val="002545A3"/>
    <w:rsid w:val="00254AA7"/>
    <w:rsid w:val="00254B9E"/>
    <w:rsid w:val="002559A7"/>
    <w:rsid w:val="00255B1F"/>
    <w:rsid w:val="00255DF3"/>
    <w:rsid w:val="00256B81"/>
    <w:rsid w:val="00256FE2"/>
    <w:rsid w:val="002578C0"/>
    <w:rsid w:val="00260987"/>
    <w:rsid w:val="00261055"/>
    <w:rsid w:val="002617C3"/>
    <w:rsid w:val="002631FE"/>
    <w:rsid w:val="002643F1"/>
    <w:rsid w:val="00264972"/>
    <w:rsid w:val="00265019"/>
    <w:rsid w:val="002652AA"/>
    <w:rsid w:val="00265364"/>
    <w:rsid w:val="002655D4"/>
    <w:rsid w:val="00266984"/>
    <w:rsid w:val="00266DFD"/>
    <w:rsid w:val="00266EC7"/>
    <w:rsid w:val="002670BA"/>
    <w:rsid w:val="00267226"/>
    <w:rsid w:val="002674E9"/>
    <w:rsid w:val="0026754E"/>
    <w:rsid w:val="00267CCF"/>
    <w:rsid w:val="0027197D"/>
    <w:rsid w:val="00271C28"/>
    <w:rsid w:val="00273FEB"/>
    <w:rsid w:val="0027472C"/>
    <w:rsid w:val="00275D36"/>
    <w:rsid w:val="00276105"/>
    <w:rsid w:val="002764BE"/>
    <w:rsid w:val="00276D66"/>
    <w:rsid w:val="00276F5F"/>
    <w:rsid w:val="0027715B"/>
    <w:rsid w:val="0028055D"/>
    <w:rsid w:val="002808C9"/>
    <w:rsid w:val="00280D52"/>
    <w:rsid w:val="00281036"/>
    <w:rsid w:val="00281131"/>
    <w:rsid w:val="00281CAB"/>
    <w:rsid w:val="00282677"/>
    <w:rsid w:val="0028287A"/>
    <w:rsid w:val="00282D19"/>
    <w:rsid w:val="00284C44"/>
    <w:rsid w:val="0028568C"/>
    <w:rsid w:val="00286062"/>
    <w:rsid w:val="00286937"/>
    <w:rsid w:val="00286ADD"/>
    <w:rsid w:val="002870C2"/>
    <w:rsid w:val="002872FF"/>
    <w:rsid w:val="00290858"/>
    <w:rsid w:val="00290EFD"/>
    <w:rsid w:val="00290F16"/>
    <w:rsid w:val="00291EDC"/>
    <w:rsid w:val="00292D7E"/>
    <w:rsid w:val="00292FCA"/>
    <w:rsid w:val="00292FDA"/>
    <w:rsid w:val="00293001"/>
    <w:rsid w:val="00293322"/>
    <w:rsid w:val="00293F95"/>
    <w:rsid w:val="00295296"/>
    <w:rsid w:val="0029694E"/>
    <w:rsid w:val="00296B4D"/>
    <w:rsid w:val="0029761F"/>
    <w:rsid w:val="00297649"/>
    <w:rsid w:val="002A0066"/>
    <w:rsid w:val="002A125E"/>
    <w:rsid w:val="002A1D83"/>
    <w:rsid w:val="002A3895"/>
    <w:rsid w:val="002A5C3A"/>
    <w:rsid w:val="002B0F98"/>
    <w:rsid w:val="002B0FA1"/>
    <w:rsid w:val="002B1821"/>
    <w:rsid w:val="002B19F3"/>
    <w:rsid w:val="002B1A2F"/>
    <w:rsid w:val="002B1E09"/>
    <w:rsid w:val="002B2787"/>
    <w:rsid w:val="002B3CC5"/>
    <w:rsid w:val="002B3ED0"/>
    <w:rsid w:val="002B4001"/>
    <w:rsid w:val="002B428D"/>
    <w:rsid w:val="002B4B64"/>
    <w:rsid w:val="002B5B58"/>
    <w:rsid w:val="002B6AD3"/>
    <w:rsid w:val="002C22F4"/>
    <w:rsid w:val="002C252A"/>
    <w:rsid w:val="002C27E0"/>
    <w:rsid w:val="002C2F0D"/>
    <w:rsid w:val="002C2F5E"/>
    <w:rsid w:val="002C3862"/>
    <w:rsid w:val="002C51AA"/>
    <w:rsid w:val="002C5765"/>
    <w:rsid w:val="002C57A7"/>
    <w:rsid w:val="002C5C68"/>
    <w:rsid w:val="002C68BD"/>
    <w:rsid w:val="002C6C99"/>
    <w:rsid w:val="002C6FAB"/>
    <w:rsid w:val="002C79FF"/>
    <w:rsid w:val="002C7D07"/>
    <w:rsid w:val="002D1D4A"/>
    <w:rsid w:val="002D2F32"/>
    <w:rsid w:val="002D3773"/>
    <w:rsid w:val="002D3F96"/>
    <w:rsid w:val="002D4B2D"/>
    <w:rsid w:val="002D4EAC"/>
    <w:rsid w:val="002D5DB9"/>
    <w:rsid w:val="002D5DBB"/>
    <w:rsid w:val="002D5F71"/>
    <w:rsid w:val="002D689C"/>
    <w:rsid w:val="002E0922"/>
    <w:rsid w:val="002E30E2"/>
    <w:rsid w:val="002E31D5"/>
    <w:rsid w:val="002E3EF1"/>
    <w:rsid w:val="002E4398"/>
    <w:rsid w:val="002E446D"/>
    <w:rsid w:val="002E576E"/>
    <w:rsid w:val="002E5A28"/>
    <w:rsid w:val="002E5EC7"/>
    <w:rsid w:val="002E7194"/>
    <w:rsid w:val="002E793F"/>
    <w:rsid w:val="002E7D0C"/>
    <w:rsid w:val="002E7FED"/>
    <w:rsid w:val="002F0635"/>
    <w:rsid w:val="002F0EC1"/>
    <w:rsid w:val="002F3179"/>
    <w:rsid w:val="002F3C87"/>
    <w:rsid w:val="002F3FFA"/>
    <w:rsid w:val="002F4423"/>
    <w:rsid w:val="002F46D5"/>
    <w:rsid w:val="002F5952"/>
    <w:rsid w:val="002F7A68"/>
    <w:rsid w:val="00301994"/>
    <w:rsid w:val="00301E34"/>
    <w:rsid w:val="003021FF"/>
    <w:rsid w:val="00303F3A"/>
    <w:rsid w:val="0030551B"/>
    <w:rsid w:val="00305B0B"/>
    <w:rsid w:val="0030600D"/>
    <w:rsid w:val="003061D8"/>
    <w:rsid w:val="00307575"/>
    <w:rsid w:val="00310291"/>
    <w:rsid w:val="00310911"/>
    <w:rsid w:val="00310C43"/>
    <w:rsid w:val="00310EBB"/>
    <w:rsid w:val="00310FD9"/>
    <w:rsid w:val="00311084"/>
    <w:rsid w:val="00311EC3"/>
    <w:rsid w:val="00311ED5"/>
    <w:rsid w:val="00312AC0"/>
    <w:rsid w:val="00313E31"/>
    <w:rsid w:val="00314A01"/>
    <w:rsid w:val="003156CA"/>
    <w:rsid w:val="003157A2"/>
    <w:rsid w:val="003158C8"/>
    <w:rsid w:val="003171F2"/>
    <w:rsid w:val="0031720A"/>
    <w:rsid w:val="003176DB"/>
    <w:rsid w:val="003178A7"/>
    <w:rsid w:val="003205E1"/>
    <w:rsid w:val="00320FCE"/>
    <w:rsid w:val="00322277"/>
    <w:rsid w:val="00322A72"/>
    <w:rsid w:val="003247AC"/>
    <w:rsid w:val="003252AA"/>
    <w:rsid w:val="00325548"/>
    <w:rsid w:val="00325A43"/>
    <w:rsid w:val="003264A7"/>
    <w:rsid w:val="00326933"/>
    <w:rsid w:val="00326CC2"/>
    <w:rsid w:val="00326D0A"/>
    <w:rsid w:val="00327EF2"/>
    <w:rsid w:val="00330AC6"/>
    <w:rsid w:val="00331040"/>
    <w:rsid w:val="0033153B"/>
    <w:rsid w:val="00331E5C"/>
    <w:rsid w:val="0033331B"/>
    <w:rsid w:val="00334039"/>
    <w:rsid w:val="003340FB"/>
    <w:rsid w:val="00334609"/>
    <w:rsid w:val="0033477E"/>
    <w:rsid w:val="00334CA9"/>
    <w:rsid w:val="00334E20"/>
    <w:rsid w:val="00335023"/>
    <w:rsid w:val="0033538F"/>
    <w:rsid w:val="00336F95"/>
    <w:rsid w:val="003425AC"/>
    <w:rsid w:val="00344D89"/>
    <w:rsid w:val="0034501F"/>
    <w:rsid w:val="00345463"/>
    <w:rsid w:val="003455A8"/>
    <w:rsid w:val="00345BBF"/>
    <w:rsid w:val="003460C1"/>
    <w:rsid w:val="0034679B"/>
    <w:rsid w:val="0034693B"/>
    <w:rsid w:val="00350385"/>
    <w:rsid w:val="003511E0"/>
    <w:rsid w:val="00351942"/>
    <w:rsid w:val="00351B47"/>
    <w:rsid w:val="00351E1C"/>
    <w:rsid w:val="00352163"/>
    <w:rsid w:val="0035222A"/>
    <w:rsid w:val="003523A8"/>
    <w:rsid w:val="00353B35"/>
    <w:rsid w:val="00354681"/>
    <w:rsid w:val="00354BDB"/>
    <w:rsid w:val="0036087F"/>
    <w:rsid w:val="0036122B"/>
    <w:rsid w:val="00362F85"/>
    <w:rsid w:val="003639B2"/>
    <w:rsid w:val="003651A2"/>
    <w:rsid w:val="003664DF"/>
    <w:rsid w:val="0036688E"/>
    <w:rsid w:val="00366B62"/>
    <w:rsid w:val="00366F28"/>
    <w:rsid w:val="0037005D"/>
    <w:rsid w:val="00370940"/>
    <w:rsid w:val="00370BB8"/>
    <w:rsid w:val="00371320"/>
    <w:rsid w:val="00371F70"/>
    <w:rsid w:val="00372B7F"/>
    <w:rsid w:val="00372CB7"/>
    <w:rsid w:val="0037368F"/>
    <w:rsid w:val="00373E6C"/>
    <w:rsid w:val="00375010"/>
    <w:rsid w:val="0037584E"/>
    <w:rsid w:val="00377215"/>
    <w:rsid w:val="00377868"/>
    <w:rsid w:val="00380691"/>
    <w:rsid w:val="00381736"/>
    <w:rsid w:val="0038236E"/>
    <w:rsid w:val="00383049"/>
    <w:rsid w:val="003835DC"/>
    <w:rsid w:val="00383CC6"/>
    <w:rsid w:val="00383D86"/>
    <w:rsid w:val="00386443"/>
    <w:rsid w:val="00386F1A"/>
    <w:rsid w:val="00390772"/>
    <w:rsid w:val="003907A0"/>
    <w:rsid w:val="00390D87"/>
    <w:rsid w:val="00391611"/>
    <w:rsid w:val="00392523"/>
    <w:rsid w:val="00392B75"/>
    <w:rsid w:val="00393072"/>
    <w:rsid w:val="0039465D"/>
    <w:rsid w:val="0039533C"/>
    <w:rsid w:val="003954D0"/>
    <w:rsid w:val="00396AC9"/>
    <w:rsid w:val="00396C58"/>
    <w:rsid w:val="00396D00"/>
    <w:rsid w:val="00397FF8"/>
    <w:rsid w:val="003A12B7"/>
    <w:rsid w:val="003A17EB"/>
    <w:rsid w:val="003A1B4E"/>
    <w:rsid w:val="003A1C5D"/>
    <w:rsid w:val="003A29CC"/>
    <w:rsid w:val="003A35C6"/>
    <w:rsid w:val="003A3669"/>
    <w:rsid w:val="003A3ECA"/>
    <w:rsid w:val="003A4AA2"/>
    <w:rsid w:val="003A5115"/>
    <w:rsid w:val="003A5B1D"/>
    <w:rsid w:val="003A65B6"/>
    <w:rsid w:val="003B0608"/>
    <w:rsid w:val="003B15E9"/>
    <w:rsid w:val="003B174D"/>
    <w:rsid w:val="003B1D4B"/>
    <w:rsid w:val="003B1EF6"/>
    <w:rsid w:val="003B2030"/>
    <w:rsid w:val="003B38CD"/>
    <w:rsid w:val="003B45F3"/>
    <w:rsid w:val="003B5481"/>
    <w:rsid w:val="003B5634"/>
    <w:rsid w:val="003B5BCC"/>
    <w:rsid w:val="003B5C96"/>
    <w:rsid w:val="003B5DB7"/>
    <w:rsid w:val="003B5E27"/>
    <w:rsid w:val="003B66A5"/>
    <w:rsid w:val="003B6772"/>
    <w:rsid w:val="003B6E65"/>
    <w:rsid w:val="003B7EA4"/>
    <w:rsid w:val="003C1785"/>
    <w:rsid w:val="003C1BD2"/>
    <w:rsid w:val="003C1F74"/>
    <w:rsid w:val="003C20A3"/>
    <w:rsid w:val="003C322D"/>
    <w:rsid w:val="003C3493"/>
    <w:rsid w:val="003C419F"/>
    <w:rsid w:val="003C427A"/>
    <w:rsid w:val="003C542B"/>
    <w:rsid w:val="003C626E"/>
    <w:rsid w:val="003C7360"/>
    <w:rsid w:val="003C7749"/>
    <w:rsid w:val="003C7B91"/>
    <w:rsid w:val="003C7CAC"/>
    <w:rsid w:val="003D0400"/>
    <w:rsid w:val="003D0A6F"/>
    <w:rsid w:val="003D0FC9"/>
    <w:rsid w:val="003D1FA4"/>
    <w:rsid w:val="003D2976"/>
    <w:rsid w:val="003D3786"/>
    <w:rsid w:val="003D37C0"/>
    <w:rsid w:val="003D3E59"/>
    <w:rsid w:val="003D469A"/>
    <w:rsid w:val="003D52FF"/>
    <w:rsid w:val="003D5BAA"/>
    <w:rsid w:val="003D76A6"/>
    <w:rsid w:val="003E0E5D"/>
    <w:rsid w:val="003E25E7"/>
    <w:rsid w:val="003E2AAC"/>
    <w:rsid w:val="003E336A"/>
    <w:rsid w:val="003E3644"/>
    <w:rsid w:val="003E3929"/>
    <w:rsid w:val="003E3AC8"/>
    <w:rsid w:val="003E44C4"/>
    <w:rsid w:val="003E45CB"/>
    <w:rsid w:val="003E4F75"/>
    <w:rsid w:val="003E635E"/>
    <w:rsid w:val="003E64B4"/>
    <w:rsid w:val="003E6C06"/>
    <w:rsid w:val="003E7222"/>
    <w:rsid w:val="003E723A"/>
    <w:rsid w:val="003F0545"/>
    <w:rsid w:val="003F0AED"/>
    <w:rsid w:val="003F0B50"/>
    <w:rsid w:val="003F1579"/>
    <w:rsid w:val="003F15D4"/>
    <w:rsid w:val="003F1826"/>
    <w:rsid w:val="003F18B6"/>
    <w:rsid w:val="003F21CB"/>
    <w:rsid w:val="003F24AB"/>
    <w:rsid w:val="003F3716"/>
    <w:rsid w:val="003F3A3F"/>
    <w:rsid w:val="003F4E9C"/>
    <w:rsid w:val="003F4FBA"/>
    <w:rsid w:val="003F5ADD"/>
    <w:rsid w:val="003F5BF4"/>
    <w:rsid w:val="003F68F0"/>
    <w:rsid w:val="003F729F"/>
    <w:rsid w:val="004002C3"/>
    <w:rsid w:val="0040147E"/>
    <w:rsid w:val="00401AE3"/>
    <w:rsid w:val="00402F8F"/>
    <w:rsid w:val="00403451"/>
    <w:rsid w:val="00403480"/>
    <w:rsid w:val="00403620"/>
    <w:rsid w:val="004037A1"/>
    <w:rsid w:val="00404278"/>
    <w:rsid w:val="0040484B"/>
    <w:rsid w:val="00405A5F"/>
    <w:rsid w:val="0041070D"/>
    <w:rsid w:val="00410933"/>
    <w:rsid w:val="004109A1"/>
    <w:rsid w:val="0041115F"/>
    <w:rsid w:val="00412A0E"/>
    <w:rsid w:val="00415A42"/>
    <w:rsid w:val="00415BBB"/>
    <w:rsid w:val="004162AB"/>
    <w:rsid w:val="004173BC"/>
    <w:rsid w:val="004200AD"/>
    <w:rsid w:val="00421054"/>
    <w:rsid w:val="00421257"/>
    <w:rsid w:val="00421693"/>
    <w:rsid w:val="00422343"/>
    <w:rsid w:val="00424509"/>
    <w:rsid w:val="00424A04"/>
    <w:rsid w:val="004257B2"/>
    <w:rsid w:val="00425A14"/>
    <w:rsid w:val="00425FD5"/>
    <w:rsid w:val="004269ED"/>
    <w:rsid w:val="00426AC4"/>
    <w:rsid w:val="00426B28"/>
    <w:rsid w:val="00432D27"/>
    <w:rsid w:val="00434103"/>
    <w:rsid w:val="00435CF6"/>
    <w:rsid w:val="004365B6"/>
    <w:rsid w:val="00437010"/>
    <w:rsid w:val="0043789A"/>
    <w:rsid w:val="00437BD8"/>
    <w:rsid w:val="00437CD3"/>
    <w:rsid w:val="00437F0C"/>
    <w:rsid w:val="004414B4"/>
    <w:rsid w:val="00442368"/>
    <w:rsid w:val="00442E72"/>
    <w:rsid w:val="00445A5E"/>
    <w:rsid w:val="00445E10"/>
    <w:rsid w:val="00446B47"/>
    <w:rsid w:val="004476DE"/>
    <w:rsid w:val="00447D82"/>
    <w:rsid w:val="00447DA5"/>
    <w:rsid w:val="00447F36"/>
    <w:rsid w:val="0045015F"/>
    <w:rsid w:val="00450224"/>
    <w:rsid w:val="00450B0E"/>
    <w:rsid w:val="00451416"/>
    <w:rsid w:val="0045142D"/>
    <w:rsid w:val="004514F1"/>
    <w:rsid w:val="0045252D"/>
    <w:rsid w:val="00453732"/>
    <w:rsid w:val="00454B49"/>
    <w:rsid w:val="00455329"/>
    <w:rsid w:val="004557CD"/>
    <w:rsid w:val="00456289"/>
    <w:rsid w:val="00456976"/>
    <w:rsid w:val="00460109"/>
    <w:rsid w:val="00460D2A"/>
    <w:rsid w:val="00461530"/>
    <w:rsid w:val="0046231F"/>
    <w:rsid w:val="00463A37"/>
    <w:rsid w:val="00463AB3"/>
    <w:rsid w:val="00464436"/>
    <w:rsid w:val="0046534D"/>
    <w:rsid w:val="004658B3"/>
    <w:rsid w:val="00465A74"/>
    <w:rsid w:val="00465D5C"/>
    <w:rsid w:val="00465F34"/>
    <w:rsid w:val="00466B2E"/>
    <w:rsid w:val="00466E5B"/>
    <w:rsid w:val="00467EE2"/>
    <w:rsid w:val="00470B8E"/>
    <w:rsid w:val="00471672"/>
    <w:rsid w:val="00472308"/>
    <w:rsid w:val="00472C74"/>
    <w:rsid w:val="0047321E"/>
    <w:rsid w:val="00474052"/>
    <w:rsid w:val="00474A12"/>
    <w:rsid w:val="00474F92"/>
    <w:rsid w:val="00475380"/>
    <w:rsid w:val="004758AB"/>
    <w:rsid w:val="00475E50"/>
    <w:rsid w:val="00476D5B"/>
    <w:rsid w:val="004800D9"/>
    <w:rsid w:val="0048044F"/>
    <w:rsid w:val="00481967"/>
    <w:rsid w:val="00481BD3"/>
    <w:rsid w:val="00483A08"/>
    <w:rsid w:val="00484DA1"/>
    <w:rsid w:val="00486349"/>
    <w:rsid w:val="00487D13"/>
    <w:rsid w:val="00487E50"/>
    <w:rsid w:val="00487FE7"/>
    <w:rsid w:val="00490F73"/>
    <w:rsid w:val="0049107D"/>
    <w:rsid w:val="00491B9E"/>
    <w:rsid w:val="0049233D"/>
    <w:rsid w:val="00492BD9"/>
    <w:rsid w:val="0049370F"/>
    <w:rsid w:val="00493FDD"/>
    <w:rsid w:val="00494666"/>
    <w:rsid w:val="00494C5F"/>
    <w:rsid w:val="00496159"/>
    <w:rsid w:val="00496A9F"/>
    <w:rsid w:val="00496B4D"/>
    <w:rsid w:val="004971B9"/>
    <w:rsid w:val="0049739D"/>
    <w:rsid w:val="004A0D0E"/>
    <w:rsid w:val="004A1F79"/>
    <w:rsid w:val="004A2079"/>
    <w:rsid w:val="004A4197"/>
    <w:rsid w:val="004A4A1D"/>
    <w:rsid w:val="004A4AA1"/>
    <w:rsid w:val="004A5140"/>
    <w:rsid w:val="004A54AC"/>
    <w:rsid w:val="004A55B4"/>
    <w:rsid w:val="004B07E6"/>
    <w:rsid w:val="004B23C3"/>
    <w:rsid w:val="004B2C3C"/>
    <w:rsid w:val="004B2F06"/>
    <w:rsid w:val="004B37A5"/>
    <w:rsid w:val="004B4C3C"/>
    <w:rsid w:val="004B4E3F"/>
    <w:rsid w:val="004B5058"/>
    <w:rsid w:val="004B50D0"/>
    <w:rsid w:val="004B594D"/>
    <w:rsid w:val="004B6425"/>
    <w:rsid w:val="004B6688"/>
    <w:rsid w:val="004B683F"/>
    <w:rsid w:val="004B7974"/>
    <w:rsid w:val="004C003C"/>
    <w:rsid w:val="004C02ED"/>
    <w:rsid w:val="004C0B64"/>
    <w:rsid w:val="004C15A2"/>
    <w:rsid w:val="004C15BC"/>
    <w:rsid w:val="004C1FFF"/>
    <w:rsid w:val="004C2314"/>
    <w:rsid w:val="004C3EC7"/>
    <w:rsid w:val="004C414F"/>
    <w:rsid w:val="004C44B4"/>
    <w:rsid w:val="004C4976"/>
    <w:rsid w:val="004C5844"/>
    <w:rsid w:val="004C6737"/>
    <w:rsid w:val="004C6DD5"/>
    <w:rsid w:val="004D0716"/>
    <w:rsid w:val="004D098B"/>
    <w:rsid w:val="004D0B8D"/>
    <w:rsid w:val="004D1390"/>
    <w:rsid w:val="004D33E8"/>
    <w:rsid w:val="004D3C4F"/>
    <w:rsid w:val="004D4542"/>
    <w:rsid w:val="004D4A24"/>
    <w:rsid w:val="004D52A1"/>
    <w:rsid w:val="004D65B3"/>
    <w:rsid w:val="004D6690"/>
    <w:rsid w:val="004E0881"/>
    <w:rsid w:val="004E2031"/>
    <w:rsid w:val="004E250A"/>
    <w:rsid w:val="004E2DDF"/>
    <w:rsid w:val="004E3F04"/>
    <w:rsid w:val="004E40ED"/>
    <w:rsid w:val="004E4231"/>
    <w:rsid w:val="004E477E"/>
    <w:rsid w:val="004E538D"/>
    <w:rsid w:val="004E6F1C"/>
    <w:rsid w:val="004E773D"/>
    <w:rsid w:val="004F0016"/>
    <w:rsid w:val="004F0C0A"/>
    <w:rsid w:val="004F1E97"/>
    <w:rsid w:val="004F219B"/>
    <w:rsid w:val="004F246A"/>
    <w:rsid w:val="004F3134"/>
    <w:rsid w:val="004F4087"/>
    <w:rsid w:val="004F4216"/>
    <w:rsid w:val="004F4B14"/>
    <w:rsid w:val="004F605A"/>
    <w:rsid w:val="004F64E4"/>
    <w:rsid w:val="004F6BA8"/>
    <w:rsid w:val="004F7126"/>
    <w:rsid w:val="00501032"/>
    <w:rsid w:val="0050123E"/>
    <w:rsid w:val="00501276"/>
    <w:rsid w:val="005014AB"/>
    <w:rsid w:val="0050205C"/>
    <w:rsid w:val="0050245A"/>
    <w:rsid w:val="0050257D"/>
    <w:rsid w:val="005032D9"/>
    <w:rsid w:val="00503956"/>
    <w:rsid w:val="005048CB"/>
    <w:rsid w:val="005059C0"/>
    <w:rsid w:val="005071B4"/>
    <w:rsid w:val="0050783F"/>
    <w:rsid w:val="00511073"/>
    <w:rsid w:val="00511B28"/>
    <w:rsid w:val="005140C4"/>
    <w:rsid w:val="00514683"/>
    <w:rsid w:val="005152A9"/>
    <w:rsid w:val="005157A3"/>
    <w:rsid w:val="00516FC9"/>
    <w:rsid w:val="005173A9"/>
    <w:rsid w:val="00517AB0"/>
    <w:rsid w:val="00517C6E"/>
    <w:rsid w:val="00522244"/>
    <w:rsid w:val="00522C78"/>
    <w:rsid w:val="00523446"/>
    <w:rsid w:val="005239F6"/>
    <w:rsid w:val="005242CA"/>
    <w:rsid w:val="005249F7"/>
    <w:rsid w:val="00525252"/>
    <w:rsid w:val="0052572A"/>
    <w:rsid w:val="00525FB2"/>
    <w:rsid w:val="00527779"/>
    <w:rsid w:val="00527CB8"/>
    <w:rsid w:val="00530539"/>
    <w:rsid w:val="005313DA"/>
    <w:rsid w:val="005313FA"/>
    <w:rsid w:val="0053147E"/>
    <w:rsid w:val="005321ED"/>
    <w:rsid w:val="005322CF"/>
    <w:rsid w:val="0053320F"/>
    <w:rsid w:val="00533250"/>
    <w:rsid w:val="0053416D"/>
    <w:rsid w:val="0053534A"/>
    <w:rsid w:val="005368E7"/>
    <w:rsid w:val="00537094"/>
    <w:rsid w:val="00537103"/>
    <w:rsid w:val="0054085B"/>
    <w:rsid w:val="005415CF"/>
    <w:rsid w:val="00541AE6"/>
    <w:rsid w:val="00541CFF"/>
    <w:rsid w:val="00541E3E"/>
    <w:rsid w:val="00541EEA"/>
    <w:rsid w:val="00542456"/>
    <w:rsid w:val="00542C9C"/>
    <w:rsid w:val="00542E5E"/>
    <w:rsid w:val="00544A38"/>
    <w:rsid w:val="005456CE"/>
    <w:rsid w:val="00545761"/>
    <w:rsid w:val="005469F5"/>
    <w:rsid w:val="00547D4B"/>
    <w:rsid w:val="00550579"/>
    <w:rsid w:val="00550992"/>
    <w:rsid w:val="005515B4"/>
    <w:rsid w:val="00551BDD"/>
    <w:rsid w:val="00552909"/>
    <w:rsid w:val="005536F3"/>
    <w:rsid w:val="00553D75"/>
    <w:rsid w:val="0055473D"/>
    <w:rsid w:val="00554F2B"/>
    <w:rsid w:val="0055599E"/>
    <w:rsid w:val="005569CA"/>
    <w:rsid w:val="005572C8"/>
    <w:rsid w:val="0055760C"/>
    <w:rsid w:val="005576DE"/>
    <w:rsid w:val="00563EE2"/>
    <w:rsid w:val="005641A7"/>
    <w:rsid w:val="00565249"/>
    <w:rsid w:val="005654E1"/>
    <w:rsid w:val="0056605F"/>
    <w:rsid w:val="005674F8"/>
    <w:rsid w:val="005713A1"/>
    <w:rsid w:val="005718AF"/>
    <w:rsid w:val="00571ADC"/>
    <w:rsid w:val="00572789"/>
    <w:rsid w:val="00572F61"/>
    <w:rsid w:val="00572FF9"/>
    <w:rsid w:val="00575EA8"/>
    <w:rsid w:val="0057644D"/>
    <w:rsid w:val="00577A0F"/>
    <w:rsid w:val="00580020"/>
    <w:rsid w:val="005811A5"/>
    <w:rsid w:val="00582572"/>
    <w:rsid w:val="00582B75"/>
    <w:rsid w:val="005838C6"/>
    <w:rsid w:val="0058438F"/>
    <w:rsid w:val="00584A9D"/>
    <w:rsid w:val="005854B1"/>
    <w:rsid w:val="00585B18"/>
    <w:rsid w:val="00585C0C"/>
    <w:rsid w:val="005871B1"/>
    <w:rsid w:val="0059026A"/>
    <w:rsid w:val="005921F1"/>
    <w:rsid w:val="005923EC"/>
    <w:rsid w:val="00592F74"/>
    <w:rsid w:val="00593830"/>
    <w:rsid w:val="00593838"/>
    <w:rsid w:val="00593A29"/>
    <w:rsid w:val="00593C7F"/>
    <w:rsid w:val="005942C1"/>
    <w:rsid w:val="00594A7D"/>
    <w:rsid w:val="005953CC"/>
    <w:rsid w:val="00595EE1"/>
    <w:rsid w:val="00596383"/>
    <w:rsid w:val="00596581"/>
    <w:rsid w:val="0059684E"/>
    <w:rsid w:val="005976EA"/>
    <w:rsid w:val="00597BB7"/>
    <w:rsid w:val="00597F1F"/>
    <w:rsid w:val="005A0D63"/>
    <w:rsid w:val="005A20AC"/>
    <w:rsid w:val="005A2203"/>
    <w:rsid w:val="005A2600"/>
    <w:rsid w:val="005A34A6"/>
    <w:rsid w:val="005A34B5"/>
    <w:rsid w:val="005A3718"/>
    <w:rsid w:val="005A48CC"/>
    <w:rsid w:val="005A4D08"/>
    <w:rsid w:val="005A5375"/>
    <w:rsid w:val="005A586E"/>
    <w:rsid w:val="005A6B33"/>
    <w:rsid w:val="005A6D9E"/>
    <w:rsid w:val="005A6DD2"/>
    <w:rsid w:val="005A72E5"/>
    <w:rsid w:val="005A7D4A"/>
    <w:rsid w:val="005B1444"/>
    <w:rsid w:val="005B1F09"/>
    <w:rsid w:val="005B3229"/>
    <w:rsid w:val="005B50FA"/>
    <w:rsid w:val="005B5638"/>
    <w:rsid w:val="005B58B7"/>
    <w:rsid w:val="005B5CB9"/>
    <w:rsid w:val="005B5E69"/>
    <w:rsid w:val="005C01FB"/>
    <w:rsid w:val="005C0968"/>
    <w:rsid w:val="005C1117"/>
    <w:rsid w:val="005C2C90"/>
    <w:rsid w:val="005C4937"/>
    <w:rsid w:val="005C49F8"/>
    <w:rsid w:val="005C616F"/>
    <w:rsid w:val="005C646B"/>
    <w:rsid w:val="005D0279"/>
    <w:rsid w:val="005D2FF0"/>
    <w:rsid w:val="005D3BA8"/>
    <w:rsid w:val="005D4052"/>
    <w:rsid w:val="005D4EE3"/>
    <w:rsid w:val="005D4F3F"/>
    <w:rsid w:val="005D5E9F"/>
    <w:rsid w:val="005D6F91"/>
    <w:rsid w:val="005D7365"/>
    <w:rsid w:val="005D7573"/>
    <w:rsid w:val="005D7BD7"/>
    <w:rsid w:val="005E108F"/>
    <w:rsid w:val="005E169B"/>
    <w:rsid w:val="005E29AB"/>
    <w:rsid w:val="005E32C0"/>
    <w:rsid w:val="005E3456"/>
    <w:rsid w:val="005E384A"/>
    <w:rsid w:val="005E3DC9"/>
    <w:rsid w:val="005E4B27"/>
    <w:rsid w:val="005E5487"/>
    <w:rsid w:val="005E560F"/>
    <w:rsid w:val="005E5C16"/>
    <w:rsid w:val="005E6713"/>
    <w:rsid w:val="005E69FD"/>
    <w:rsid w:val="005E7134"/>
    <w:rsid w:val="005E72F4"/>
    <w:rsid w:val="005E7596"/>
    <w:rsid w:val="005E7E7E"/>
    <w:rsid w:val="005F089B"/>
    <w:rsid w:val="005F0BAC"/>
    <w:rsid w:val="005F0E0B"/>
    <w:rsid w:val="005F0E73"/>
    <w:rsid w:val="005F1421"/>
    <w:rsid w:val="005F1480"/>
    <w:rsid w:val="005F2A66"/>
    <w:rsid w:val="005F2D19"/>
    <w:rsid w:val="005F2E4F"/>
    <w:rsid w:val="005F4B2E"/>
    <w:rsid w:val="005F4BDF"/>
    <w:rsid w:val="005F5511"/>
    <w:rsid w:val="005F6068"/>
    <w:rsid w:val="005F6203"/>
    <w:rsid w:val="005F6908"/>
    <w:rsid w:val="00600A6E"/>
    <w:rsid w:val="00600BA6"/>
    <w:rsid w:val="00601004"/>
    <w:rsid w:val="00601E3B"/>
    <w:rsid w:val="00601FB6"/>
    <w:rsid w:val="0060219E"/>
    <w:rsid w:val="00602DA1"/>
    <w:rsid w:val="00603753"/>
    <w:rsid w:val="006045CA"/>
    <w:rsid w:val="00605B0B"/>
    <w:rsid w:val="00605CB5"/>
    <w:rsid w:val="00605F99"/>
    <w:rsid w:val="0060677D"/>
    <w:rsid w:val="00607097"/>
    <w:rsid w:val="00607CE2"/>
    <w:rsid w:val="00607D45"/>
    <w:rsid w:val="00610218"/>
    <w:rsid w:val="00610333"/>
    <w:rsid w:val="00610D0E"/>
    <w:rsid w:val="006115F1"/>
    <w:rsid w:val="00611A02"/>
    <w:rsid w:val="0061452B"/>
    <w:rsid w:val="00614724"/>
    <w:rsid w:val="006156C4"/>
    <w:rsid w:val="00615B8E"/>
    <w:rsid w:val="00616396"/>
    <w:rsid w:val="00616A0F"/>
    <w:rsid w:val="006176F4"/>
    <w:rsid w:val="0062050C"/>
    <w:rsid w:val="00620594"/>
    <w:rsid w:val="00621185"/>
    <w:rsid w:val="00621779"/>
    <w:rsid w:val="006224FD"/>
    <w:rsid w:val="00622B33"/>
    <w:rsid w:val="006238E5"/>
    <w:rsid w:val="00625505"/>
    <w:rsid w:val="006256CC"/>
    <w:rsid w:val="00625C72"/>
    <w:rsid w:val="00626050"/>
    <w:rsid w:val="00626177"/>
    <w:rsid w:val="00626D9A"/>
    <w:rsid w:val="0062794F"/>
    <w:rsid w:val="00627AF3"/>
    <w:rsid w:val="006316DC"/>
    <w:rsid w:val="00631E98"/>
    <w:rsid w:val="00632301"/>
    <w:rsid w:val="006325FC"/>
    <w:rsid w:val="00633082"/>
    <w:rsid w:val="00634036"/>
    <w:rsid w:val="00634233"/>
    <w:rsid w:val="0063430F"/>
    <w:rsid w:val="006348E2"/>
    <w:rsid w:val="00634962"/>
    <w:rsid w:val="00634D28"/>
    <w:rsid w:val="00635499"/>
    <w:rsid w:val="006354F4"/>
    <w:rsid w:val="00635A8D"/>
    <w:rsid w:val="00637852"/>
    <w:rsid w:val="00641B58"/>
    <w:rsid w:val="00641FD8"/>
    <w:rsid w:val="00642786"/>
    <w:rsid w:val="00642935"/>
    <w:rsid w:val="00642B46"/>
    <w:rsid w:val="00642B9B"/>
    <w:rsid w:val="00644A72"/>
    <w:rsid w:val="006451AD"/>
    <w:rsid w:val="00645F0A"/>
    <w:rsid w:val="006463DB"/>
    <w:rsid w:val="00646E42"/>
    <w:rsid w:val="00650195"/>
    <w:rsid w:val="00650957"/>
    <w:rsid w:val="00650C73"/>
    <w:rsid w:val="0065128A"/>
    <w:rsid w:val="00651F80"/>
    <w:rsid w:val="00652CEF"/>
    <w:rsid w:val="0065390A"/>
    <w:rsid w:val="00653A52"/>
    <w:rsid w:val="00654D99"/>
    <w:rsid w:val="00655A0F"/>
    <w:rsid w:val="00656834"/>
    <w:rsid w:val="00656D39"/>
    <w:rsid w:val="00657F78"/>
    <w:rsid w:val="00661262"/>
    <w:rsid w:val="00661A54"/>
    <w:rsid w:val="00662900"/>
    <w:rsid w:val="00662CE5"/>
    <w:rsid w:val="00663B6E"/>
    <w:rsid w:val="0066461C"/>
    <w:rsid w:val="00664782"/>
    <w:rsid w:val="006650ED"/>
    <w:rsid w:val="006659AA"/>
    <w:rsid w:val="00665BD2"/>
    <w:rsid w:val="00666F3D"/>
    <w:rsid w:val="00666F64"/>
    <w:rsid w:val="0066713B"/>
    <w:rsid w:val="00667362"/>
    <w:rsid w:val="0066750C"/>
    <w:rsid w:val="00667CC5"/>
    <w:rsid w:val="00670012"/>
    <w:rsid w:val="006703A0"/>
    <w:rsid w:val="006719C9"/>
    <w:rsid w:val="00672152"/>
    <w:rsid w:val="0067336E"/>
    <w:rsid w:val="00673396"/>
    <w:rsid w:val="00673B43"/>
    <w:rsid w:val="00673BC0"/>
    <w:rsid w:val="00673F4C"/>
    <w:rsid w:val="00674347"/>
    <w:rsid w:val="00674547"/>
    <w:rsid w:val="00674B88"/>
    <w:rsid w:val="006751B7"/>
    <w:rsid w:val="00675279"/>
    <w:rsid w:val="0067589C"/>
    <w:rsid w:val="00675C04"/>
    <w:rsid w:val="006766B6"/>
    <w:rsid w:val="00677A6A"/>
    <w:rsid w:val="00680C27"/>
    <w:rsid w:val="00681F47"/>
    <w:rsid w:val="0068277B"/>
    <w:rsid w:val="00682D3F"/>
    <w:rsid w:val="00684145"/>
    <w:rsid w:val="0068425A"/>
    <w:rsid w:val="00684EB3"/>
    <w:rsid w:val="00685908"/>
    <w:rsid w:val="00685B64"/>
    <w:rsid w:val="00685E1B"/>
    <w:rsid w:val="00686F2E"/>
    <w:rsid w:val="00687351"/>
    <w:rsid w:val="00690B8B"/>
    <w:rsid w:val="00691267"/>
    <w:rsid w:val="006923AD"/>
    <w:rsid w:val="006924B8"/>
    <w:rsid w:val="00692701"/>
    <w:rsid w:val="00693890"/>
    <w:rsid w:val="00694383"/>
    <w:rsid w:val="0069473B"/>
    <w:rsid w:val="0069563D"/>
    <w:rsid w:val="006961B5"/>
    <w:rsid w:val="006963B9"/>
    <w:rsid w:val="00696B30"/>
    <w:rsid w:val="00696B56"/>
    <w:rsid w:val="00696D94"/>
    <w:rsid w:val="00696F04"/>
    <w:rsid w:val="00697C88"/>
    <w:rsid w:val="006A0E96"/>
    <w:rsid w:val="006A1DAF"/>
    <w:rsid w:val="006A3109"/>
    <w:rsid w:val="006A4CBF"/>
    <w:rsid w:val="006A565E"/>
    <w:rsid w:val="006A601E"/>
    <w:rsid w:val="006A7D41"/>
    <w:rsid w:val="006B1C68"/>
    <w:rsid w:val="006B2DB6"/>
    <w:rsid w:val="006B3147"/>
    <w:rsid w:val="006B35BC"/>
    <w:rsid w:val="006B38F0"/>
    <w:rsid w:val="006B3AE4"/>
    <w:rsid w:val="006B3CFD"/>
    <w:rsid w:val="006B5A4E"/>
    <w:rsid w:val="006B5D43"/>
    <w:rsid w:val="006B61D3"/>
    <w:rsid w:val="006B637A"/>
    <w:rsid w:val="006B72A0"/>
    <w:rsid w:val="006B796D"/>
    <w:rsid w:val="006B7E2C"/>
    <w:rsid w:val="006C04FB"/>
    <w:rsid w:val="006C0F53"/>
    <w:rsid w:val="006C23D7"/>
    <w:rsid w:val="006C2D5E"/>
    <w:rsid w:val="006C368F"/>
    <w:rsid w:val="006C384D"/>
    <w:rsid w:val="006C57E2"/>
    <w:rsid w:val="006C5A35"/>
    <w:rsid w:val="006C5D83"/>
    <w:rsid w:val="006C5F0A"/>
    <w:rsid w:val="006C6003"/>
    <w:rsid w:val="006C6930"/>
    <w:rsid w:val="006C6C6A"/>
    <w:rsid w:val="006C76CC"/>
    <w:rsid w:val="006D062A"/>
    <w:rsid w:val="006D131E"/>
    <w:rsid w:val="006D139A"/>
    <w:rsid w:val="006D160E"/>
    <w:rsid w:val="006D16C1"/>
    <w:rsid w:val="006D1A90"/>
    <w:rsid w:val="006D22FB"/>
    <w:rsid w:val="006D2AAD"/>
    <w:rsid w:val="006D3DFB"/>
    <w:rsid w:val="006D5131"/>
    <w:rsid w:val="006D5286"/>
    <w:rsid w:val="006D583A"/>
    <w:rsid w:val="006D5C78"/>
    <w:rsid w:val="006D63C8"/>
    <w:rsid w:val="006D6FA5"/>
    <w:rsid w:val="006D74BB"/>
    <w:rsid w:val="006D7714"/>
    <w:rsid w:val="006D7DF6"/>
    <w:rsid w:val="006E06B5"/>
    <w:rsid w:val="006E12C1"/>
    <w:rsid w:val="006E20A2"/>
    <w:rsid w:val="006E2A80"/>
    <w:rsid w:val="006E367E"/>
    <w:rsid w:val="006E58A5"/>
    <w:rsid w:val="006E7026"/>
    <w:rsid w:val="006E7258"/>
    <w:rsid w:val="006F18B8"/>
    <w:rsid w:val="006F1CEB"/>
    <w:rsid w:val="006F1D53"/>
    <w:rsid w:val="006F294A"/>
    <w:rsid w:val="006F31CF"/>
    <w:rsid w:val="006F4B0E"/>
    <w:rsid w:val="006F4E08"/>
    <w:rsid w:val="006F5DBC"/>
    <w:rsid w:val="006F6DF4"/>
    <w:rsid w:val="007002F6"/>
    <w:rsid w:val="007011C9"/>
    <w:rsid w:val="007017DC"/>
    <w:rsid w:val="007021BE"/>
    <w:rsid w:val="007029FD"/>
    <w:rsid w:val="00703071"/>
    <w:rsid w:val="007035B0"/>
    <w:rsid w:val="00703901"/>
    <w:rsid w:val="00704415"/>
    <w:rsid w:val="00704CE6"/>
    <w:rsid w:val="007059C7"/>
    <w:rsid w:val="00705C34"/>
    <w:rsid w:val="00705D0A"/>
    <w:rsid w:val="007060AC"/>
    <w:rsid w:val="007071E3"/>
    <w:rsid w:val="00707CE1"/>
    <w:rsid w:val="00710514"/>
    <w:rsid w:val="007107F7"/>
    <w:rsid w:val="00710C04"/>
    <w:rsid w:val="00710DBF"/>
    <w:rsid w:val="00711258"/>
    <w:rsid w:val="00711624"/>
    <w:rsid w:val="0071188B"/>
    <w:rsid w:val="00712A73"/>
    <w:rsid w:val="00714461"/>
    <w:rsid w:val="00714653"/>
    <w:rsid w:val="00714708"/>
    <w:rsid w:val="00714FFB"/>
    <w:rsid w:val="0071581A"/>
    <w:rsid w:val="00716CEA"/>
    <w:rsid w:val="00717BAD"/>
    <w:rsid w:val="00717F43"/>
    <w:rsid w:val="00720A4B"/>
    <w:rsid w:val="00721755"/>
    <w:rsid w:val="00721AC0"/>
    <w:rsid w:val="00722C55"/>
    <w:rsid w:val="00722F9D"/>
    <w:rsid w:val="00723464"/>
    <w:rsid w:val="00723A97"/>
    <w:rsid w:val="007241FF"/>
    <w:rsid w:val="0072564B"/>
    <w:rsid w:val="00725665"/>
    <w:rsid w:val="00725A0F"/>
    <w:rsid w:val="007265B5"/>
    <w:rsid w:val="00727758"/>
    <w:rsid w:val="007306CE"/>
    <w:rsid w:val="00730AD8"/>
    <w:rsid w:val="00731215"/>
    <w:rsid w:val="007319CF"/>
    <w:rsid w:val="00731F38"/>
    <w:rsid w:val="007328DC"/>
    <w:rsid w:val="00732EB4"/>
    <w:rsid w:val="00733405"/>
    <w:rsid w:val="00733D18"/>
    <w:rsid w:val="007344BA"/>
    <w:rsid w:val="00735667"/>
    <w:rsid w:val="00735F55"/>
    <w:rsid w:val="007366FF"/>
    <w:rsid w:val="00737686"/>
    <w:rsid w:val="00737A4F"/>
    <w:rsid w:val="007401FF"/>
    <w:rsid w:val="007402F5"/>
    <w:rsid w:val="0074061A"/>
    <w:rsid w:val="00740A36"/>
    <w:rsid w:val="00741E2A"/>
    <w:rsid w:val="00742C47"/>
    <w:rsid w:val="00743146"/>
    <w:rsid w:val="007434AE"/>
    <w:rsid w:val="00744325"/>
    <w:rsid w:val="007449D3"/>
    <w:rsid w:val="007469F3"/>
    <w:rsid w:val="00746CD9"/>
    <w:rsid w:val="00747508"/>
    <w:rsid w:val="00750234"/>
    <w:rsid w:val="00750F83"/>
    <w:rsid w:val="00751C35"/>
    <w:rsid w:val="00751E0D"/>
    <w:rsid w:val="00752220"/>
    <w:rsid w:val="0075414F"/>
    <w:rsid w:val="00755391"/>
    <w:rsid w:val="007564CC"/>
    <w:rsid w:val="00756D08"/>
    <w:rsid w:val="007573E6"/>
    <w:rsid w:val="007575F8"/>
    <w:rsid w:val="007603EB"/>
    <w:rsid w:val="00761439"/>
    <w:rsid w:val="00761BA9"/>
    <w:rsid w:val="00761FC8"/>
    <w:rsid w:val="007628DB"/>
    <w:rsid w:val="00762910"/>
    <w:rsid w:val="00762928"/>
    <w:rsid w:val="00763237"/>
    <w:rsid w:val="00763937"/>
    <w:rsid w:val="00763981"/>
    <w:rsid w:val="007639DF"/>
    <w:rsid w:val="00763A36"/>
    <w:rsid w:val="00763CB0"/>
    <w:rsid w:val="00764FBE"/>
    <w:rsid w:val="00764FCC"/>
    <w:rsid w:val="00767234"/>
    <w:rsid w:val="00767F95"/>
    <w:rsid w:val="00770768"/>
    <w:rsid w:val="00771641"/>
    <w:rsid w:val="007716D4"/>
    <w:rsid w:val="0077170A"/>
    <w:rsid w:val="00771DBB"/>
    <w:rsid w:val="0077216E"/>
    <w:rsid w:val="007726FD"/>
    <w:rsid w:val="00772A26"/>
    <w:rsid w:val="00772C50"/>
    <w:rsid w:val="00772E14"/>
    <w:rsid w:val="00772EB8"/>
    <w:rsid w:val="00773360"/>
    <w:rsid w:val="00773F5F"/>
    <w:rsid w:val="00774390"/>
    <w:rsid w:val="00774458"/>
    <w:rsid w:val="007749CA"/>
    <w:rsid w:val="00776B90"/>
    <w:rsid w:val="00777385"/>
    <w:rsid w:val="00777D87"/>
    <w:rsid w:val="007823D4"/>
    <w:rsid w:val="0078308B"/>
    <w:rsid w:val="007836B3"/>
    <w:rsid w:val="0078379A"/>
    <w:rsid w:val="00783F73"/>
    <w:rsid w:val="007842F1"/>
    <w:rsid w:val="00785028"/>
    <w:rsid w:val="00786FBA"/>
    <w:rsid w:val="0078753B"/>
    <w:rsid w:val="0079006D"/>
    <w:rsid w:val="00790931"/>
    <w:rsid w:val="00791641"/>
    <w:rsid w:val="007919D4"/>
    <w:rsid w:val="007929D1"/>
    <w:rsid w:val="00794C78"/>
    <w:rsid w:val="00794E20"/>
    <w:rsid w:val="007952E6"/>
    <w:rsid w:val="0079532E"/>
    <w:rsid w:val="00795457"/>
    <w:rsid w:val="00796D91"/>
    <w:rsid w:val="007A0590"/>
    <w:rsid w:val="007A05C0"/>
    <w:rsid w:val="007A07A9"/>
    <w:rsid w:val="007A10A1"/>
    <w:rsid w:val="007A2804"/>
    <w:rsid w:val="007A4EC6"/>
    <w:rsid w:val="007A5904"/>
    <w:rsid w:val="007A5C80"/>
    <w:rsid w:val="007A72AB"/>
    <w:rsid w:val="007B0577"/>
    <w:rsid w:val="007B0F66"/>
    <w:rsid w:val="007B1827"/>
    <w:rsid w:val="007B3781"/>
    <w:rsid w:val="007B3A23"/>
    <w:rsid w:val="007B4BEB"/>
    <w:rsid w:val="007B691C"/>
    <w:rsid w:val="007B742F"/>
    <w:rsid w:val="007B7AB9"/>
    <w:rsid w:val="007C028D"/>
    <w:rsid w:val="007C0F9B"/>
    <w:rsid w:val="007C0FC1"/>
    <w:rsid w:val="007C1084"/>
    <w:rsid w:val="007C156E"/>
    <w:rsid w:val="007C1AB4"/>
    <w:rsid w:val="007C1F64"/>
    <w:rsid w:val="007C1FC3"/>
    <w:rsid w:val="007C26F9"/>
    <w:rsid w:val="007C27E4"/>
    <w:rsid w:val="007C2EE8"/>
    <w:rsid w:val="007C2EF0"/>
    <w:rsid w:val="007C3785"/>
    <w:rsid w:val="007C38DE"/>
    <w:rsid w:val="007C3A80"/>
    <w:rsid w:val="007C4661"/>
    <w:rsid w:val="007C4B3E"/>
    <w:rsid w:val="007C531A"/>
    <w:rsid w:val="007C55E9"/>
    <w:rsid w:val="007C60AB"/>
    <w:rsid w:val="007C70EE"/>
    <w:rsid w:val="007C7628"/>
    <w:rsid w:val="007C7E08"/>
    <w:rsid w:val="007D1467"/>
    <w:rsid w:val="007D229B"/>
    <w:rsid w:val="007D28C9"/>
    <w:rsid w:val="007D2978"/>
    <w:rsid w:val="007D2A2B"/>
    <w:rsid w:val="007D6BBE"/>
    <w:rsid w:val="007E0169"/>
    <w:rsid w:val="007E022C"/>
    <w:rsid w:val="007E16BE"/>
    <w:rsid w:val="007E2716"/>
    <w:rsid w:val="007E2ABF"/>
    <w:rsid w:val="007E2DEC"/>
    <w:rsid w:val="007E2EE0"/>
    <w:rsid w:val="007E30E9"/>
    <w:rsid w:val="007E34CF"/>
    <w:rsid w:val="007E36E1"/>
    <w:rsid w:val="007E3BE3"/>
    <w:rsid w:val="007E3D5F"/>
    <w:rsid w:val="007E3DE0"/>
    <w:rsid w:val="007E66BB"/>
    <w:rsid w:val="007E6BE0"/>
    <w:rsid w:val="007F1565"/>
    <w:rsid w:val="007F268F"/>
    <w:rsid w:val="007F26AB"/>
    <w:rsid w:val="007F3582"/>
    <w:rsid w:val="007F383C"/>
    <w:rsid w:val="007F3A96"/>
    <w:rsid w:val="007F4007"/>
    <w:rsid w:val="007F445E"/>
    <w:rsid w:val="007F45B7"/>
    <w:rsid w:val="007F48C4"/>
    <w:rsid w:val="007F4D35"/>
    <w:rsid w:val="007F5440"/>
    <w:rsid w:val="007F7381"/>
    <w:rsid w:val="007F740E"/>
    <w:rsid w:val="007F7D88"/>
    <w:rsid w:val="00800996"/>
    <w:rsid w:val="00801850"/>
    <w:rsid w:val="00801CBE"/>
    <w:rsid w:val="00801EF6"/>
    <w:rsid w:val="008034B5"/>
    <w:rsid w:val="00803513"/>
    <w:rsid w:val="00803C5F"/>
    <w:rsid w:val="0080432E"/>
    <w:rsid w:val="00804634"/>
    <w:rsid w:val="00804A05"/>
    <w:rsid w:val="00805927"/>
    <w:rsid w:val="00806AB1"/>
    <w:rsid w:val="00806E39"/>
    <w:rsid w:val="0080785E"/>
    <w:rsid w:val="00807A17"/>
    <w:rsid w:val="0081012D"/>
    <w:rsid w:val="008102C0"/>
    <w:rsid w:val="008105FD"/>
    <w:rsid w:val="00811C7D"/>
    <w:rsid w:val="00812112"/>
    <w:rsid w:val="00812AFF"/>
    <w:rsid w:val="00812B0F"/>
    <w:rsid w:val="00812D0D"/>
    <w:rsid w:val="008131A6"/>
    <w:rsid w:val="00813DF4"/>
    <w:rsid w:val="00813F3C"/>
    <w:rsid w:val="00814C17"/>
    <w:rsid w:val="00815807"/>
    <w:rsid w:val="00815C71"/>
    <w:rsid w:val="008203E0"/>
    <w:rsid w:val="0082077B"/>
    <w:rsid w:val="008213A1"/>
    <w:rsid w:val="00821F4C"/>
    <w:rsid w:val="0082256A"/>
    <w:rsid w:val="00822A8F"/>
    <w:rsid w:val="0082303F"/>
    <w:rsid w:val="008231FF"/>
    <w:rsid w:val="00823928"/>
    <w:rsid w:val="00823ED9"/>
    <w:rsid w:val="0082480F"/>
    <w:rsid w:val="00824C00"/>
    <w:rsid w:val="00825262"/>
    <w:rsid w:val="00825433"/>
    <w:rsid w:val="00825771"/>
    <w:rsid w:val="00827B53"/>
    <w:rsid w:val="00827C8F"/>
    <w:rsid w:val="00827E13"/>
    <w:rsid w:val="008300D5"/>
    <w:rsid w:val="008314DB"/>
    <w:rsid w:val="00831888"/>
    <w:rsid w:val="00831D48"/>
    <w:rsid w:val="00832200"/>
    <w:rsid w:val="00832A69"/>
    <w:rsid w:val="00833DDE"/>
    <w:rsid w:val="00834DE9"/>
    <w:rsid w:val="0083528F"/>
    <w:rsid w:val="0083546C"/>
    <w:rsid w:val="00835F0B"/>
    <w:rsid w:val="008373B1"/>
    <w:rsid w:val="00837A48"/>
    <w:rsid w:val="00837F78"/>
    <w:rsid w:val="00840BE9"/>
    <w:rsid w:val="008416EF"/>
    <w:rsid w:val="00842051"/>
    <w:rsid w:val="00843B49"/>
    <w:rsid w:val="00843C7B"/>
    <w:rsid w:val="00846940"/>
    <w:rsid w:val="00846C18"/>
    <w:rsid w:val="0084761E"/>
    <w:rsid w:val="0084781F"/>
    <w:rsid w:val="0085006A"/>
    <w:rsid w:val="008503BC"/>
    <w:rsid w:val="00850504"/>
    <w:rsid w:val="0085057B"/>
    <w:rsid w:val="00850E36"/>
    <w:rsid w:val="00850FEB"/>
    <w:rsid w:val="00851C50"/>
    <w:rsid w:val="00852397"/>
    <w:rsid w:val="008534F4"/>
    <w:rsid w:val="00853A0A"/>
    <w:rsid w:val="00853CF8"/>
    <w:rsid w:val="00854B8A"/>
    <w:rsid w:val="00855151"/>
    <w:rsid w:val="0085528A"/>
    <w:rsid w:val="00855597"/>
    <w:rsid w:val="00855D18"/>
    <w:rsid w:val="0085645E"/>
    <w:rsid w:val="0085655D"/>
    <w:rsid w:val="0085683D"/>
    <w:rsid w:val="00856DB0"/>
    <w:rsid w:val="00857D62"/>
    <w:rsid w:val="00857FC5"/>
    <w:rsid w:val="008602F9"/>
    <w:rsid w:val="00860491"/>
    <w:rsid w:val="00861918"/>
    <w:rsid w:val="0086235A"/>
    <w:rsid w:val="00863229"/>
    <w:rsid w:val="00863A32"/>
    <w:rsid w:val="0086514B"/>
    <w:rsid w:val="00865E98"/>
    <w:rsid w:val="00865F99"/>
    <w:rsid w:val="00866B1A"/>
    <w:rsid w:val="00866CF7"/>
    <w:rsid w:val="00867B52"/>
    <w:rsid w:val="00871913"/>
    <w:rsid w:val="008733D2"/>
    <w:rsid w:val="00873497"/>
    <w:rsid w:val="008738F8"/>
    <w:rsid w:val="00874EEA"/>
    <w:rsid w:val="008755CE"/>
    <w:rsid w:val="00875B36"/>
    <w:rsid w:val="00875BD9"/>
    <w:rsid w:val="008763E6"/>
    <w:rsid w:val="008766E9"/>
    <w:rsid w:val="008779FC"/>
    <w:rsid w:val="008802EA"/>
    <w:rsid w:val="00880A89"/>
    <w:rsid w:val="0088148B"/>
    <w:rsid w:val="00881CEF"/>
    <w:rsid w:val="008822B1"/>
    <w:rsid w:val="00882855"/>
    <w:rsid w:val="00882886"/>
    <w:rsid w:val="00882BA2"/>
    <w:rsid w:val="00884445"/>
    <w:rsid w:val="0088447F"/>
    <w:rsid w:val="00884E21"/>
    <w:rsid w:val="00884EF0"/>
    <w:rsid w:val="008855FD"/>
    <w:rsid w:val="00886710"/>
    <w:rsid w:val="00886F63"/>
    <w:rsid w:val="00886FD7"/>
    <w:rsid w:val="00887678"/>
    <w:rsid w:val="00887E7A"/>
    <w:rsid w:val="008914EB"/>
    <w:rsid w:val="008917FE"/>
    <w:rsid w:val="00891EAC"/>
    <w:rsid w:val="008935C2"/>
    <w:rsid w:val="00894DE3"/>
    <w:rsid w:val="00894F89"/>
    <w:rsid w:val="008950C7"/>
    <w:rsid w:val="00896714"/>
    <w:rsid w:val="00896DDE"/>
    <w:rsid w:val="00897470"/>
    <w:rsid w:val="008979AC"/>
    <w:rsid w:val="00897A6C"/>
    <w:rsid w:val="008A0BC9"/>
    <w:rsid w:val="008A2ADA"/>
    <w:rsid w:val="008A2E2C"/>
    <w:rsid w:val="008A4365"/>
    <w:rsid w:val="008A55FE"/>
    <w:rsid w:val="008A7397"/>
    <w:rsid w:val="008A76B4"/>
    <w:rsid w:val="008B01CE"/>
    <w:rsid w:val="008B026D"/>
    <w:rsid w:val="008B0A8A"/>
    <w:rsid w:val="008B32A2"/>
    <w:rsid w:val="008B3E07"/>
    <w:rsid w:val="008B4527"/>
    <w:rsid w:val="008B4777"/>
    <w:rsid w:val="008B521B"/>
    <w:rsid w:val="008B5F62"/>
    <w:rsid w:val="008B6BFB"/>
    <w:rsid w:val="008C029C"/>
    <w:rsid w:val="008C0D11"/>
    <w:rsid w:val="008C15D7"/>
    <w:rsid w:val="008C380D"/>
    <w:rsid w:val="008C3DFF"/>
    <w:rsid w:val="008C4AD2"/>
    <w:rsid w:val="008C4BB7"/>
    <w:rsid w:val="008C6668"/>
    <w:rsid w:val="008C70BE"/>
    <w:rsid w:val="008C7BC3"/>
    <w:rsid w:val="008D0E82"/>
    <w:rsid w:val="008D2F79"/>
    <w:rsid w:val="008D3632"/>
    <w:rsid w:val="008D4DDA"/>
    <w:rsid w:val="008D4FB6"/>
    <w:rsid w:val="008D5C4B"/>
    <w:rsid w:val="008D6541"/>
    <w:rsid w:val="008E07F6"/>
    <w:rsid w:val="008E08C7"/>
    <w:rsid w:val="008E0D40"/>
    <w:rsid w:val="008E23B8"/>
    <w:rsid w:val="008E24E7"/>
    <w:rsid w:val="008E2BBA"/>
    <w:rsid w:val="008E3803"/>
    <w:rsid w:val="008E3B27"/>
    <w:rsid w:val="008E3CC5"/>
    <w:rsid w:val="008E4522"/>
    <w:rsid w:val="008E4B8E"/>
    <w:rsid w:val="008E66FC"/>
    <w:rsid w:val="008E750A"/>
    <w:rsid w:val="008E7700"/>
    <w:rsid w:val="008E7CA9"/>
    <w:rsid w:val="008F0CCB"/>
    <w:rsid w:val="008F1694"/>
    <w:rsid w:val="008F1D10"/>
    <w:rsid w:val="008F262A"/>
    <w:rsid w:val="008F2794"/>
    <w:rsid w:val="008F39BC"/>
    <w:rsid w:val="008F3BDF"/>
    <w:rsid w:val="008F43D6"/>
    <w:rsid w:val="008F4596"/>
    <w:rsid w:val="008F73A0"/>
    <w:rsid w:val="008F78E1"/>
    <w:rsid w:val="00900669"/>
    <w:rsid w:val="00900703"/>
    <w:rsid w:val="0090140D"/>
    <w:rsid w:val="00901647"/>
    <w:rsid w:val="00901F9B"/>
    <w:rsid w:val="00902044"/>
    <w:rsid w:val="00902F00"/>
    <w:rsid w:val="009033DF"/>
    <w:rsid w:val="009051A9"/>
    <w:rsid w:val="0090582E"/>
    <w:rsid w:val="00905A77"/>
    <w:rsid w:val="0090630A"/>
    <w:rsid w:val="0090697B"/>
    <w:rsid w:val="00907853"/>
    <w:rsid w:val="00910369"/>
    <w:rsid w:val="00911EC5"/>
    <w:rsid w:val="0091222A"/>
    <w:rsid w:val="00912605"/>
    <w:rsid w:val="00912FF0"/>
    <w:rsid w:val="0091341D"/>
    <w:rsid w:val="009135DA"/>
    <w:rsid w:val="00913D9C"/>
    <w:rsid w:val="00915026"/>
    <w:rsid w:val="009153C2"/>
    <w:rsid w:val="009153E2"/>
    <w:rsid w:val="00915A5A"/>
    <w:rsid w:val="00917409"/>
    <w:rsid w:val="00917D5E"/>
    <w:rsid w:val="00917D82"/>
    <w:rsid w:val="009206B4"/>
    <w:rsid w:val="00920BA0"/>
    <w:rsid w:val="0092180E"/>
    <w:rsid w:val="009218A5"/>
    <w:rsid w:val="009236C4"/>
    <w:rsid w:val="00923D47"/>
    <w:rsid w:val="00923DD3"/>
    <w:rsid w:val="00924352"/>
    <w:rsid w:val="009244D6"/>
    <w:rsid w:val="009247E6"/>
    <w:rsid w:val="00924E10"/>
    <w:rsid w:val="0092514E"/>
    <w:rsid w:val="00926A66"/>
    <w:rsid w:val="00930147"/>
    <w:rsid w:val="00931BEF"/>
    <w:rsid w:val="00931EDF"/>
    <w:rsid w:val="0093216D"/>
    <w:rsid w:val="009325B0"/>
    <w:rsid w:val="00933000"/>
    <w:rsid w:val="009341B6"/>
    <w:rsid w:val="00934C8E"/>
    <w:rsid w:val="0093531F"/>
    <w:rsid w:val="0093682D"/>
    <w:rsid w:val="00937555"/>
    <w:rsid w:val="00940BE8"/>
    <w:rsid w:val="00941272"/>
    <w:rsid w:val="00941F21"/>
    <w:rsid w:val="00942345"/>
    <w:rsid w:val="009425B9"/>
    <w:rsid w:val="00942936"/>
    <w:rsid w:val="00942D2D"/>
    <w:rsid w:val="009431E5"/>
    <w:rsid w:val="00944EFC"/>
    <w:rsid w:val="009453AD"/>
    <w:rsid w:val="00946134"/>
    <w:rsid w:val="00946359"/>
    <w:rsid w:val="00947518"/>
    <w:rsid w:val="00947A22"/>
    <w:rsid w:val="00950514"/>
    <w:rsid w:val="009508AC"/>
    <w:rsid w:val="009513F4"/>
    <w:rsid w:val="00951653"/>
    <w:rsid w:val="009520B9"/>
    <w:rsid w:val="00952A80"/>
    <w:rsid w:val="009538E2"/>
    <w:rsid w:val="00953C7D"/>
    <w:rsid w:val="00953E78"/>
    <w:rsid w:val="00954BB1"/>
    <w:rsid w:val="00955795"/>
    <w:rsid w:val="00955E03"/>
    <w:rsid w:val="0095626F"/>
    <w:rsid w:val="0095658D"/>
    <w:rsid w:val="00956655"/>
    <w:rsid w:val="00956E94"/>
    <w:rsid w:val="00957011"/>
    <w:rsid w:val="0095786B"/>
    <w:rsid w:val="00957A2B"/>
    <w:rsid w:val="00961FE1"/>
    <w:rsid w:val="00962B20"/>
    <w:rsid w:val="00963020"/>
    <w:rsid w:val="009630E9"/>
    <w:rsid w:val="00963623"/>
    <w:rsid w:val="00963FB0"/>
    <w:rsid w:val="0096469D"/>
    <w:rsid w:val="009654B9"/>
    <w:rsid w:val="009668A1"/>
    <w:rsid w:val="00967004"/>
    <w:rsid w:val="009711E0"/>
    <w:rsid w:val="00971AC0"/>
    <w:rsid w:val="00971FDB"/>
    <w:rsid w:val="00972747"/>
    <w:rsid w:val="00972BA4"/>
    <w:rsid w:val="00972C00"/>
    <w:rsid w:val="009730AC"/>
    <w:rsid w:val="00973168"/>
    <w:rsid w:val="00973A63"/>
    <w:rsid w:val="00973EB0"/>
    <w:rsid w:val="00974A13"/>
    <w:rsid w:val="00974C71"/>
    <w:rsid w:val="009806FD"/>
    <w:rsid w:val="00980DB5"/>
    <w:rsid w:val="0098269B"/>
    <w:rsid w:val="009841BF"/>
    <w:rsid w:val="0098426E"/>
    <w:rsid w:val="00984A27"/>
    <w:rsid w:val="00985924"/>
    <w:rsid w:val="009860F4"/>
    <w:rsid w:val="00986C52"/>
    <w:rsid w:val="009877EC"/>
    <w:rsid w:val="009903BD"/>
    <w:rsid w:val="0099103D"/>
    <w:rsid w:val="0099172E"/>
    <w:rsid w:val="00991C35"/>
    <w:rsid w:val="00992016"/>
    <w:rsid w:val="00992038"/>
    <w:rsid w:val="00992992"/>
    <w:rsid w:val="0099317E"/>
    <w:rsid w:val="00994543"/>
    <w:rsid w:val="00994CE3"/>
    <w:rsid w:val="00997584"/>
    <w:rsid w:val="009A09DF"/>
    <w:rsid w:val="009A122F"/>
    <w:rsid w:val="009A180E"/>
    <w:rsid w:val="009A1E87"/>
    <w:rsid w:val="009A216E"/>
    <w:rsid w:val="009A234A"/>
    <w:rsid w:val="009A280C"/>
    <w:rsid w:val="009A2B08"/>
    <w:rsid w:val="009A36D4"/>
    <w:rsid w:val="009A3A6C"/>
    <w:rsid w:val="009A3BBF"/>
    <w:rsid w:val="009A5A13"/>
    <w:rsid w:val="009A5AD7"/>
    <w:rsid w:val="009A5C61"/>
    <w:rsid w:val="009A61B5"/>
    <w:rsid w:val="009B28AF"/>
    <w:rsid w:val="009B35AD"/>
    <w:rsid w:val="009B4810"/>
    <w:rsid w:val="009B4C25"/>
    <w:rsid w:val="009B50F4"/>
    <w:rsid w:val="009B51A1"/>
    <w:rsid w:val="009B524A"/>
    <w:rsid w:val="009B56E8"/>
    <w:rsid w:val="009B5C7D"/>
    <w:rsid w:val="009B6CE3"/>
    <w:rsid w:val="009B7434"/>
    <w:rsid w:val="009B756F"/>
    <w:rsid w:val="009B7D4F"/>
    <w:rsid w:val="009C062F"/>
    <w:rsid w:val="009C1839"/>
    <w:rsid w:val="009C1A3D"/>
    <w:rsid w:val="009C24DE"/>
    <w:rsid w:val="009C4BD6"/>
    <w:rsid w:val="009C5E23"/>
    <w:rsid w:val="009D0181"/>
    <w:rsid w:val="009D01BE"/>
    <w:rsid w:val="009D198E"/>
    <w:rsid w:val="009D1C2F"/>
    <w:rsid w:val="009D1D6C"/>
    <w:rsid w:val="009D204C"/>
    <w:rsid w:val="009D2530"/>
    <w:rsid w:val="009D286F"/>
    <w:rsid w:val="009D3923"/>
    <w:rsid w:val="009D3E65"/>
    <w:rsid w:val="009D3FB8"/>
    <w:rsid w:val="009D5C50"/>
    <w:rsid w:val="009D7466"/>
    <w:rsid w:val="009D76B8"/>
    <w:rsid w:val="009D7E04"/>
    <w:rsid w:val="009E134A"/>
    <w:rsid w:val="009E20E5"/>
    <w:rsid w:val="009E23AD"/>
    <w:rsid w:val="009E26EE"/>
    <w:rsid w:val="009E28F3"/>
    <w:rsid w:val="009E316F"/>
    <w:rsid w:val="009E354C"/>
    <w:rsid w:val="009E360F"/>
    <w:rsid w:val="009E43F1"/>
    <w:rsid w:val="009E4E0C"/>
    <w:rsid w:val="009E51DB"/>
    <w:rsid w:val="009E6385"/>
    <w:rsid w:val="009E7146"/>
    <w:rsid w:val="009E725C"/>
    <w:rsid w:val="009F0525"/>
    <w:rsid w:val="009F0B73"/>
    <w:rsid w:val="009F0DCE"/>
    <w:rsid w:val="009F0EA7"/>
    <w:rsid w:val="009F2350"/>
    <w:rsid w:val="009F2728"/>
    <w:rsid w:val="009F331D"/>
    <w:rsid w:val="009F3B38"/>
    <w:rsid w:val="009F49D7"/>
    <w:rsid w:val="009F4BA7"/>
    <w:rsid w:val="009F4FB6"/>
    <w:rsid w:val="009F51AC"/>
    <w:rsid w:val="009F5EAF"/>
    <w:rsid w:val="009F697A"/>
    <w:rsid w:val="009F6A6E"/>
    <w:rsid w:val="009F6F24"/>
    <w:rsid w:val="009F742C"/>
    <w:rsid w:val="009F74C6"/>
    <w:rsid w:val="009F7BBE"/>
    <w:rsid w:val="009F7D8E"/>
    <w:rsid w:val="00A013E9"/>
    <w:rsid w:val="00A014D7"/>
    <w:rsid w:val="00A025C5"/>
    <w:rsid w:val="00A02AFE"/>
    <w:rsid w:val="00A0363B"/>
    <w:rsid w:val="00A0369A"/>
    <w:rsid w:val="00A03988"/>
    <w:rsid w:val="00A0435D"/>
    <w:rsid w:val="00A04FD3"/>
    <w:rsid w:val="00A06AE6"/>
    <w:rsid w:val="00A06B31"/>
    <w:rsid w:val="00A104A9"/>
    <w:rsid w:val="00A1137B"/>
    <w:rsid w:val="00A1166F"/>
    <w:rsid w:val="00A11B15"/>
    <w:rsid w:val="00A11DC7"/>
    <w:rsid w:val="00A11E69"/>
    <w:rsid w:val="00A137B7"/>
    <w:rsid w:val="00A14A9C"/>
    <w:rsid w:val="00A15CEE"/>
    <w:rsid w:val="00A15CFB"/>
    <w:rsid w:val="00A16591"/>
    <w:rsid w:val="00A16972"/>
    <w:rsid w:val="00A2039A"/>
    <w:rsid w:val="00A225C2"/>
    <w:rsid w:val="00A234BE"/>
    <w:rsid w:val="00A239B1"/>
    <w:rsid w:val="00A23CBA"/>
    <w:rsid w:val="00A23EB2"/>
    <w:rsid w:val="00A24423"/>
    <w:rsid w:val="00A254A9"/>
    <w:rsid w:val="00A25823"/>
    <w:rsid w:val="00A2698D"/>
    <w:rsid w:val="00A26F42"/>
    <w:rsid w:val="00A27108"/>
    <w:rsid w:val="00A30D26"/>
    <w:rsid w:val="00A30D45"/>
    <w:rsid w:val="00A3183B"/>
    <w:rsid w:val="00A32D88"/>
    <w:rsid w:val="00A33F97"/>
    <w:rsid w:val="00A340BC"/>
    <w:rsid w:val="00A346C2"/>
    <w:rsid w:val="00A34B7D"/>
    <w:rsid w:val="00A3572F"/>
    <w:rsid w:val="00A35BDA"/>
    <w:rsid w:val="00A40922"/>
    <w:rsid w:val="00A414B1"/>
    <w:rsid w:val="00A4188E"/>
    <w:rsid w:val="00A427E6"/>
    <w:rsid w:val="00A42E83"/>
    <w:rsid w:val="00A43854"/>
    <w:rsid w:val="00A44077"/>
    <w:rsid w:val="00A44FC0"/>
    <w:rsid w:val="00A45293"/>
    <w:rsid w:val="00A45D15"/>
    <w:rsid w:val="00A46EC8"/>
    <w:rsid w:val="00A473A6"/>
    <w:rsid w:val="00A50028"/>
    <w:rsid w:val="00A507E5"/>
    <w:rsid w:val="00A50B2C"/>
    <w:rsid w:val="00A50E67"/>
    <w:rsid w:val="00A52AD9"/>
    <w:rsid w:val="00A53D22"/>
    <w:rsid w:val="00A54420"/>
    <w:rsid w:val="00A557A3"/>
    <w:rsid w:val="00A55EC4"/>
    <w:rsid w:val="00A56E29"/>
    <w:rsid w:val="00A5729E"/>
    <w:rsid w:val="00A574CD"/>
    <w:rsid w:val="00A5759B"/>
    <w:rsid w:val="00A60C47"/>
    <w:rsid w:val="00A6118C"/>
    <w:rsid w:val="00A61AF5"/>
    <w:rsid w:val="00A61ECA"/>
    <w:rsid w:val="00A63570"/>
    <w:rsid w:val="00A663A5"/>
    <w:rsid w:val="00A66C1F"/>
    <w:rsid w:val="00A67721"/>
    <w:rsid w:val="00A67D59"/>
    <w:rsid w:val="00A701C9"/>
    <w:rsid w:val="00A70C70"/>
    <w:rsid w:val="00A7121D"/>
    <w:rsid w:val="00A71381"/>
    <w:rsid w:val="00A71CB5"/>
    <w:rsid w:val="00A75386"/>
    <w:rsid w:val="00A75B04"/>
    <w:rsid w:val="00A75C1B"/>
    <w:rsid w:val="00A760E7"/>
    <w:rsid w:val="00A811AF"/>
    <w:rsid w:val="00A829B1"/>
    <w:rsid w:val="00A8331C"/>
    <w:rsid w:val="00A83EC1"/>
    <w:rsid w:val="00A84D4D"/>
    <w:rsid w:val="00A85244"/>
    <w:rsid w:val="00A85316"/>
    <w:rsid w:val="00A85534"/>
    <w:rsid w:val="00A86382"/>
    <w:rsid w:val="00A86B56"/>
    <w:rsid w:val="00A86E83"/>
    <w:rsid w:val="00A87A07"/>
    <w:rsid w:val="00A87F34"/>
    <w:rsid w:val="00A90493"/>
    <w:rsid w:val="00A90BD6"/>
    <w:rsid w:val="00A928B5"/>
    <w:rsid w:val="00A92AA3"/>
    <w:rsid w:val="00A92E79"/>
    <w:rsid w:val="00A93755"/>
    <w:rsid w:val="00A94A36"/>
    <w:rsid w:val="00A95EB6"/>
    <w:rsid w:val="00A96554"/>
    <w:rsid w:val="00A968B6"/>
    <w:rsid w:val="00A9697F"/>
    <w:rsid w:val="00A96B6F"/>
    <w:rsid w:val="00A96E26"/>
    <w:rsid w:val="00A97619"/>
    <w:rsid w:val="00AA0212"/>
    <w:rsid w:val="00AA02FB"/>
    <w:rsid w:val="00AA0B19"/>
    <w:rsid w:val="00AA1C0B"/>
    <w:rsid w:val="00AA1D01"/>
    <w:rsid w:val="00AA24A8"/>
    <w:rsid w:val="00AA3B10"/>
    <w:rsid w:val="00AA4B91"/>
    <w:rsid w:val="00AA682C"/>
    <w:rsid w:val="00AA7724"/>
    <w:rsid w:val="00AB08D7"/>
    <w:rsid w:val="00AB1A73"/>
    <w:rsid w:val="00AB1CE9"/>
    <w:rsid w:val="00AB2406"/>
    <w:rsid w:val="00AB2694"/>
    <w:rsid w:val="00AB2703"/>
    <w:rsid w:val="00AB28A0"/>
    <w:rsid w:val="00AB2D0B"/>
    <w:rsid w:val="00AB4458"/>
    <w:rsid w:val="00AB4BED"/>
    <w:rsid w:val="00AB5889"/>
    <w:rsid w:val="00AB59A9"/>
    <w:rsid w:val="00AB5DC6"/>
    <w:rsid w:val="00AB6470"/>
    <w:rsid w:val="00AB71F2"/>
    <w:rsid w:val="00AB7C0D"/>
    <w:rsid w:val="00AC03C2"/>
    <w:rsid w:val="00AC247F"/>
    <w:rsid w:val="00AC274D"/>
    <w:rsid w:val="00AC2C90"/>
    <w:rsid w:val="00AC4221"/>
    <w:rsid w:val="00AC4327"/>
    <w:rsid w:val="00AC4A1D"/>
    <w:rsid w:val="00AC510D"/>
    <w:rsid w:val="00AC5703"/>
    <w:rsid w:val="00AC614E"/>
    <w:rsid w:val="00AC628A"/>
    <w:rsid w:val="00AC64BC"/>
    <w:rsid w:val="00AC7244"/>
    <w:rsid w:val="00AD07C1"/>
    <w:rsid w:val="00AD08D0"/>
    <w:rsid w:val="00AD11AE"/>
    <w:rsid w:val="00AD1E1B"/>
    <w:rsid w:val="00AD1E86"/>
    <w:rsid w:val="00AD3452"/>
    <w:rsid w:val="00AD399E"/>
    <w:rsid w:val="00AD3D05"/>
    <w:rsid w:val="00AD4061"/>
    <w:rsid w:val="00AD43A5"/>
    <w:rsid w:val="00AD57A2"/>
    <w:rsid w:val="00AD6115"/>
    <w:rsid w:val="00AD6624"/>
    <w:rsid w:val="00AD7C35"/>
    <w:rsid w:val="00AE1AD6"/>
    <w:rsid w:val="00AE1B27"/>
    <w:rsid w:val="00AE210C"/>
    <w:rsid w:val="00AE292E"/>
    <w:rsid w:val="00AE2EF4"/>
    <w:rsid w:val="00AE2F84"/>
    <w:rsid w:val="00AE3700"/>
    <w:rsid w:val="00AE3841"/>
    <w:rsid w:val="00AE542C"/>
    <w:rsid w:val="00AE5F27"/>
    <w:rsid w:val="00AE6D69"/>
    <w:rsid w:val="00AE7555"/>
    <w:rsid w:val="00AF0BB9"/>
    <w:rsid w:val="00AF0CEE"/>
    <w:rsid w:val="00AF100E"/>
    <w:rsid w:val="00AF1580"/>
    <w:rsid w:val="00AF1E48"/>
    <w:rsid w:val="00AF1F17"/>
    <w:rsid w:val="00AF1F5D"/>
    <w:rsid w:val="00AF3006"/>
    <w:rsid w:val="00AF3AD7"/>
    <w:rsid w:val="00AF4982"/>
    <w:rsid w:val="00AF4CEE"/>
    <w:rsid w:val="00AF540F"/>
    <w:rsid w:val="00AF5C36"/>
    <w:rsid w:val="00AF610C"/>
    <w:rsid w:val="00AF672F"/>
    <w:rsid w:val="00AF6B32"/>
    <w:rsid w:val="00AF7D7D"/>
    <w:rsid w:val="00B008E7"/>
    <w:rsid w:val="00B00D9A"/>
    <w:rsid w:val="00B01529"/>
    <w:rsid w:val="00B0161B"/>
    <w:rsid w:val="00B01815"/>
    <w:rsid w:val="00B025D6"/>
    <w:rsid w:val="00B02A48"/>
    <w:rsid w:val="00B02F2D"/>
    <w:rsid w:val="00B03562"/>
    <w:rsid w:val="00B04986"/>
    <w:rsid w:val="00B057E7"/>
    <w:rsid w:val="00B05E28"/>
    <w:rsid w:val="00B06B0B"/>
    <w:rsid w:val="00B07A0A"/>
    <w:rsid w:val="00B1003D"/>
    <w:rsid w:val="00B106C9"/>
    <w:rsid w:val="00B12B0D"/>
    <w:rsid w:val="00B132EA"/>
    <w:rsid w:val="00B13358"/>
    <w:rsid w:val="00B152D4"/>
    <w:rsid w:val="00B16099"/>
    <w:rsid w:val="00B16DEB"/>
    <w:rsid w:val="00B1725D"/>
    <w:rsid w:val="00B17610"/>
    <w:rsid w:val="00B17763"/>
    <w:rsid w:val="00B17938"/>
    <w:rsid w:val="00B210AC"/>
    <w:rsid w:val="00B22B6F"/>
    <w:rsid w:val="00B23234"/>
    <w:rsid w:val="00B247FE"/>
    <w:rsid w:val="00B24CC6"/>
    <w:rsid w:val="00B24E19"/>
    <w:rsid w:val="00B2522D"/>
    <w:rsid w:val="00B26190"/>
    <w:rsid w:val="00B26964"/>
    <w:rsid w:val="00B26F21"/>
    <w:rsid w:val="00B27728"/>
    <w:rsid w:val="00B27A80"/>
    <w:rsid w:val="00B27F98"/>
    <w:rsid w:val="00B3038F"/>
    <w:rsid w:val="00B30929"/>
    <w:rsid w:val="00B31FD3"/>
    <w:rsid w:val="00B3244E"/>
    <w:rsid w:val="00B33DE5"/>
    <w:rsid w:val="00B34627"/>
    <w:rsid w:val="00B35291"/>
    <w:rsid w:val="00B36812"/>
    <w:rsid w:val="00B36977"/>
    <w:rsid w:val="00B37607"/>
    <w:rsid w:val="00B37F6A"/>
    <w:rsid w:val="00B41C9D"/>
    <w:rsid w:val="00B4233F"/>
    <w:rsid w:val="00B42A07"/>
    <w:rsid w:val="00B43439"/>
    <w:rsid w:val="00B434F8"/>
    <w:rsid w:val="00B43B3F"/>
    <w:rsid w:val="00B43FD4"/>
    <w:rsid w:val="00B44B03"/>
    <w:rsid w:val="00B45B8A"/>
    <w:rsid w:val="00B4690C"/>
    <w:rsid w:val="00B47066"/>
    <w:rsid w:val="00B47253"/>
    <w:rsid w:val="00B47A38"/>
    <w:rsid w:val="00B50B1F"/>
    <w:rsid w:val="00B51B17"/>
    <w:rsid w:val="00B52C01"/>
    <w:rsid w:val="00B52D58"/>
    <w:rsid w:val="00B53798"/>
    <w:rsid w:val="00B53FEE"/>
    <w:rsid w:val="00B55EA4"/>
    <w:rsid w:val="00B574AD"/>
    <w:rsid w:val="00B57543"/>
    <w:rsid w:val="00B606CD"/>
    <w:rsid w:val="00B61533"/>
    <w:rsid w:val="00B615E5"/>
    <w:rsid w:val="00B62A33"/>
    <w:rsid w:val="00B62DBF"/>
    <w:rsid w:val="00B63002"/>
    <w:rsid w:val="00B63C5A"/>
    <w:rsid w:val="00B64330"/>
    <w:rsid w:val="00B64800"/>
    <w:rsid w:val="00B659B3"/>
    <w:rsid w:val="00B66406"/>
    <w:rsid w:val="00B66C27"/>
    <w:rsid w:val="00B67107"/>
    <w:rsid w:val="00B701F6"/>
    <w:rsid w:val="00B71947"/>
    <w:rsid w:val="00B71CD4"/>
    <w:rsid w:val="00B72C6C"/>
    <w:rsid w:val="00B742E8"/>
    <w:rsid w:val="00B74F0C"/>
    <w:rsid w:val="00B7501A"/>
    <w:rsid w:val="00B75A2F"/>
    <w:rsid w:val="00B7610A"/>
    <w:rsid w:val="00B765E8"/>
    <w:rsid w:val="00B76E0A"/>
    <w:rsid w:val="00B77389"/>
    <w:rsid w:val="00B8011A"/>
    <w:rsid w:val="00B81538"/>
    <w:rsid w:val="00B81AD8"/>
    <w:rsid w:val="00B824E7"/>
    <w:rsid w:val="00B825D7"/>
    <w:rsid w:val="00B82D00"/>
    <w:rsid w:val="00B82FBB"/>
    <w:rsid w:val="00B83575"/>
    <w:rsid w:val="00B84200"/>
    <w:rsid w:val="00B843D2"/>
    <w:rsid w:val="00B84DD2"/>
    <w:rsid w:val="00B861B2"/>
    <w:rsid w:val="00B86422"/>
    <w:rsid w:val="00B87265"/>
    <w:rsid w:val="00B874F3"/>
    <w:rsid w:val="00B906AC"/>
    <w:rsid w:val="00B909E4"/>
    <w:rsid w:val="00B91D3D"/>
    <w:rsid w:val="00B934F4"/>
    <w:rsid w:val="00B93545"/>
    <w:rsid w:val="00B93690"/>
    <w:rsid w:val="00B93927"/>
    <w:rsid w:val="00B95D36"/>
    <w:rsid w:val="00B972AB"/>
    <w:rsid w:val="00B97508"/>
    <w:rsid w:val="00B9765C"/>
    <w:rsid w:val="00B97677"/>
    <w:rsid w:val="00B97C5E"/>
    <w:rsid w:val="00B97D63"/>
    <w:rsid w:val="00BA0EB2"/>
    <w:rsid w:val="00BA1D68"/>
    <w:rsid w:val="00BA1EEF"/>
    <w:rsid w:val="00BA2717"/>
    <w:rsid w:val="00BA2771"/>
    <w:rsid w:val="00BA32BA"/>
    <w:rsid w:val="00BA4678"/>
    <w:rsid w:val="00BA49C7"/>
    <w:rsid w:val="00BA4A90"/>
    <w:rsid w:val="00BA4E67"/>
    <w:rsid w:val="00BA53EF"/>
    <w:rsid w:val="00BA5A7E"/>
    <w:rsid w:val="00BA65AE"/>
    <w:rsid w:val="00BA7B2B"/>
    <w:rsid w:val="00BB1396"/>
    <w:rsid w:val="00BB1EFE"/>
    <w:rsid w:val="00BB2004"/>
    <w:rsid w:val="00BB2664"/>
    <w:rsid w:val="00BB2C13"/>
    <w:rsid w:val="00BB36FA"/>
    <w:rsid w:val="00BB4D10"/>
    <w:rsid w:val="00BB524C"/>
    <w:rsid w:val="00BB5D3B"/>
    <w:rsid w:val="00BB6BF3"/>
    <w:rsid w:val="00BB7411"/>
    <w:rsid w:val="00BB748D"/>
    <w:rsid w:val="00BC173F"/>
    <w:rsid w:val="00BC1781"/>
    <w:rsid w:val="00BC24DB"/>
    <w:rsid w:val="00BC2835"/>
    <w:rsid w:val="00BC3B84"/>
    <w:rsid w:val="00BC3B8F"/>
    <w:rsid w:val="00BC431A"/>
    <w:rsid w:val="00BC47CD"/>
    <w:rsid w:val="00BC4AD1"/>
    <w:rsid w:val="00BC4F07"/>
    <w:rsid w:val="00BC536B"/>
    <w:rsid w:val="00BC6E92"/>
    <w:rsid w:val="00BC7CDE"/>
    <w:rsid w:val="00BD0040"/>
    <w:rsid w:val="00BD13E0"/>
    <w:rsid w:val="00BD173D"/>
    <w:rsid w:val="00BD1889"/>
    <w:rsid w:val="00BD1DEA"/>
    <w:rsid w:val="00BD25D3"/>
    <w:rsid w:val="00BD3AF5"/>
    <w:rsid w:val="00BD3FB7"/>
    <w:rsid w:val="00BD5798"/>
    <w:rsid w:val="00BD5B95"/>
    <w:rsid w:val="00BD7AC1"/>
    <w:rsid w:val="00BE0188"/>
    <w:rsid w:val="00BE0B22"/>
    <w:rsid w:val="00BE14BA"/>
    <w:rsid w:val="00BE1603"/>
    <w:rsid w:val="00BE19D2"/>
    <w:rsid w:val="00BE1A95"/>
    <w:rsid w:val="00BE1FB4"/>
    <w:rsid w:val="00BE2651"/>
    <w:rsid w:val="00BE2E8B"/>
    <w:rsid w:val="00BE3D01"/>
    <w:rsid w:val="00BE4381"/>
    <w:rsid w:val="00BE4CB1"/>
    <w:rsid w:val="00BE50FC"/>
    <w:rsid w:val="00BE51E1"/>
    <w:rsid w:val="00BE5600"/>
    <w:rsid w:val="00BE60AD"/>
    <w:rsid w:val="00BE7FB9"/>
    <w:rsid w:val="00BF07AE"/>
    <w:rsid w:val="00BF10E3"/>
    <w:rsid w:val="00BF1560"/>
    <w:rsid w:val="00BF1926"/>
    <w:rsid w:val="00BF1FB0"/>
    <w:rsid w:val="00BF2A83"/>
    <w:rsid w:val="00BF2CD8"/>
    <w:rsid w:val="00BF40D1"/>
    <w:rsid w:val="00BF4947"/>
    <w:rsid w:val="00BF5228"/>
    <w:rsid w:val="00BF52D3"/>
    <w:rsid w:val="00BF5DD3"/>
    <w:rsid w:val="00BF77AF"/>
    <w:rsid w:val="00BF7D12"/>
    <w:rsid w:val="00C0140F"/>
    <w:rsid w:val="00C0206B"/>
    <w:rsid w:val="00C02257"/>
    <w:rsid w:val="00C0278F"/>
    <w:rsid w:val="00C03FC7"/>
    <w:rsid w:val="00C04FFD"/>
    <w:rsid w:val="00C05671"/>
    <w:rsid w:val="00C0651D"/>
    <w:rsid w:val="00C0674B"/>
    <w:rsid w:val="00C06EDA"/>
    <w:rsid w:val="00C070E1"/>
    <w:rsid w:val="00C07256"/>
    <w:rsid w:val="00C07EAE"/>
    <w:rsid w:val="00C10148"/>
    <w:rsid w:val="00C108CB"/>
    <w:rsid w:val="00C10DE5"/>
    <w:rsid w:val="00C14319"/>
    <w:rsid w:val="00C14F3E"/>
    <w:rsid w:val="00C14F6D"/>
    <w:rsid w:val="00C16903"/>
    <w:rsid w:val="00C16C0B"/>
    <w:rsid w:val="00C178FE"/>
    <w:rsid w:val="00C17E29"/>
    <w:rsid w:val="00C214EE"/>
    <w:rsid w:val="00C22077"/>
    <w:rsid w:val="00C22129"/>
    <w:rsid w:val="00C229D4"/>
    <w:rsid w:val="00C22B12"/>
    <w:rsid w:val="00C22C0A"/>
    <w:rsid w:val="00C234E4"/>
    <w:rsid w:val="00C237DD"/>
    <w:rsid w:val="00C2466D"/>
    <w:rsid w:val="00C247CE"/>
    <w:rsid w:val="00C2482F"/>
    <w:rsid w:val="00C2548A"/>
    <w:rsid w:val="00C25508"/>
    <w:rsid w:val="00C25595"/>
    <w:rsid w:val="00C266AC"/>
    <w:rsid w:val="00C26DDF"/>
    <w:rsid w:val="00C27CBD"/>
    <w:rsid w:val="00C30872"/>
    <w:rsid w:val="00C31723"/>
    <w:rsid w:val="00C323B6"/>
    <w:rsid w:val="00C3335E"/>
    <w:rsid w:val="00C33637"/>
    <w:rsid w:val="00C339A1"/>
    <w:rsid w:val="00C33DA5"/>
    <w:rsid w:val="00C3401B"/>
    <w:rsid w:val="00C347D8"/>
    <w:rsid w:val="00C34AA5"/>
    <w:rsid w:val="00C34F55"/>
    <w:rsid w:val="00C35B8B"/>
    <w:rsid w:val="00C35DA5"/>
    <w:rsid w:val="00C364E0"/>
    <w:rsid w:val="00C3688F"/>
    <w:rsid w:val="00C36E56"/>
    <w:rsid w:val="00C36EB8"/>
    <w:rsid w:val="00C373EA"/>
    <w:rsid w:val="00C37EF6"/>
    <w:rsid w:val="00C403C3"/>
    <w:rsid w:val="00C40C67"/>
    <w:rsid w:val="00C41724"/>
    <w:rsid w:val="00C41835"/>
    <w:rsid w:val="00C41C0C"/>
    <w:rsid w:val="00C43024"/>
    <w:rsid w:val="00C430A7"/>
    <w:rsid w:val="00C44FEC"/>
    <w:rsid w:val="00C456AD"/>
    <w:rsid w:val="00C45C9A"/>
    <w:rsid w:val="00C46070"/>
    <w:rsid w:val="00C4675F"/>
    <w:rsid w:val="00C4748A"/>
    <w:rsid w:val="00C475F1"/>
    <w:rsid w:val="00C47BB1"/>
    <w:rsid w:val="00C50A34"/>
    <w:rsid w:val="00C51BEB"/>
    <w:rsid w:val="00C51C0E"/>
    <w:rsid w:val="00C534A9"/>
    <w:rsid w:val="00C53BE6"/>
    <w:rsid w:val="00C55864"/>
    <w:rsid w:val="00C56FA4"/>
    <w:rsid w:val="00C570A4"/>
    <w:rsid w:val="00C571BB"/>
    <w:rsid w:val="00C577B2"/>
    <w:rsid w:val="00C57F70"/>
    <w:rsid w:val="00C60030"/>
    <w:rsid w:val="00C600C2"/>
    <w:rsid w:val="00C6185A"/>
    <w:rsid w:val="00C61AEE"/>
    <w:rsid w:val="00C61EAE"/>
    <w:rsid w:val="00C6426D"/>
    <w:rsid w:val="00C65B5B"/>
    <w:rsid w:val="00C65C29"/>
    <w:rsid w:val="00C65D78"/>
    <w:rsid w:val="00C669B0"/>
    <w:rsid w:val="00C67F0E"/>
    <w:rsid w:val="00C70228"/>
    <w:rsid w:val="00C705EC"/>
    <w:rsid w:val="00C72193"/>
    <w:rsid w:val="00C723F1"/>
    <w:rsid w:val="00C72963"/>
    <w:rsid w:val="00C72C49"/>
    <w:rsid w:val="00C7349B"/>
    <w:rsid w:val="00C739FA"/>
    <w:rsid w:val="00C74265"/>
    <w:rsid w:val="00C74C44"/>
    <w:rsid w:val="00C770D9"/>
    <w:rsid w:val="00C8048E"/>
    <w:rsid w:val="00C80642"/>
    <w:rsid w:val="00C81E73"/>
    <w:rsid w:val="00C8208E"/>
    <w:rsid w:val="00C8288F"/>
    <w:rsid w:val="00C82CCD"/>
    <w:rsid w:val="00C831DF"/>
    <w:rsid w:val="00C83309"/>
    <w:rsid w:val="00C83F24"/>
    <w:rsid w:val="00C857D1"/>
    <w:rsid w:val="00C85C06"/>
    <w:rsid w:val="00C8640C"/>
    <w:rsid w:val="00C86DBF"/>
    <w:rsid w:val="00C872D0"/>
    <w:rsid w:val="00C87738"/>
    <w:rsid w:val="00C878C0"/>
    <w:rsid w:val="00C90852"/>
    <w:rsid w:val="00C9127E"/>
    <w:rsid w:val="00C912A2"/>
    <w:rsid w:val="00C91AD3"/>
    <w:rsid w:val="00C91DED"/>
    <w:rsid w:val="00C93082"/>
    <w:rsid w:val="00C931DA"/>
    <w:rsid w:val="00C93479"/>
    <w:rsid w:val="00C93480"/>
    <w:rsid w:val="00C948F0"/>
    <w:rsid w:val="00C9552C"/>
    <w:rsid w:val="00C957F6"/>
    <w:rsid w:val="00C9588D"/>
    <w:rsid w:val="00C958AA"/>
    <w:rsid w:val="00C95F4C"/>
    <w:rsid w:val="00C96604"/>
    <w:rsid w:val="00C974BE"/>
    <w:rsid w:val="00C97529"/>
    <w:rsid w:val="00CA0231"/>
    <w:rsid w:val="00CA024E"/>
    <w:rsid w:val="00CA1AE2"/>
    <w:rsid w:val="00CA1FD6"/>
    <w:rsid w:val="00CA2110"/>
    <w:rsid w:val="00CA3849"/>
    <w:rsid w:val="00CA3980"/>
    <w:rsid w:val="00CA4419"/>
    <w:rsid w:val="00CA45F0"/>
    <w:rsid w:val="00CA4BA1"/>
    <w:rsid w:val="00CA4E80"/>
    <w:rsid w:val="00CA5DC4"/>
    <w:rsid w:val="00CA70F8"/>
    <w:rsid w:val="00CA77D2"/>
    <w:rsid w:val="00CB0AD9"/>
    <w:rsid w:val="00CB0C57"/>
    <w:rsid w:val="00CB2B7F"/>
    <w:rsid w:val="00CB5ACC"/>
    <w:rsid w:val="00CB692E"/>
    <w:rsid w:val="00CB69AB"/>
    <w:rsid w:val="00CB6CB4"/>
    <w:rsid w:val="00CB6E65"/>
    <w:rsid w:val="00CB7241"/>
    <w:rsid w:val="00CC0E5F"/>
    <w:rsid w:val="00CC122A"/>
    <w:rsid w:val="00CC18F2"/>
    <w:rsid w:val="00CC23A7"/>
    <w:rsid w:val="00CC47FD"/>
    <w:rsid w:val="00CC4A67"/>
    <w:rsid w:val="00CC4BDB"/>
    <w:rsid w:val="00CC4ED0"/>
    <w:rsid w:val="00CC536F"/>
    <w:rsid w:val="00CC5A7B"/>
    <w:rsid w:val="00CC60F0"/>
    <w:rsid w:val="00CC692D"/>
    <w:rsid w:val="00CC6E42"/>
    <w:rsid w:val="00CC7F83"/>
    <w:rsid w:val="00CD11AD"/>
    <w:rsid w:val="00CD153D"/>
    <w:rsid w:val="00CD1678"/>
    <w:rsid w:val="00CD1E9E"/>
    <w:rsid w:val="00CD1FE6"/>
    <w:rsid w:val="00CD2CC5"/>
    <w:rsid w:val="00CD4225"/>
    <w:rsid w:val="00CD4C76"/>
    <w:rsid w:val="00CD580A"/>
    <w:rsid w:val="00CD5CEA"/>
    <w:rsid w:val="00CD72FA"/>
    <w:rsid w:val="00CD7996"/>
    <w:rsid w:val="00CD79B4"/>
    <w:rsid w:val="00CE028C"/>
    <w:rsid w:val="00CE06D6"/>
    <w:rsid w:val="00CE120E"/>
    <w:rsid w:val="00CE3687"/>
    <w:rsid w:val="00CE5B78"/>
    <w:rsid w:val="00CE5E2C"/>
    <w:rsid w:val="00CE6288"/>
    <w:rsid w:val="00CE6301"/>
    <w:rsid w:val="00CE6488"/>
    <w:rsid w:val="00CE7493"/>
    <w:rsid w:val="00CE7B52"/>
    <w:rsid w:val="00CF05DB"/>
    <w:rsid w:val="00CF1C0A"/>
    <w:rsid w:val="00CF23E3"/>
    <w:rsid w:val="00CF269C"/>
    <w:rsid w:val="00CF286B"/>
    <w:rsid w:val="00CF2B5B"/>
    <w:rsid w:val="00CF2EE9"/>
    <w:rsid w:val="00CF36F7"/>
    <w:rsid w:val="00CF37E0"/>
    <w:rsid w:val="00CF4065"/>
    <w:rsid w:val="00CF5B5A"/>
    <w:rsid w:val="00CF6C89"/>
    <w:rsid w:val="00CF77CE"/>
    <w:rsid w:val="00CF7AF5"/>
    <w:rsid w:val="00CF7B95"/>
    <w:rsid w:val="00CF7D43"/>
    <w:rsid w:val="00D0170C"/>
    <w:rsid w:val="00D01A27"/>
    <w:rsid w:val="00D028FD"/>
    <w:rsid w:val="00D031F6"/>
    <w:rsid w:val="00D038AD"/>
    <w:rsid w:val="00D040E1"/>
    <w:rsid w:val="00D05065"/>
    <w:rsid w:val="00D05347"/>
    <w:rsid w:val="00D053FA"/>
    <w:rsid w:val="00D0566B"/>
    <w:rsid w:val="00D0594D"/>
    <w:rsid w:val="00D06378"/>
    <w:rsid w:val="00D10315"/>
    <w:rsid w:val="00D103E3"/>
    <w:rsid w:val="00D1079D"/>
    <w:rsid w:val="00D11FF5"/>
    <w:rsid w:val="00D12C1B"/>
    <w:rsid w:val="00D13A53"/>
    <w:rsid w:val="00D13CA8"/>
    <w:rsid w:val="00D13FBE"/>
    <w:rsid w:val="00D15467"/>
    <w:rsid w:val="00D1598B"/>
    <w:rsid w:val="00D16124"/>
    <w:rsid w:val="00D16246"/>
    <w:rsid w:val="00D17185"/>
    <w:rsid w:val="00D203DF"/>
    <w:rsid w:val="00D2050E"/>
    <w:rsid w:val="00D20B0F"/>
    <w:rsid w:val="00D20B39"/>
    <w:rsid w:val="00D2188F"/>
    <w:rsid w:val="00D21B9F"/>
    <w:rsid w:val="00D23243"/>
    <w:rsid w:val="00D23359"/>
    <w:rsid w:val="00D24A25"/>
    <w:rsid w:val="00D24AF7"/>
    <w:rsid w:val="00D25B4A"/>
    <w:rsid w:val="00D263A9"/>
    <w:rsid w:val="00D26682"/>
    <w:rsid w:val="00D26A4E"/>
    <w:rsid w:val="00D275CF"/>
    <w:rsid w:val="00D306D7"/>
    <w:rsid w:val="00D30EAD"/>
    <w:rsid w:val="00D317D1"/>
    <w:rsid w:val="00D3180D"/>
    <w:rsid w:val="00D31BD8"/>
    <w:rsid w:val="00D33761"/>
    <w:rsid w:val="00D34CB7"/>
    <w:rsid w:val="00D36A56"/>
    <w:rsid w:val="00D37626"/>
    <w:rsid w:val="00D37BC4"/>
    <w:rsid w:val="00D37C34"/>
    <w:rsid w:val="00D37E5D"/>
    <w:rsid w:val="00D42891"/>
    <w:rsid w:val="00D437E0"/>
    <w:rsid w:val="00D443F6"/>
    <w:rsid w:val="00D44919"/>
    <w:rsid w:val="00D44F57"/>
    <w:rsid w:val="00D458AA"/>
    <w:rsid w:val="00D477DA"/>
    <w:rsid w:val="00D47D56"/>
    <w:rsid w:val="00D50FAC"/>
    <w:rsid w:val="00D5284F"/>
    <w:rsid w:val="00D54800"/>
    <w:rsid w:val="00D5488E"/>
    <w:rsid w:val="00D55CFF"/>
    <w:rsid w:val="00D56360"/>
    <w:rsid w:val="00D567ED"/>
    <w:rsid w:val="00D569BB"/>
    <w:rsid w:val="00D57503"/>
    <w:rsid w:val="00D6175B"/>
    <w:rsid w:val="00D61C77"/>
    <w:rsid w:val="00D62897"/>
    <w:rsid w:val="00D62B4F"/>
    <w:rsid w:val="00D6359B"/>
    <w:rsid w:val="00D63951"/>
    <w:rsid w:val="00D653D4"/>
    <w:rsid w:val="00D6543C"/>
    <w:rsid w:val="00D66251"/>
    <w:rsid w:val="00D6645B"/>
    <w:rsid w:val="00D667CC"/>
    <w:rsid w:val="00D66B5E"/>
    <w:rsid w:val="00D66D31"/>
    <w:rsid w:val="00D66F0C"/>
    <w:rsid w:val="00D6760F"/>
    <w:rsid w:val="00D67663"/>
    <w:rsid w:val="00D7033F"/>
    <w:rsid w:val="00D7095B"/>
    <w:rsid w:val="00D72ADD"/>
    <w:rsid w:val="00D730CA"/>
    <w:rsid w:val="00D7368A"/>
    <w:rsid w:val="00D73761"/>
    <w:rsid w:val="00D74BB7"/>
    <w:rsid w:val="00D75376"/>
    <w:rsid w:val="00D7571D"/>
    <w:rsid w:val="00D76488"/>
    <w:rsid w:val="00D77150"/>
    <w:rsid w:val="00D77152"/>
    <w:rsid w:val="00D776CA"/>
    <w:rsid w:val="00D77AA3"/>
    <w:rsid w:val="00D80C93"/>
    <w:rsid w:val="00D80D04"/>
    <w:rsid w:val="00D8150C"/>
    <w:rsid w:val="00D82944"/>
    <w:rsid w:val="00D82E75"/>
    <w:rsid w:val="00D830D4"/>
    <w:rsid w:val="00D85CA8"/>
    <w:rsid w:val="00D86951"/>
    <w:rsid w:val="00D86BA1"/>
    <w:rsid w:val="00D86BAE"/>
    <w:rsid w:val="00D901A0"/>
    <w:rsid w:val="00D9065B"/>
    <w:rsid w:val="00D90C89"/>
    <w:rsid w:val="00D913B3"/>
    <w:rsid w:val="00D91792"/>
    <w:rsid w:val="00D91C1E"/>
    <w:rsid w:val="00D92572"/>
    <w:rsid w:val="00D93E04"/>
    <w:rsid w:val="00D9552E"/>
    <w:rsid w:val="00D960E7"/>
    <w:rsid w:val="00D9641D"/>
    <w:rsid w:val="00D9646D"/>
    <w:rsid w:val="00D97401"/>
    <w:rsid w:val="00D97936"/>
    <w:rsid w:val="00DA1430"/>
    <w:rsid w:val="00DA274D"/>
    <w:rsid w:val="00DA2798"/>
    <w:rsid w:val="00DA2E25"/>
    <w:rsid w:val="00DA3975"/>
    <w:rsid w:val="00DA3A10"/>
    <w:rsid w:val="00DA4ED6"/>
    <w:rsid w:val="00DA4EF4"/>
    <w:rsid w:val="00DA50D0"/>
    <w:rsid w:val="00DA5DF2"/>
    <w:rsid w:val="00DA6E49"/>
    <w:rsid w:val="00DB031A"/>
    <w:rsid w:val="00DB0339"/>
    <w:rsid w:val="00DB1012"/>
    <w:rsid w:val="00DB11F5"/>
    <w:rsid w:val="00DB1301"/>
    <w:rsid w:val="00DB1927"/>
    <w:rsid w:val="00DB2A50"/>
    <w:rsid w:val="00DB2BC5"/>
    <w:rsid w:val="00DB3494"/>
    <w:rsid w:val="00DB3D80"/>
    <w:rsid w:val="00DB487C"/>
    <w:rsid w:val="00DB4EB8"/>
    <w:rsid w:val="00DB7B50"/>
    <w:rsid w:val="00DC0385"/>
    <w:rsid w:val="00DC2461"/>
    <w:rsid w:val="00DC3ECA"/>
    <w:rsid w:val="00DC4333"/>
    <w:rsid w:val="00DC461D"/>
    <w:rsid w:val="00DC4F14"/>
    <w:rsid w:val="00DC6B16"/>
    <w:rsid w:val="00DC6CC8"/>
    <w:rsid w:val="00DC73C0"/>
    <w:rsid w:val="00DC7BE8"/>
    <w:rsid w:val="00DD0816"/>
    <w:rsid w:val="00DD0FED"/>
    <w:rsid w:val="00DD1023"/>
    <w:rsid w:val="00DD13D2"/>
    <w:rsid w:val="00DD144C"/>
    <w:rsid w:val="00DD3137"/>
    <w:rsid w:val="00DD504C"/>
    <w:rsid w:val="00DD741F"/>
    <w:rsid w:val="00DE0145"/>
    <w:rsid w:val="00DE09D3"/>
    <w:rsid w:val="00DE0F4F"/>
    <w:rsid w:val="00DE19B6"/>
    <w:rsid w:val="00DE1E27"/>
    <w:rsid w:val="00DE25A5"/>
    <w:rsid w:val="00DE2D1F"/>
    <w:rsid w:val="00DE44C1"/>
    <w:rsid w:val="00DE50EE"/>
    <w:rsid w:val="00DE5287"/>
    <w:rsid w:val="00DE6296"/>
    <w:rsid w:val="00DE6EB4"/>
    <w:rsid w:val="00DE77E8"/>
    <w:rsid w:val="00DE7BE6"/>
    <w:rsid w:val="00DF08E8"/>
    <w:rsid w:val="00DF14EE"/>
    <w:rsid w:val="00DF3070"/>
    <w:rsid w:val="00DF31FD"/>
    <w:rsid w:val="00DF45F8"/>
    <w:rsid w:val="00DF5F3B"/>
    <w:rsid w:val="00DF6ABA"/>
    <w:rsid w:val="00E01654"/>
    <w:rsid w:val="00E01D1A"/>
    <w:rsid w:val="00E01FBE"/>
    <w:rsid w:val="00E02FE5"/>
    <w:rsid w:val="00E032B3"/>
    <w:rsid w:val="00E0378A"/>
    <w:rsid w:val="00E03ADB"/>
    <w:rsid w:val="00E03B2A"/>
    <w:rsid w:val="00E049DA"/>
    <w:rsid w:val="00E04B11"/>
    <w:rsid w:val="00E04B19"/>
    <w:rsid w:val="00E0701C"/>
    <w:rsid w:val="00E073F2"/>
    <w:rsid w:val="00E13AA0"/>
    <w:rsid w:val="00E13E52"/>
    <w:rsid w:val="00E14494"/>
    <w:rsid w:val="00E14D27"/>
    <w:rsid w:val="00E1577A"/>
    <w:rsid w:val="00E159FC"/>
    <w:rsid w:val="00E16905"/>
    <w:rsid w:val="00E17672"/>
    <w:rsid w:val="00E2307F"/>
    <w:rsid w:val="00E2317E"/>
    <w:rsid w:val="00E239A7"/>
    <w:rsid w:val="00E23C63"/>
    <w:rsid w:val="00E23EDF"/>
    <w:rsid w:val="00E24DBF"/>
    <w:rsid w:val="00E256E2"/>
    <w:rsid w:val="00E266F2"/>
    <w:rsid w:val="00E26780"/>
    <w:rsid w:val="00E26CE0"/>
    <w:rsid w:val="00E305A9"/>
    <w:rsid w:val="00E3213C"/>
    <w:rsid w:val="00E32C39"/>
    <w:rsid w:val="00E33CD4"/>
    <w:rsid w:val="00E34AD4"/>
    <w:rsid w:val="00E35F0A"/>
    <w:rsid w:val="00E3632E"/>
    <w:rsid w:val="00E41837"/>
    <w:rsid w:val="00E42480"/>
    <w:rsid w:val="00E42BEA"/>
    <w:rsid w:val="00E43077"/>
    <w:rsid w:val="00E43748"/>
    <w:rsid w:val="00E456F6"/>
    <w:rsid w:val="00E4667F"/>
    <w:rsid w:val="00E50106"/>
    <w:rsid w:val="00E50929"/>
    <w:rsid w:val="00E535C7"/>
    <w:rsid w:val="00E53CE4"/>
    <w:rsid w:val="00E54092"/>
    <w:rsid w:val="00E54F99"/>
    <w:rsid w:val="00E5588B"/>
    <w:rsid w:val="00E57165"/>
    <w:rsid w:val="00E578F8"/>
    <w:rsid w:val="00E57E83"/>
    <w:rsid w:val="00E57F8A"/>
    <w:rsid w:val="00E57F9E"/>
    <w:rsid w:val="00E60675"/>
    <w:rsid w:val="00E61196"/>
    <w:rsid w:val="00E62561"/>
    <w:rsid w:val="00E6383C"/>
    <w:rsid w:val="00E63C9D"/>
    <w:rsid w:val="00E6422A"/>
    <w:rsid w:val="00E6430F"/>
    <w:rsid w:val="00E651AF"/>
    <w:rsid w:val="00E651E8"/>
    <w:rsid w:val="00E65298"/>
    <w:rsid w:val="00E658DF"/>
    <w:rsid w:val="00E65B52"/>
    <w:rsid w:val="00E6689A"/>
    <w:rsid w:val="00E66B0A"/>
    <w:rsid w:val="00E70BB1"/>
    <w:rsid w:val="00E70EDB"/>
    <w:rsid w:val="00E716F8"/>
    <w:rsid w:val="00E71BB4"/>
    <w:rsid w:val="00E71F84"/>
    <w:rsid w:val="00E7227A"/>
    <w:rsid w:val="00E73B7F"/>
    <w:rsid w:val="00E768BC"/>
    <w:rsid w:val="00E779DA"/>
    <w:rsid w:val="00E80222"/>
    <w:rsid w:val="00E81ADB"/>
    <w:rsid w:val="00E84324"/>
    <w:rsid w:val="00E84742"/>
    <w:rsid w:val="00E85505"/>
    <w:rsid w:val="00E85C7A"/>
    <w:rsid w:val="00E85F14"/>
    <w:rsid w:val="00E86233"/>
    <w:rsid w:val="00E86B07"/>
    <w:rsid w:val="00E86E3D"/>
    <w:rsid w:val="00E87121"/>
    <w:rsid w:val="00E875C4"/>
    <w:rsid w:val="00E9093F"/>
    <w:rsid w:val="00E91F8F"/>
    <w:rsid w:val="00E929D1"/>
    <w:rsid w:val="00E93173"/>
    <w:rsid w:val="00E93EBE"/>
    <w:rsid w:val="00E94550"/>
    <w:rsid w:val="00E945DA"/>
    <w:rsid w:val="00E94934"/>
    <w:rsid w:val="00E94AEF"/>
    <w:rsid w:val="00E94B68"/>
    <w:rsid w:val="00E953F2"/>
    <w:rsid w:val="00E95978"/>
    <w:rsid w:val="00E95DE1"/>
    <w:rsid w:val="00E97488"/>
    <w:rsid w:val="00E974A2"/>
    <w:rsid w:val="00E9756E"/>
    <w:rsid w:val="00E97B94"/>
    <w:rsid w:val="00E97D99"/>
    <w:rsid w:val="00EA0234"/>
    <w:rsid w:val="00EA1133"/>
    <w:rsid w:val="00EA16ED"/>
    <w:rsid w:val="00EA1D6F"/>
    <w:rsid w:val="00EA2A77"/>
    <w:rsid w:val="00EA4EA1"/>
    <w:rsid w:val="00EA5125"/>
    <w:rsid w:val="00EA5FA4"/>
    <w:rsid w:val="00EA63CD"/>
    <w:rsid w:val="00EA7C0B"/>
    <w:rsid w:val="00EA7ECE"/>
    <w:rsid w:val="00EB0721"/>
    <w:rsid w:val="00EB09DD"/>
    <w:rsid w:val="00EB3BBD"/>
    <w:rsid w:val="00EB4062"/>
    <w:rsid w:val="00EB4568"/>
    <w:rsid w:val="00EB536B"/>
    <w:rsid w:val="00EB6895"/>
    <w:rsid w:val="00EC01DE"/>
    <w:rsid w:val="00EC0293"/>
    <w:rsid w:val="00EC0C84"/>
    <w:rsid w:val="00EC1648"/>
    <w:rsid w:val="00EC26E4"/>
    <w:rsid w:val="00EC2A40"/>
    <w:rsid w:val="00EC39C3"/>
    <w:rsid w:val="00EC3F6B"/>
    <w:rsid w:val="00EC456C"/>
    <w:rsid w:val="00EC4CCF"/>
    <w:rsid w:val="00EC4DBF"/>
    <w:rsid w:val="00EC4F4A"/>
    <w:rsid w:val="00EC5280"/>
    <w:rsid w:val="00EC6493"/>
    <w:rsid w:val="00EC6558"/>
    <w:rsid w:val="00EC6E89"/>
    <w:rsid w:val="00EC726B"/>
    <w:rsid w:val="00EC76F0"/>
    <w:rsid w:val="00EC78BF"/>
    <w:rsid w:val="00EC7CA4"/>
    <w:rsid w:val="00ED14F5"/>
    <w:rsid w:val="00ED159A"/>
    <w:rsid w:val="00ED188C"/>
    <w:rsid w:val="00ED19C7"/>
    <w:rsid w:val="00ED2009"/>
    <w:rsid w:val="00ED219E"/>
    <w:rsid w:val="00ED27DC"/>
    <w:rsid w:val="00ED29EF"/>
    <w:rsid w:val="00ED42BA"/>
    <w:rsid w:val="00ED59A7"/>
    <w:rsid w:val="00ED7195"/>
    <w:rsid w:val="00ED7ABA"/>
    <w:rsid w:val="00EE0C47"/>
    <w:rsid w:val="00EE0E12"/>
    <w:rsid w:val="00EE16FF"/>
    <w:rsid w:val="00EE1C33"/>
    <w:rsid w:val="00EE302A"/>
    <w:rsid w:val="00EE3365"/>
    <w:rsid w:val="00EE41B3"/>
    <w:rsid w:val="00EE4706"/>
    <w:rsid w:val="00EE4BAC"/>
    <w:rsid w:val="00EE5779"/>
    <w:rsid w:val="00EE5FD2"/>
    <w:rsid w:val="00EE66D7"/>
    <w:rsid w:val="00EE6892"/>
    <w:rsid w:val="00EE69E5"/>
    <w:rsid w:val="00EE6D69"/>
    <w:rsid w:val="00EF13D6"/>
    <w:rsid w:val="00EF20C0"/>
    <w:rsid w:val="00EF2110"/>
    <w:rsid w:val="00EF2B85"/>
    <w:rsid w:val="00EF2C9F"/>
    <w:rsid w:val="00EF2CDA"/>
    <w:rsid w:val="00EF338A"/>
    <w:rsid w:val="00EF422A"/>
    <w:rsid w:val="00EF44A9"/>
    <w:rsid w:val="00EF6ED0"/>
    <w:rsid w:val="00EF74EC"/>
    <w:rsid w:val="00EF7CCF"/>
    <w:rsid w:val="00F00697"/>
    <w:rsid w:val="00F00E05"/>
    <w:rsid w:val="00F00E78"/>
    <w:rsid w:val="00F016E3"/>
    <w:rsid w:val="00F02028"/>
    <w:rsid w:val="00F022B5"/>
    <w:rsid w:val="00F02324"/>
    <w:rsid w:val="00F029EF"/>
    <w:rsid w:val="00F035E6"/>
    <w:rsid w:val="00F038F4"/>
    <w:rsid w:val="00F04789"/>
    <w:rsid w:val="00F047B8"/>
    <w:rsid w:val="00F047CA"/>
    <w:rsid w:val="00F04FB6"/>
    <w:rsid w:val="00F05BE4"/>
    <w:rsid w:val="00F06117"/>
    <w:rsid w:val="00F103FB"/>
    <w:rsid w:val="00F11656"/>
    <w:rsid w:val="00F12D68"/>
    <w:rsid w:val="00F1387C"/>
    <w:rsid w:val="00F15F79"/>
    <w:rsid w:val="00F16AFB"/>
    <w:rsid w:val="00F20A0B"/>
    <w:rsid w:val="00F22176"/>
    <w:rsid w:val="00F22994"/>
    <w:rsid w:val="00F23142"/>
    <w:rsid w:val="00F23193"/>
    <w:rsid w:val="00F23D37"/>
    <w:rsid w:val="00F24743"/>
    <w:rsid w:val="00F24EB7"/>
    <w:rsid w:val="00F262AB"/>
    <w:rsid w:val="00F26C5D"/>
    <w:rsid w:val="00F26F7A"/>
    <w:rsid w:val="00F27CDC"/>
    <w:rsid w:val="00F308F3"/>
    <w:rsid w:val="00F323D3"/>
    <w:rsid w:val="00F324AB"/>
    <w:rsid w:val="00F3272C"/>
    <w:rsid w:val="00F32932"/>
    <w:rsid w:val="00F32F8C"/>
    <w:rsid w:val="00F347D4"/>
    <w:rsid w:val="00F352B4"/>
    <w:rsid w:val="00F355D7"/>
    <w:rsid w:val="00F3571E"/>
    <w:rsid w:val="00F35B49"/>
    <w:rsid w:val="00F36B50"/>
    <w:rsid w:val="00F37301"/>
    <w:rsid w:val="00F3740A"/>
    <w:rsid w:val="00F37D66"/>
    <w:rsid w:val="00F41242"/>
    <w:rsid w:val="00F41A8E"/>
    <w:rsid w:val="00F41D59"/>
    <w:rsid w:val="00F41F95"/>
    <w:rsid w:val="00F42192"/>
    <w:rsid w:val="00F42305"/>
    <w:rsid w:val="00F428AA"/>
    <w:rsid w:val="00F428BF"/>
    <w:rsid w:val="00F42A0E"/>
    <w:rsid w:val="00F435F4"/>
    <w:rsid w:val="00F43E24"/>
    <w:rsid w:val="00F44F3A"/>
    <w:rsid w:val="00F47090"/>
    <w:rsid w:val="00F47677"/>
    <w:rsid w:val="00F47882"/>
    <w:rsid w:val="00F47F13"/>
    <w:rsid w:val="00F50571"/>
    <w:rsid w:val="00F50E18"/>
    <w:rsid w:val="00F51636"/>
    <w:rsid w:val="00F518E8"/>
    <w:rsid w:val="00F51B7D"/>
    <w:rsid w:val="00F5230F"/>
    <w:rsid w:val="00F526AB"/>
    <w:rsid w:val="00F55001"/>
    <w:rsid w:val="00F55418"/>
    <w:rsid w:val="00F55666"/>
    <w:rsid w:val="00F558AC"/>
    <w:rsid w:val="00F55A60"/>
    <w:rsid w:val="00F571B9"/>
    <w:rsid w:val="00F6044C"/>
    <w:rsid w:val="00F609F0"/>
    <w:rsid w:val="00F61E7E"/>
    <w:rsid w:val="00F629D4"/>
    <w:rsid w:val="00F62AC4"/>
    <w:rsid w:val="00F62C38"/>
    <w:rsid w:val="00F62DB3"/>
    <w:rsid w:val="00F64850"/>
    <w:rsid w:val="00F64B52"/>
    <w:rsid w:val="00F65188"/>
    <w:rsid w:val="00F66814"/>
    <w:rsid w:val="00F6757E"/>
    <w:rsid w:val="00F67F45"/>
    <w:rsid w:val="00F70726"/>
    <w:rsid w:val="00F714E0"/>
    <w:rsid w:val="00F728AD"/>
    <w:rsid w:val="00F73874"/>
    <w:rsid w:val="00F73C40"/>
    <w:rsid w:val="00F75569"/>
    <w:rsid w:val="00F75867"/>
    <w:rsid w:val="00F75A8B"/>
    <w:rsid w:val="00F75DCF"/>
    <w:rsid w:val="00F75E2F"/>
    <w:rsid w:val="00F763A4"/>
    <w:rsid w:val="00F763C1"/>
    <w:rsid w:val="00F766A9"/>
    <w:rsid w:val="00F767BC"/>
    <w:rsid w:val="00F80B54"/>
    <w:rsid w:val="00F8160C"/>
    <w:rsid w:val="00F8246D"/>
    <w:rsid w:val="00F82B6E"/>
    <w:rsid w:val="00F84193"/>
    <w:rsid w:val="00F844DE"/>
    <w:rsid w:val="00F84D62"/>
    <w:rsid w:val="00F854BD"/>
    <w:rsid w:val="00F85B9F"/>
    <w:rsid w:val="00F86ADA"/>
    <w:rsid w:val="00F86EE1"/>
    <w:rsid w:val="00F876A8"/>
    <w:rsid w:val="00F91124"/>
    <w:rsid w:val="00F9135C"/>
    <w:rsid w:val="00F91F05"/>
    <w:rsid w:val="00F94828"/>
    <w:rsid w:val="00F95AC3"/>
    <w:rsid w:val="00F95DED"/>
    <w:rsid w:val="00F96465"/>
    <w:rsid w:val="00F96766"/>
    <w:rsid w:val="00F96A88"/>
    <w:rsid w:val="00F96BB8"/>
    <w:rsid w:val="00F96DC5"/>
    <w:rsid w:val="00F9719B"/>
    <w:rsid w:val="00FA1AAF"/>
    <w:rsid w:val="00FA1E16"/>
    <w:rsid w:val="00FA38EC"/>
    <w:rsid w:val="00FA454B"/>
    <w:rsid w:val="00FA4790"/>
    <w:rsid w:val="00FA49B6"/>
    <w:rsid w:val="00FA4BE7"/>
    <w:rsid w:val="00FA4E7B"/>
    <w:rsid w:val="00FA668D"/>
    <w:rsid w:val="00FA6EE6"/>
    <w:rsid w:val="00FB01F7"/>
    <w:rsid w:val="00FB0C54"/>
    <w:rsid w:val="00FB2F79"/>
    <w:rsid w:val="00FB3356"/>
    <w:rsid w:val="00FB3A61"/>
    <w:rsid w:val="00FB451F"/>
    <w:rsid w:val="00FB5240"/>
    <w:rsid w:val="00FB5769"/>
    <w:rsid w:val="00FB6628"/>
    <w:rsid w:val="00FB69B1"/>
    <w:rsid w:val="00FB721B"/>
    <w:rsid w:val="00FB78EA"/>
    <w:rsid w:val="00FB7C7A"/>
    <w:rsid w:val="00FB7EE8"/>
    <w:rsid w:val="00FC10A8"/>
    <w:rsid w:val="00FC147B"/>
    <w:rsid w:val="00FC1AD6"/>
    <w:rsid w:val="00FC2A68"/>
    <w:rsid w:val="00FC2B02"/>
    <w:rsid w:val="00FC2B52"/>
    <w:rsid w:val="00FC308F"/>
    <w:rsid w:val="00FC3D37"/>
    <w:rsid w:val="00FC4677"/>
    <w:rsid w:val="00FC467B"/>
    <w:rsid w:val="00FC4769"/>
    <w:rsid w:val="00FC5E09"/>
    <w:rsid w:val="00FC5EED"/>
    <w:rsid w:val="00FC7BD6"/>
    <w:rsid w:val="00FD058F"/>
    <w:rsid w:val="00FD1A19"/>
    <w:rsid w:val="00FD497C"/>
    <w:rsid w:val="00FD76B4"/>
    <w:rsid w:val="00FD7AFC"/>
    <w:rsid w:val="00FE2415"/>
    <w:rsid w:val="00FE2BEE"/>
    <w:rsid w:val="00FE319E"/>
    <w:rsid w:val="00FE3A87"/>
    <w:rsid w:val="00FE3D31"/>
    <w:rsid w:val="00FE45D6"/>
    <w:rsid w:val="00FE4AF8"/>
    <w:rsid w:val="00FE5677"/>
    <w:rsid w:val="00FE572B"/>
    <w:rsid w:val="00FE753F"/>
    <w:rsid w:val="00FE7C4A"/>
    <w:rsid w:val="00FF059C"/>
    <w:rsid w:val="00FF0A34"/>
    <w:rsid w:val="00FF25D4"/>
    <w:rsid w:val="00FF4AEB"/>
    <w:rsid w:val="00FF5891"/>
    <w:rsid w:val="00FF60C3"/>
    <w:rsid w:val="00FF6619"/>
    <w:rsid w:val="00FF70C5"/>
    <w:rsid w:val="00FF7DEE"/>
    <w:rsid w:val="00FF7F75"/>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4577"/>
    <o:shapelayout v:ext="edit">
      <o:idmap v:ext="edit" data="1"/>
    </o:shapelayout>
  </w:shapeDefaults>
  <w:decimalSymbol w:val="."/>
  <w:listSeparator w:val=","/>
  <w14:docId w14:val="0CD3DA6E"/>
  <w15:docId w15:val="{0D56D57D-60B8-4140-9167-EA882DB12C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55E8F"/>
    <w:pPr>
      <w:spacing w:before="120" w:after="0" w:line="360" w:lineRule="auto"/>
      <w:jc w:val="both"/>
    </w:pPr>
  </w:style>
  <w:style w:type="paragraph" w:styleId="Ttulo1">
    <w:name w:val="heading 1"/>
    <w:basedOn w:val="Normal"/>
    <w:next w:val="Normal"/>
    <w:link w:val="Ttulo1Char1"/>
    <w:uiPriority w:val="9"/>
    <w:qFormat/>
    <w:rsid w:val="001B401C"/>
    <w:pPr>
      <w:keepNext/>
      <w:keepLines/>
      <w:numPr>
        <w:numId w:val="5"/>
      </w:numPr>
      <w:spacing w:before="240" w:after="120"/>
      <w:outlineLvl w:val="0"/>
    </w:pPr>
    <w:rPr>
      <w:rFonts w:asciiTheme="majorHAnsi" w:eastAsia="Times New Roman" w:hAnsiTheme="majorHAnsi" w:cstheme="majorBidi"/>
      <w:b/>
      <w:bCs/>
      <w:caps/>
      <w:color w:val="17365D"/>
      <w:sz w:val="28"/>
      <w:szCs w:val="28"/>
      <w:lang w:val="en-GB"/>
    </w:rPr>
  </w:style>
  <w:style w:type="paragraph" w:styleId="Ttulo2">
    <w:name w:val="heading 2"/>
    <w:basedOn w:val="Ttulo1"/>
    <w:next w:val="Normal"/>
    <w:link w:val="Ttulo2Char2"/>
    <w:uiPriority w:val="9"/>
    <w:unhideWhenUsed/>
    <w:qFormat/>
    <w:rsid w:val="001B401C"/>
    <w:pPr>
      <w:numPr>
        <w:ilvl w:val="1"/>
      </w:numPr>
      <w:tabs>
        <w:tab w:val="left" w:pos="993"/>
      </w:tabs>
      <w:outlineLvl w:val="1"/>
    </w:pPr>
    <w:rPr>
      <w:color w:val="auto"/>
    </w:rPr>
  </w:style>
  <w:style w:type="paragraph" w:styleId="Ttulo3">
    <w:name w:val="heading 3"/>
    <w:basedOn w:val="Ttulo2"/>
    <w:next w:val="Normal"/>
    <w:link w:val="Ttulo3Char1"/>
    <w:uiPriority w:val="9"/>
    <w:unhideWhenUsed/>
    <w:qFormat/>
    <w:rsid w:val="001B401C"/>
    <w:pPr>
      <w:numPr>
        <w:ilvl w:val="2"/>
      </w:numPr>
      <w:outlineLvl w:val="2"/>
    </w:pPr>
  </w:style>
  <w:style w:type="paragraph" w:styleId="Ttulo4">
    <w:name w:val="heading 4"/>
    <w:aliases w:val="Subseção"/>
    <w:basedOn w:val="Normal"/>
    <w:next w:val="Normal"/>
    <w:link w:val="Ttulo4Char1"/>
    <w:uiPriority w:val="9"/>
    <w:unhideWhenUsed/>
    <w:qFormat/>
    <w:rsid w:val="00572F61"/>
    <w:pPr>
      <w:spacing w:before="0" w:after="120"/>
      <w:outlineLvl w:val="3"/>
    </w:pPr>
    <w:rPr>
      <w:b/>
      <w:color w:val="00B050"/>
    </w:rPr>
  </w:style>
  <w:style w:type="paragraph" w:styleId="Ttulo5">
    <w:name w:val="heading 5"/>
    <w:basedOn w:val="Normal"/>
    <w:next w:val="Normal"/>
    <w:link w:val="Ttulo5Char"/>
    <w:uiPriority w:val="9"/>
    <w:semiHidden/>
    <w:unhideWhenUsed/>
    <w:rsid w:val="00D21B9F"/>
    <w:pPr>
      <w:keepNext/>
      <w:keepLines/>
      <w:numPr>
        <w:ilvl w:val="4"/>
        <w:numId w:val="1"/>
      </w:numPr>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semiHidden/>
    <w:unhideWhenUsed/>
    <w:qFormat/>
    <w:rsid w:val="00D21B9F"/>
    <w:pPr>
      <w:keepNext/>
      <w:keepLines/>
      <w:numPr>
        <w:ilvl w:val="5"/>
        <w:numId w:val="1"/>
      </w:numPr>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semiHidden/>
    <w:unhideWhenUsed/>
    <w:qFormat/>
    <w:rsid w:val="00D21B9F"/>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semiHidden/>
    <w:unhideWhenUsed/>
    <w:qFormat/>
    <w:rsid w:val="00D21B9F"/>
    <w:pPr>
      <w:keepNext/>
      <w:keepLines/>
      <w:numPr>
        <w:ilvl w:val="7"/>
        <w:numId w:val="1"/>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uiPriority w:val="9"/>
    <w:semiHidden/>
    <w:unhideWhenUsed/>
    <w:qFormat/>
    <w:rsid w:val="00D21B9F"/>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LightList1">
    <w:name w:val="Light List1"/>
    <w:basedOn w:val="Tabelanormal"/>
    <w:uiPriority w:val="61"/>
    <w:rsid w:val="00D20B0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hps">
    <w:name w:val="hps"/>
    <w:basedOn w:val="Fontepargpadro"/>
    <w:rsid w:val="004B23C3"/>
  </w:style>
  <w:style w:type="character" w:customStyle="1" w:styleId="Ttulo3Char">
    <w:name w:val="Título 3 Char"/>
    <w:basedOn w:val="Fontepargpadro"/>
    <w:uiPriority w:val="9"/>
    <w:rsid w:val="00CE6301"/>
    <w:rPr>
      <w:b/>
      <w:color w:val="1F497D" w:themeColor="text2"/>
      <w:lang w:eastAsia="zh-CN"/>
    </w:rPr>
  </w:style>
  <w:style w:type="character" w:styleId="TextodoEspaoReservado">
    <w:name w:val="Placeholder Text"/>
    <w:basedOn w:val="Fontepargpadro"/>
    <w:uiPriority w:val="99"/>
    <w:semiHidden/>
    <w:rsid w:val="001E5B59"/>
    <w:rPr>
      <w:color w:val="808080"/>
    </w:rPr>
  </w:style>
  <w:style w:type="paragraph" w:styleId="Textodebalo">
    <w:name w:val="Balloon Text"/>
    <w:basedOn w:val="Normal"/>
    <w:link w:val="TextodebaloChar"/>
    <w:uiPriority w:val="99"/>
    <w:unhideWhenUsed/>
    <w:rsid w:val="001E5B59"/>
    <w:pPr>
      <w:spacing w:line="240" w:lineRule="auto"/>
    </w:pPr>
    <w:rPr>
      <w:rFonts w:ascii="Tahoma" w:hAnsi="Tahoma" w:cs="Tahoma"/>
      <w:sz w:val="16"/>
      <w:szCs w:val="16"/>
    </w:rPr>
  </w:style>
  <w:style w:type="character" w:customStyle="1" w:styleId="TextodebaloChar">
    <w:name w:val="Texto de balão Char"/>
    <w:basedOn w:val="Fontepargpadro"/>
    <w:link w:val="Textodebalo"/>
    <w:uiPriority w:val="99"/>
    <w:rsid w:val="001E5B59"/>
    <w:rPr>
      <w:rFonts w:ascii="Tahoma" w:hAnsi="Tahoma" w:cs="Tahoma"/>
      <w:sz w:val="16"/>
      <w:szCs w:val="16"/>
    </w:rPr>
  </w:style>
  <w:style w:type="paragraph" w:styleId="Textodenotaderodap">
    <w:name w:val="footnote text"/>
    <w:basedOn w:val="Normal"/>
    <w:link w:val="TextodenotaderodapChar"/>
    <w:uiPriority w:val="99"/>
    <w:unhideWhenUsed/>
    <w:rsid w:val="001E5B59"/>
    <w:pPr>
      <w:spacing w:line="240" w:lineRule="auto"/>
    </w:pPr>
    <w:rPr>
      <w:sz w:val="20"/>
      <w:szCs w:val="20"/>
    </w:rPr>
  </w:style>
  <w:style w:type="character" w:customStyle="1" w:styleId="TextodenotaderodapChar">
    <w:name w:val="Texto de nota de rodapé Char"/>
    <w:basedOn w:val="Fontepargpadro"/>
    <w:link w:val="Textodenotaderodap"/>
    <w:uiPriority w:val="99"/>
    <w:rsid w:val="001E5B59"/>
    <w:rPr>
      <w:sz w:val="20"/>
      <w:szCs w:val="20"/>
    </w:rPr>
  </w:style>
  <w:style w:type="character" w:styleId="Refdenotaderodap">
    <w:name w:val="footnote reference"/>
    <w:basedOn w:val="Fontepargpadro"/>
    <w:uiPriority w:val="99"/>
    <w:unhideWhenUsed/>
    <w:rsid w:val="001E5B59"/>
    <w:rPr>
      <w:vertAlign w:val="superscript"/>
    </w:rPr>
  </w:style>
  <w:style w:type="character" w:customStyle="1" w:styleId="Ttulo2Char">
    <w:name w:val="Título 2 Char"/>
    <w:basedOn w:val="Fontepargpadro"/>
    <w:uiPriority w:val="9"/>
    <w:rsid w:val="00D15467"/>
    <w:rPr>
      <w:rFonts w:eastAsia="SimSun"/>
      <w:bCs/>
      <w:iCs/>
      <w:szCs w:val="20"/>
    </w:rPr>
  </w:style>
  <w:style w:type="paragraph" w:styleId="PargrafodaLista">
    <w:name w:val="List Paragraph"/>
    <w:aliases w:val="Marcadores"/>
    <w:basedOn w:val="OCEBullet"/>
    <w:link w:val="PargrafodaListaChar"/>
    <w:uiPriority w:val="34"/>
    <w:qFormat/>
    <w:rsid w:val="008300D5"/>
    <w:pPr>
      <w:keepLines/>
      <w:numPr>
        <w:numId w:val="8"/>
      </w:numPr>
      <w:pBdr>
        <w:top w:val="none" w:sz="0" w:space="0" w:color="auto"/>
        <w:left w:val="none" w:sz="0" w:space="0" w:color="auto"/>
        <w:bottom w:val="none" w:sz="0" w:space="0" w:color="auto"/>
        <w:right w:val="none" w:sz="0" w:space="0" w:color="auto"/>
        <w:between w:val="none" w:sz="0" w:space="0" w:color="auto"/>
        <w:bar w:val="none" w:sz="0" w:color="auto"/>
      </w:pBdr>
    </w:pPr>
    <w:rPr>
      <w:rFonts w:asciiTheme="majorHAnsi" w:hAnsiTheme="majorHAnsi"/>
    </w:rPr>
  </w:style>
  <w:style w:type="paragraph" w:customStyle="1" w:styleId="bodytextfp">
    <w:name w:val="bodytextfp"/>
    <w:basedOn w:val="Normal"/>
    <w:rsid w:val="00884E2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odytext">
    <w:name w:val="bodytext"/>
    <w:basedOn w:val="Normal"/>
    <w:rsid w:val="00884E21"/>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Fontepargpadro"/>
    <w:uiPriority w:val="99"/>
    <w:unhideWhenUsed/>
    <w:rsid w:val="00884E21"/>
    <w:rPr>
      <w:color w:val="0000FF"/>
      <w:u w:val="single"/>
    </w:rPr>
  </w:style>
  <w:style w:type="paragraph" w:styleId="NormalWeb">
    <w:name w:val="Normal (Web)"/>
    <w:basedOn w:val="Normal"/>
    <w:uiPriority w:val="99"/>
    <w:unhideWhenUsed/>
    <w:rsid w:val="003D3786"/>
    <w:pPr>
      <w:spacing w:before="100" w:beforeAutospacing="1" w:after="100" w:afterAutospacing="1" w:line="240" w:lineRule="auto"/>
    </w:pPr>
    <w:rPr>
      <w:rFonts w:ascii="Times New Roman" w:eastAsia="Times New Roman" w:hAnsi="Times New Roman" w:cs="Times New Roman"/>
      <w:sz w:val="24"/>
      <w:szCs w:val="24"/>
    </w:rPr>
  </w:style>
  <w:style w:type="paragraph" w:styleId="Cabealho">
    <w:name w:val="header"/>
    <w:basedOn w:val="Normal"/>
    <w:link w:val="CabealhoChar"/>
    <w:uiPriority w:val="99"/>
    <w:unhideWhenUsed/>
    <w:rsid w:val="006D22FB"/>
    <w:pPr>
      <w:tabs>
        <w:tab w:val="center" w:pos="4252"/>
        <w:tab w:val="right" w:pos="8504"/>
      </w:tabs>
      <w:spacing w:line="240" w:lineRule="auto"/>
    </w:pPr>
  </w:style>
  <w:style w:type="character" w:customStyle="1" w:styleId="CabealhoChar">
    <w:name w:val="Cabeçalho Char"/>
    <w:basedOn w:val="Fontepargpadro"/>
    <w:link w:val="Cabealho"/>
    <w:uiPriority w:val="99"/>
    <w:rsid w:val="006D22FB"/>
  </w:style>
  <w:style w:type="paragraph" w:styleId="Rodap">
    <w:name w:val="footer"/>
    <w:basedOn w:val="Normal"/>
    <w:link w:val="RodapChar"/>
    <w:uiPriority w:val="99"/>
    <w:unhideWhenUsed/>
    <w:rsid w:val="006D22FB"/>
    <w:pPr>
      <w:tabs>
        <w:tab w:val="center" w:pos="4252"/>
        <w:tab w:val="right" w:pos="8504"/>
      </w:tabs>
      <w:spacing w:line="240" w:lineRule="auto"/>
    </w:pPr>
  </w:style>
  <w:style w:type="character" w:customStyle="1" w:styleId="RodapChar">
    <w:name w:val="Rodapé Char"/>
    <w:basedOn w:val="Fontepargpadro"/>
    <w:link w:val="Rodap"/>
    <w:uiPriority w:val="99"/>
    <w:rsid w:val="006D22FB"/>
  </w:style>
  <w:style w:type="character" w:styleId="Nmerodepgina">
    <w:name w:val="page number"/>
    <w:basedOn w:val="Fontepargpadro"/>
    <w:rsid w:val="00EC1648"/>
  </w:style>
  <w:style w:type="character" w:styleId="Refdecomentrio">
    <w:name w:val="annotation reference"/>
    <w:basedOn w:val="Fontepargpadro"/>
    <w:uiPriority w:val="99"/>
    <w:unhideWhenUsed/>
    <w:rsid w:val="00115DAC"/>
    <w:rPr>
      <w:sz w:val="16"/>
      <w:szCs w:val="16"/>
    </w:rPr>
  </w:style>
  <w:style w:type="paragraph" w:styleId="Textodecomentrio">
    <w:name w:val="annotation text"/>
    <w:basedOn w:val="Normal"/>
    <w:link w:val="TextodecomentrioChar"/>
    <w:uiPriority w:val="99"/>
    <w:unhideWhenUsed/>
    <w:rsid w:val="00115DAC"/>
    <w:pPr>
      <w:spacing w:line="240" w:lineRule="auto"/>
    </w:pPr>
    <w:rPr>
      <w:sz w:val="20"/>
      <w:szCs w:val="20"/>
    </w:rPr>
  </w:style>
  <w:style w:type="character" w:customStyle="1" w:styleId="TextodecomentrioChar">
    <w:name w:val="Texto de comentário Char"/>
    <w:basedOn w:val="Fontepargpadro"/>
    <w:link w:val="Textodecomentrio"/>
    <w:uiPriority w:val="99"/>
    <w:rsid w:val="00115DAC"/>
    <w:rPr>
      <w:sz w:val="20"/>
      <w:szCs w:val="20"/>
    </w:rPr>
  </w:style>
  <w:style w:type="paragraph" w:styleId="Assuntodocomentrio">
    <w:name w:val="annotation subject"/>
    <w:basedOn w:val="Textodecomentrio"/>
    <w:next w:val="Textodecomentrio"/>
    <w:link w:val="AssuntodocomentrioChar"/>
    <w:uiPriority w:val="99"/>
    <w:semiHidden/>
    <w:unhideWhenUsed/>
    <w:rsid w:val="00115DAC"/>
    <w:rPr>
      <w:b/>
      <w:bCs/>
    </w:rPr>
  </w:style>
  <w:style w:type="character" w:customStyle="1" w:styleId="AssuntodocomentrioChar">
    <w:name w:val="Assunto do comentário Char"/>
    <w:basedOn w:val="TextodecomentrioChar"/>
    <w:link w:val="Assuntodocomentrio"/>
    <w:uiPriority w:val="99"/>
    <w:semiHidden/>
    <w:rsid w:val="00115DAC"/>
    <w:rPr>
      <w:b/>
      <w:bCs/>
      <w:sz w:val="20"/>
      <w:szCs w:val="20"/>
    </w:rPr>
  </w:style>
  <w:style w:type="paragraph" w:styleId="Legenda">
    <w:name w:val="caption"/>
    <w:basedOn w:val="Normal"/>
    <w:next w:val="Normal"/>
    <w:link w:val="LegendaChar"/>
    <w:uiPriority w:val="99"/>
    <w:unhideWhenUsed/>
    <w:qFormat/>
    <w:rsid w:val="00435CF6"/>
    <w:pPr>
      <w:keepNext/>
      <w:spacing w:after="240"/>
      <w:jc w:val="center"/>
    </w:pPr>
    <w:rPr>
      <w:rFonts w:asciiTheme="majorHAnsi" w:eastAsiaTheme="minorHAnsi" w:hAnsiTheme="majorHAnsi"/>
      <w:b/>
      <w:sz w:val="20"/>
      <w:lang w:eastAsia="en-US"/>
    </w:rPr>
  </w:style>
  <w:style w:type="character" w:customStyle="1" w:styleId="Ttulo1Char">
    <w:name w:val="Título 1 Char"/>
    <w:basedOn w:val="Fontepargpadro"/>
    <w:uiPriority w:val="9"/>
    <w:rsid w:val="00CE6301"/>
    <w:rPr>
      <w:b/>
      <w:smallCaps/>
      <w:color w:val="1F497D" w:themeColor="text2"/>
      <w:sz w:val="28"/>
      <w:szCs w:val="28"/>
      <w:lang w:eastAsia="zh-CN"/>
    </w:rPr>
  </w:style>
  <w:style w:type="paragraph" w:styleId="Reviso">
    <w:name w:val="Revision"/>
    <w:hidden/>
    <w:uiPriority w:val="99"/>
    <w:semiHidden/>
    <w:rsid w:val="00ED7ABA"/>
    <w:pPr>
      <w:spacing w:after="0" w:line="240" w:lineRule="auto"/>
    </w:pPr>
  </w:style>
  <w:style w:type="character" w:customStyle="1" w:styleId="Ttulo4Char">
    <w:name w:val="Título 4 Char"/>
    <w:basedOn w:val="Fontepargpadro"/>
    <w:uiPriority w:val="9"/>
    <w:rsid w:val="00CE6301"/>
    <w:rPr>
      <w:b/>
      <w:color w:val="00B050"/>
    </w:rPr>
  </w:style>
  <w:style w:type="character" w:customStyle="1" w:styleId="Ttulo5Char">
    <w:name w:val="Título 5 Char"/>
    <w:basedOn w:val="Fontepargpadro"/>
    <w:link w:val="Ttulo5"/>
    <w:uiPriority w:val="9"/>
    <w:semiHidden/>
    <w:rsid w:val="00D21B9F"/>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semiHidden/>
    <w:rsid w:val="00D21B9F"/>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semiHidden/>
    <w:rsid w:val="00D21B9F"/>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semiHidden/>
    <w:rsid w:val="00D21B9F"/>
    <w:rPr>
      <w:rFonts w:asciiTheme="majorHAnsi" w:eastAsiaTheme="majorEastAsia" w:hAnsiTheme="majorHAnsi" w:cstheme="majorBidi"/>
      <w:color w:val="404040" w:themeColor="text1" w:themeTint="BF"/>
      <w:sz w:val="20"/>
      <w:szCs w:val="20"/>
    </w:rPr>
  </w:style>
  <w:style w:type="character" w:customStyle="1" w:styleId="Ttulo9Char">
    <w:name w:val="Título 9 Char"/>
    <w:basedOn w:val="Fontepargpadro"/>
    <w:link w:val="Ttulo9"/>
    <w:uiPriority w:val="9"/>
    <w:semiHidden/>
    <w:rsid w:val="00D21B9F"/>
    <w:rPr>
      <w:rFonts w:asciiTheme="majorHAnsi" w:eastAsiaTheme="majorEastAsia" w:hAnsiTheme="majorHAnsi" w:cstheme="majorBidi"/>
      <w:i/>
      <w:iCs/>
      <w:color w:val="404040" w:themeColor="text1" w:themeTint="BF"/>
      <w:sz w:val="20"/>
      <w:szCs w:val="20"/>
    </w:rPr>
  </w:style>
  <w:style w:type="character" w:customStyle="1" w:styleId="st1">
    <w:name w:val="st1"/>
    <w:basedOn w:val="Fontepargpadro"/>
    <w:rsid w:val="00CA1FD6"/>
  </w:style>
  <w:style w:type="character" w:styleId="HiperlinkVisitado">
    <w:name w:val="FollowedHyperlink"/>
    <w:basedOn w:val="Fontepargpadro"/>
    <w:uiPriority w:val="99"/>
    <w:semiHidden/>
    <w:unhideWhenUsed/>
    <w:rsid w:val="004B07E6"/>
    <w:rPr>
      <w:color w:val="800080" w:themeColor="followedHyperlink"/>
      <w:u w:val="single"/>
    </w:rPr>
  </w:style>
  <w:style w:type="paragraph" w:styleId="Textodenotadefim">
    <w:name w:val="endnote text"/>
    <w:basedOn w:val="Normal"/>
    <w:link w:val="TextodenotadefimChar"/>
    <w:uiPriority w:val="99"/>
    <w:semiHidden/>
    <w:unhideWhenUsed/>
    <w:rsid w:val="00714461"/>
    <w:pPr>
      <w:spacing w:before="0" w:line="240" w:lineRule="auto"/>
    </w:pPr>
    <w:rPr>
      <w:sz w:val="20"/>
      <w:szCs w:val="20"/>
    </w:rPr>
  </w:style>
  <w:style w:type="character" w:customStyle="1" w:styleId="TextodenotadefimChar">
    <w:name w:val="Texto de nota de fim Char"/>
    <w:basedOn w:val="Fontepargpadro"/>
    <w:link w:val="Textodenotadefim"/>
    <w:uiPriority w:val="99"/>
    <w:semiHidden/>
    <w:rsid w:val="00714461"/>
    <w:rPr>
      <w:sz w:val="20"/>
      <w:szCs w:val="20"/>
    </w:rPr>
  </w:style>
  <w:style w:type="character" w:styleId="Refdenotadefim">
    <w:name w:val="endnote reference"/>
    <w:basedOn w:val="Fontepargpadro"/>
    <w:uiPriority w:val="99"/>
    <w:semiHidden/>
    <w:unhideWhenUsed/>
    <w:rsid w:val="00714461"/>
    <w:rPr>
      <w:vertAlign w:val="superscript"/>
    </w:rPr>
  </w:style>
  <w:style w:type="paragraph" w:styleId="MapadoDocumento">
    <w:name w:val="Document Map"/>
    <w:basedOn w:val="Normal"/>
    <w:link w:val="MapadoDocumentoChar"/>
    <w:uiPriority w:val="99"/>
    <w:semiHidden/>
    <w:unhideWhenUsed/>
    <w:rsid w:val="00C91AD3"/>
    <w:pPr>
      <w:spacing w:before="0" w:line="240" w:lineRule="auto"/>
    </w:pPr>
    <w:rPr>
      <w:rFonts w:ascii="Lucida Grande" w:hAnsi="Lucida Grande" w:cs="Lucida Grande"/>
      <w:sz w:val="24"/>
      <w:szCs w:val="24"/>
    </w:rPr>
  </w:style>
  <w:style w:type="character" w:customStyle="1" w:styleId="MapadoDocumentoChar">
    <w:name w:val="Mapa do Documento Char"/>
    <w:basedOn w:val="Fontepargpadro"/>
    <w:link w:val="MapadoDocumento"/>
    <w:uiPriority w:val="99"/>
    <w:semiHidden/>
    <w:rsid w:val="00C91AD3"/>
    <w:rPr>
      <w:rFonts w:ascii="Lucida Grande" w:hAnsi="Lucida Grande" w:cs="Lucida Grande"/>
      <w:sz w:val="24"/>
      <w:szCs w:val="24"/>
    </w:rPr>
  </w:style>
  <w:style w:type="paragraph" w:customStyle="1" w:styleId="tit">
    <w:name w:val=". tit"/>
    <w:basedOn w:val="PargrafodaLista"/>
    <w:link w:val="titChar"/>
    <w:rsid w:val="00F103FB"/>
    <w:pPr>
      <w:numPr>
        <w:numId w:val="2"/>
      </w:numPr>
    </w:pPr>
  </w:style>
  <w:style w:type="character" w:customStyle="1" w:styleId="titChar">
    <w:name w:val=". tit Char"/>
    <w:link w:val="tit"/>
    <w:rsid w:val="00F103FB"/>
    <w:rPr>
      <w:rFonts w:asciiTheme="majorHAnsi" w:eastAsia="Calibri" w:hAnsiTheme="majorHAnsi" w:cs="Calibri"/>
      <w:color w:val="000000"/>
      <w:u w:color="000000"/>
      <w:bdr w:val="nil"/>
      <w:lang w:val="pt-PT" w:eastAsia="zh-CN"/>
    </w:rPr>
  </w:style>
  <w:style w:type="character" w:customStyle="1" w:styleId="OCPRelTitulo">
    <w:name w:val="OCP Rel Titulo"/>
    <w:rsid w:val="007919D4"/>
    <w:rPr>
      <w:u w:val="single"/>
    </w:rPr>
  </w:style>
  <w:style w:type="paragraph" w:styleId="CabealhodoSumrio">
    <w:name w:val="TOC Heading"/>
    <w:basedOn w:val="Normal"/>
    <w:next w:val="Normal"/>
    <w:uiPriority w:val="39"/>
    <w:unhideWhenUsed/>
    <w:rsid w:val="0040147E"/>
    <w:pPr>
      <w:keepNext/>
      <w:keepLines/>
      <w:tabs>
        <w:tab w:val="num" w:pos="705"/>
      </w:tabs>
      <w:spacing w:before="480" w:line="276" w:lineRule="auto"/>
      <w:ind w:left="705" w:hanging="705"/>
      <w:jc w:val="left"/>
    </w:pPr>
    <w:rPr>
      <w:rFonts w:asciiTheme="majorHAnsi" w:eastAsiaTheme="majorEastAsia" w:hAnsiTheme="majorHAnsi" w:cstheme="majorBidi"/>
      <w:bCs/>
      <w:color w:val="365F91" w:themeColor="accent1" w:themeShade="BF"/>
      <w:sz w:val="28"/>
      <w:szCs w:val="28"/>
    </w:rPr>
  </w:style>
  <w:style w:type="paragraph" w:styleId="Sumrio1">
    <w:name w:val="toc 1"/>
    <w:basedOn w:val="Normal"/>
    <w:next w:val="Normal"/>
    <w:autoRedefine/>
    <w:uiPriority w:val="39"/>
    <w:unhideWhenUsed/>
    <w:rsid w:val="009B50F4"/>
    <w:pPr>
      <w:tabs>
        <w:tab w:val="left" w:pos="390"/>
        <w:tab w:val="right" w:leader="dot" w:pos="9060"/>
      </w:tabs>
      <w:spacing w:after="120" w:line="240" w:lineRule="auto"/>
      <w:jc w:val="left"/>
    </w:pPr>
    <w:rPr>
      <w:rFonts w:ascii="Cambria" w:hAnsi="Cambria"/>
      <w:b/>
      <w:bCs/>
      <w:caps/>
      <w:noProof/>
      <w:lang w:val="en-GB"/>
    </w:rPr>
  </w:style>
  <w:style w:type="table" w:styleId="Tabelacomgrade">
    <w:name w:val="Table Grid"/>
    <w:basedOn w:val="Tabelanormal"/>
    <w:uiPriority w:val="59"/>
    <w:rsid w:val="0040147E"/>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mrio2">
    <w:name w:val="toc 2"/>
    <w:basedOn w:val="Normal"/>
    <w:next w:val="Normal"/>
    <w:autoRedefine/>
    <w:uiPriority w:val="39"/>
    <w:unhideWhenUsed/>
    <w:rsid w:val="009B50F4"/>
    <w:pPr>
      <w:spacing w:before="60" w:after="60" w:line="240" w:lineRule="auto"/>
      <w:ind w:left="425"/>
      <w:jc w:val="left"/>
    </w:pPr>
    <w:rPr>
      <w:rFonts w:ascii="Cambria" w:hAnsi="Cambria"/>
      <w:b/>
      <w:bCs/>
      <w:smallCaps/>
    </w:rPr>
  </w:style>
  <w:style w:type="table" w:customStyle="1" w:styleId="AAA">
    <w:name w:val="AAA"/>
    <w:basedOn w:val="Tabelanormal"/>
    <w:uiPriority w:val="99"/>
    <w:rsid w:val="00CC60F0"/>
    <w:pPr>
      <w:spacing w:after="0" w:line="240" w:lineRule="auto"/>
      <w:jc w:val="center"/>
    </w:pPr>
    <w:rPr>
      <w:color w:val="000000" w:themeColor="text1"/>
    </w:rPr>
    <w:tblPr>
      <w:tblStyleRowBandSize w:val="1"/>
      <w:tblBorders>
        <w:insideV w:val="single" w:sz="4" w:space="0" w:color="000000" w:themeColor="text1"/>
      </w:tblBorders>
    </w:tblPr>
    <w:tcPr>
      <w:vAlign w:val="center"/>
    </w:tcPr>
    <w:tblStylePr w:type="firstRow">
      <w:pPr>
        <w:jc w:val="center"/>
      </w:pPr>
      <w:rPr>
        <w:rFonts w:asciiTheme="minorHAnsi" w:hAnsiTheme="minorHAnsi"/>
        <w:b/>
        <w:color w:val="000000" w:themeColor="text1"/>
        <w:sz w:val="22"/>
      </w:rPr>
      <w:tblPr/>
      <w:tcPr>
        <w:tcBorders>
          <w:top w:val="nil"/>
          <w:left w:val="nil"/>
          <w:bottom w:val="single" w:sz="4" w:space="0" w:color="000000" w:themeColor="text1"/>
          <w:right w:val="nil"/>
          <w:insideH w:val="nil"/>
          <w:insideV w:val="single" w:sz="4" w:space="0" w:color="000000" w:themeColor="text1"/>
          <w:tl2br w:val="nil"/>
          <w:tr2bl w:val="nil"/>
        </w:tcBorders>
        <w:shd w:val="clear" w:color="auto" w:fill="BFBFBF" w:themeFill="background1" w:themeFillShade="BF"/>
      </w:tcPr>
    </w:tblStylePr>
    <w:tblStylePr w:type="band1Horz">
      <w:pPr>
        <w:jc w:val="center"/>
      </w:pPr>
      <w:rPr>
        <w:rFonts w:asciiTheme="minorHAnsi" w:hAnsiTheme="minorHAnsi"/>
        <w:color w:val="000000" w:themeColor="text1"/>
        <w:sz w:val="22"/>
      </w:rPr>
    </w:tblStylePr>
    <w:tblStylePr w:type="band2Horz">
      <w:pPr>
        <w:jc w:val="center"/>
      </w:pPr>
      <w:rPr>
        <w:rFonts w:asciiTheme="minorHAnsi" w:hAnsiTheme="minorHAnsi"/>
        <w:color w:val="000000" w:themeColor="text1"/>
        <w:sz w:val="22"/>
      </w:rPr>
      <w:tblPr/>
      <w:tcPr>
        <w:tcBorders>
          <w:top w:val="nil"/>
          <w:left w:val="nil"/>
          <w:bottom w:val="nil"/>
          <w:right w:val="nil"/>
          <w:insideH w:val="nil"/>
          <w:insideV w:val="single" w:sz="4" w:space="0" w:color="000000" w:themeColor="text1"/>
          <w:tl2br w:val="nil"/>
          <w:tr2bl w:val="nil"/>
        </w:tcBorders>
        <w:shd w:val="clear" w:color="auto" w:fill="F2F2F2" w:themeFill="background1" w:themeFillShade="F2"/>
      </w:tcPr>
    </w:tblStylePr>
  </w:style>
  <w:style w:type="table" w:customStyle="1" w:styleId="ListaMdia11">
    <w:name w:val="Lista Média 11"/>
    <w:basedOn w:val="Tabelanormal"/>
    <w:uiPriority w:val="65"/>
    <w:rsid w:val="00F86ADA"/>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character" w:styleId="TtulodoLivro">
    <w:name w:val="Book Title"/>
    <w:basedOn w:val="Fontepargpadro"/>
    <w:uiPriority w:val="33"/>
    <w:qFormat/>
    <w:rsid w:val="00B934F4"/>
    <w:rPr>
      <w:b/>
      <w:bCs/>
      <w:smallCaps/>
      <w:spacing w:val="5"/>
    </w:rPr>
  </w:style>
  <w:style w:type="table" w:customStyle="1" w:styleId="SombreamentoClaro1">
    <w:name w:val="Sombreamento Claro1"/>
    <w:basedOn w:val="Tabelanormal"/>
    <w:uiPriority w:val="60"/>
    <w:rsid w:val="00537094"/>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Ttulo2Char1">
    <w:name w:val="Título 2 Char1"/>
    <w:basedOn w:val="Fontepargpadro"/>
    <w:uiPriority w:val="9"/>
    <w:rsid w:val="00CE6301"/>
    <w:rPr>
      <w:b/>
      <w:smallCaps/>
      <w:color w:val="1F497D" w:themeColor="text2"/>
      <w:sz w:val="24"/>
      <w:szCs w:val="24"/>
      <w:lang w:eastAsia="zh-CN"/>
    </w:rPr>
  </w:style>
  <w:style w:type="numbering" w:customStyle="1" w:styleId="Estilo3">
    <w:name w:val="Estilo3"/>
    <w:uiPriority w:val="99"/>
    <w:rsid w:val="00D0170C"/>
    <w:pPr>
      <w:numPr>
        <w:numId w:val="3"/>
      </w:numPr>
    </w:pPr>
  </w:style>
  <w:style w:type="paragraph" w:styleId="SemEspaamento">
    <w:name w:val="No Spacing"/>
    <w:basedOn w:val="Normal"/>
    <w:link w:val="SemEspaamentoChar"/>
    <w:uiPriority w:val="1"/>
    <w:qFormat/>
    <w:rsid w:val="00353B35"/>
    <w:pPr>
      <w:spacing w:before="0" w:line="240" w:lineRule="auto"/>
      <w:jc w:val="center"/>
    </w:pPr>
    <w:rPr>
      <w:rFonts w:ascii="Calibri" w:hAnsi="Calibri"/>
    </w:rPr>
  </w:style>
  <w:style w:type="table" w:customStyle="1" w:styleId="Ocean">
    <w:name w:val="Ocean"/>
    <w:basedOn w:val="Tabelanormal"/>
    <w:uiPriority w:val="99"/>
    <w:qFormat/>
    <w:rsid w:val="00690B8B"/>
    <w:pPr>
      <w:spacing w:after="0" w:line="240" w:lineRule="auto"/>
      <w:jc w:val="center"/>
    </w:pPr>
    <w:tblPr>
      <w:tblStyleRowBandSize w:val="1"/>
      <w:tblBorders>
        <w:top w:val="single" w:sz="12" w:space="0" w:color="FFFFFF" w:themeColor="background1"/>
        <w:insideH w:val="single" w:sz="18" w:space="0" w:color="FFFFFF" w:themeColor="background1"/>
        <w:insideV w:val="single" w:sz="18" w:space="0" w:color="FFFFFF" w:themeColor="background1"/>
      </w:tblBorders>
    </w:tblPr>
    <w:tcPr>
      <w:vAlign w:val="center"/>
    </w:tcPr>
    <w:tblStylePr w:type="firstRow">
      <w:pPr>
        <w:jc w:val="center"/>
      </w:pPr>
      <w:rPr>
        <w:rFonts w:ascii="Calibri" w:hAnsi="Calibri"/>
        <w:b/>
        <w:color w:val="FFFFFF" w:themeColor="background1"/>
        <w:sz w:val="22"/>
      </w:rPr>
      <w:tblPr/>
      <w:tcPr>
        <w:tcBorders>
          <w:top w:val="nil"/>
          <w:left w:val="nil"/>
          <w:bottom w:val="single" w:sz="12" w:space="0" w:color="FFFFFF" w:themeColor="background1"/>
          <w:right w:val="nil"/>
          <w:insideH w:val="single" w:sz="12" w:space="0" w:color="FFFFFF" w:themeColor="background1"/>
          <w:insideV w:val="single" w:sz="12" w:space="0" w:color="FFFFFF" w:themeColor="background1"/>
          <w:tl2br w:val="nil"/>
          <w:tr2bl w:val="nil"/>
        </w:tcBorders>
        <w:shd w:val="clear" w:color="auto" w:fill="17365D" w:themeFill="text2" w:themeFillShade="BF"/>
      </w:tcPr>
    </w:tblStylePr>
    <w:tblStylePr w:type="band1Horz">
      <w:rPr>
        <w:rFonts w:ascii="Calibri" w:hAnsi="Calibri"/>
        <w:b w:val="0"/>
        <w:sz w:val="22"/>
      </w:rPr>
      <w:tblPr/>
      <w:tcPr>
        <w:tcBorders>
          <w:top w:val="nil"/>
          <w:left w:val="nil"/>
          <w:bottom w:val="single" w:sz="12" w:space="0" w:color="FFFFFF" w:themeColor="background1"/>
          <w:right w:val="nil"/>
          <w:insideH w:val="single" w:sz="12" w:space="0" w:color="FFFFFF" w:themeColor="background1"/>
          <w:insideV w:val="single" w:sz="12" w:space="0" w:color="FFFFFF" w:themeColor="background1"/>
          <w:tl2br w:val="nil"/>
          <w:tr2bl w:val="nil"/>
        </w:tcBorders>
        <w:shd w:val="clear" w:color="auto" w:fill="D9D9D9" w:themeFill="background1" w:themeFillShade="D9"/>
      </w:tcPr>
    </w:tblStylePr>
    <w:tblStylePr w:type="band2Horz">
      <w:pPr>
        <w:jc w:val="center"/>
      </w:pPr>
      <w:tblPr/>
      <w:tcPr>
        <w:tcBorders>
          <w:top w:val="nil"/>
          <w:left w:val="nil"/>
          <w:bottom w:val="single" w:sz="12" w:space="0" w:color="FFFFFF" w:themeColor="background1"/>
          <w:right w:val="nil"/>
          <w:insideH w:val="single" w:sz="12" w:space="0" w:color="FFFFFF" w:themeColor="background1"/>
          <w:insideV w:val="single" w:sz="12" w:space="0" w:color="FFFFFF" w:themeColor="background1"/>
          <w:tl2br w:val="nil"/>
          <w:tr2bl w:val="nil"/>
        </w:tcBorders>
        <w:shd w:val="clear" w:color="auto" w:fill="D9D9D9" w:themeFill="background1" w:themeFillShade="D9"/>
      </w:tcPr>
    </w:tblStylePr>
  </w:style>
  <w:style w:type="paragraph" w:styleId="ndicedeilustraes">
    <w:name w:val="table of figures"/>
    <w:basedOn w:val="Normal"/>
    <w:next w:val="Normal"/>
    <w:link w:val="ndicedeilustraesChar"/>
    <w:uiPriority w:val="99"/>
    <w:unhideWhenUsed/>
    <w:qFormat/>
    <w:rsid w:val="00FC10A8"/>
    <w:pPr>
      <w:spacing w:before="0"/>
      <w:jc w:val="left"/>
    </w:pPr>
    <w:rPr>
      <w:rFonts w:asciiTheme="majorHAnsi" w:hAnsiTheme="majorHAnsi"/>
      <w:i/>
      <w:iCs/>
      <w:szCs w:val="20"/>
    </w:rPr>
  </w:style>
  <w:style w:type="paragraph" w:styleId="Sumrio3">
    <w:name w:val="toc 3"/>
    <w:basedOn w:val="Normal"/>
    <w:next w:val="Normal"/>
    <w:autoRedefine/>
    <w:uiPriority w:val="39"/>
    <w:unhideWhenUsed/>
    <w:rsid w:val="009B50F4"/>
    <w:pPr>
      <w:spacing w:before="0"/>
      <w:ind w:left="567"/>
      <w:jc w:val="left"/>
    </w:pPr>
    <w:rPr>
      <w:rFonts w:ascii="Cambria" w:hAnsi="Cambria"/>
      <w:b/>
      <w:smallCaps/>
    </w:rPr>
  </w:style>
  <w:style w:type="character" w:customStyle="1" w:styleId="ExplicaoChar">
    <w:name w:val="Explicação Char"/>
    <w:basedOn w:val="Fontepargpadro"/>
    <w:rsid w:val="00264972"/>
    <w:rPr>
      <w:color w:val="1F497D" w:themeColor="text2"/>
      <w:lang w:eastAsia="zh-CN"/>
    </w:rPr>
  </w:style>
  <w:style w:type="paragraph" w:customStyle="1" w:styleId="Texto">
    <w:name w:val="Texto"/>
    <w:basedOn w:val="Normal"/>
    <w:link w:val="TextoChar"/>
    <w:qFormat/>
    <w:rsid w:val="00DA4EF4"/>
    <w:pPr>
      <w:spacing w:before="0" w:after="240"/>
    </w:pPr>
    <w:rPr>
      <w:rFonts w:cstheme="minorHAnsi"/>
      <w:szCs w:val="20"/>
    </w:rPr>
  </w:style>
  <w:style w:type="character" w:customStyle="1" w:styleId="ndicedeilustraesChar">
    <w:name w:val="Índice de ilustrações Char"/>
    <w:basedOn w:val="Fontepargpadro"/>
    <w:link w:val="ndicedeilustraes"/>
    <w:uiPriority w:val="99"/>
    <w:rsid w:val="00FC10A8"/>
    <w:rPr>
      <w:rFonts w:asciiTheme="majorHAnsi" w:hAnsiTheme="majorHAnsi"/>
      <w:i/>
      <w:iCs/>
      <w:szCs w:val="20"/>
    </w:rPr>
  </w:style>
  <w:style w:type="character" w:customStyle="1" w:styleId="NegritoVersaleteChar">
    <w:name w:val="NegritoVersalete Char"/>
    <w:basedOn w:val="ndicedeilustraesChar"/>
    <w:rsid w:val="00224F15"/>
    <w:rPr>
      <w:rFonts w:asciiTheme="majorHAnsi" w:hAnsiTheme="majorHAnsi"/>
      <w:b/>
      <w:i/>
      <w:iCs/>
      <w:smallCaps/>
      <w:color w:val="1F497D" w:themeColor="text2"/>
      <w:sz w:val="28"/>
      <w:szCs w:val="20"/>
    </w:rPr>
  </w:style>
  <w:style w:type="paragraph" w:customStyle="1" w:styleId="CabRod">
    <w:name w:val="CabRod"/>
    <w:basedOn w:val="Cabealho"/>
    <w:link w:val="CabRodChar"/>
    <w:qFormat/>
    <w:rsid w:val="000725F9"/>
    <w:pPr>
      <w:spacing w:before="0" w:line="276" w:lineRule="auto"/>
      <w:jc w:val="center"/>
    </w:pPr>
    <w:rPr>
      <w:sz w:val="20"/>
    </w:rPr>
  </w:style>
  <w:style w:type="character" w:customStyle="1" w:styleId="TextoChar">
    <w:name w:val="Texto Char"/>
    <w:basedOn w:val="Fontepargpadro"/>
    <w:link w:val="Texto"/>
    <w:rsid w:val="00DA4EF4"/>
    <w:rPr>
      <w:rFonts w:cstheme="minorHAnsi"/>
      <w:szCs w:val="20"/>
    </w:rPr>
  </w:style>
  <w:style w:type="paragraph" w:customStyle="1" w:styleId="TextoTabela">
    <w:name w:val="TextoTabela"/>
    <w:basedOn w:val="Texto"/>
    <w:link w:val="TextoTabelaChar"/>
    <w:qFormat/>
    <w:rsid w:val="00572F61"/>
    <w:pPr>
      <w:spacing w:after="0"/>
    </w:pPr>
    <w:rPr>
      <w:rFonts w:ascii="Calibri" w:hAnsi="Calibri"/>
    </w:rPr>
  </w:style>
  <w:style w:type="character" w:customStyle="1" w:styleId="CabRodChar">
    <w:name w:val="CabRod Char"/>
    <w:basedOn w:val="CabealhoChar"/>
    <w:link w:val="CabRod"/>
    <w:rsid w:val="000725F9"/>
    <w:rPr>
      <w:sz w:val="20"/>
    </w:rPr>
  </w:style>
  <w:style w:type="paragraph" w:customStyle="1" w:styleId="TtuloTabela">
    <w:name w:val="TítuloTabela"/>
    <w:basedOn w:val="Normal"/>
    <w:link w:val="TtuloTabelaChar"/>
    <w:qFormat/>
    <w:rsid w:val="00572F61"/>
    <w:pPr>
      <w:spacing w:before="0" w:line="240" w:lineRule="auto"/>
      <w:jc w:val="left"/>
    </w:pPr>
    <w:rPr>
      <w:rFonts w:ascii="Calibri" w:hAnsi="Calibri" w:cstheme="minorHAnsi"/>
      <w:b/>
      <w:color w:val="FFFFFF" w:themeColor="background1"/>
      <w:sz w:val="20"/>
      <w:szCs w:val="20"/>
    </w:rPr>
  </w:style>
  <w:style w:type="character" w:customStyle="1" w:styleId="SemEspaamentoChar">
    <w:name w:val="Sem Espaçamento Char"/>
    <w:basedOn w:val="Fontepargpadro"/>
    <w:link w:val="SemEspaamento"/>
    <w:uiPriority w:val="1"/>
    <w:rsid w:val="00BC2835"/>
    <w:rPr>
      <w:rFonts w:ascii="Calibri" w:hAnsi="Calibri"/>
    </w:rPr>
  </w:style>
  <w:style w:type="character" w:customStyle="1" w:styleId="TextoTabelaChar">
    <w:name w:val="TextoTabela Char"/>
    <w:basedOn w:val="SemEspaamentoChar"/>
    <w:link w:val="TextoTabela"/>
    <w:rsid w:val="00572F61"/>
    <w:rPr>
      <w:rFonts w:ascii="Calibri" w:hAnsi="Calibri" w:cstheme="minorHAnsi"/>
      <w:szCs w:val="20"/>
    </w:rPr>
  </w:style>
  <w:style w:type="character" w:styleId="Forte">
    <w:name w:val="Strong"/>
    <w:aliases w:val="Negrito"/>
    <w:basedOn w:val="Fontepargpadro"/>
    <w:uiPriority w:val="22"/>
    <w:qFormat/>
    <w:rsid w:val="00CC23A7"/>
    <w:rPr>
      <w:b/>
      <w:bCs/>
    </w:rPr>
  </w:style>
  <w:style w:type="character" w:customStyle="1" w:styleId="TtuloTabelaChar">
    <w:name w:val="TítuloTabela Char"/>
    <w:basedOn w:val="SemEspaamentoChar"/>
    <w:link w:val="TtuloTabela"/>
    <w:rsid w:val="00572F61"/>
    <w:rPr>
      <w:rFonts w:ascii="Calibri" w:hAnsi="Calibri" w:cstheme="minorHAnsi"/>
      <w:b/>
      <w:color w:val="FFFFFF" w:themeColor="background1"/>
      <w:sz w:val="20"/>
      <w:szCs w:val="20"/>
    </w:rPr>
  </w:style>
  <w:style w:type="character" w:customStyle="1" w:styleId="Ttulo1Char1">
    <w:name w:val="Título 1 Char1"/>
    <w:basedOn w:val="Fontepargpadro"/>
    <w:link w:val="Ttulo1"/>
    <w:uiPriority w:val="9"/>
    <w:rsid w:val="001B401C"/>
    <w:rPr>
      <w:rFonts w:asciiTheme="majorHAnsi" w:eastAsia="Times New Roman" w:hAnsiTheme="majorHAnsi" w:cstheme="majorBidi"/>
      <w:b/>
      <w:bCs/>
      <w:caps/>
      <w:color w:val="17365D"/>
      <w:sz w:val="28"/>
      <w:szCs w:val="28"/>
      <w:lang w:val="en-GB"/>
    </w:rPr>
  </w:style>
  <w:style w:type="character" w:customStyle="1" w:styleId="Ttulo2Char2">
    <w:name w:val="Título 2 Char2"/>
    <w:basedOn w:val="Fontepargpadro"/>
    <w:link w:val="Ttulo2"/>
    <w:uiPriority w:val="9"/>
    <w:rsid w:val="001B401C"/>
    <w:rPr>
      <w:rFonts w:asciiTheme="majorHAnsi" w:eastAsia="Times New Roman" w:hAnsiTheme="majorHAnsi" w:cstheme="majorBidi"/>
      <w:b/>
      <w:bCs/>
      <w:caps/>
      <w:sz w:val="28"/>
      <w:szCs w:val="28"/>
      <w:lang w:val="en-GB"/>
    </w:rPr>
  </w:style>
  <w:style w:type="character" w:customStyle="1" w:styleId="Ttulo3Char1">
    <w:name w:val="Título 3 Char1"/>
    <w:basedOn w:val="Fontepargpadro"/>
    <w:link w:val="Ttulo3"/>
    <w:uiPriority w:val="9"/>
    <w:rsid w:val="001B401C"/>
    <w:rPr>
      <w:rFonts w:asciiTheme="majorHAnsi" w:eastAsia="Times New Roman" w:hAnsiTheme="majorHAnsi" w:cstheme="majorBidi"/>
      <w:b/>
      <w:bCs/>
      <w:caps/>
      <w:sz w:val="28"/>
      <w:szCs w:val="28"/>
      <w:lang w:val="en-GB"/>
    </w:rPr>
  </w:style>
  <w:style w:type="character" w:customStyle="1" w:styleId="Ttulo4Char1">
    <w:name w:val="Título 4 Char1"/>
    <w:aliases w:val="Subseção Char"/>
    <w:basedOn w:val="Fontepargpadro"/>
    <w:link w:val="Ttulo4"/>
    <w:uiPriority w:val="9"/>
    <w:rsid w:val="00572F61"/>
    <w:rPr>
      <w:b/>
      <w:color w:val="00B050"/>
    </w:rPr>
  </w:style>
  <w:style w:type="paragraph" w:customStyle="1" w:styleId="Indices">
    <w:name w:val="Indices"/>
    <w:basedOn w:val="Normal"/>
    <w:link w:val="IndicesChar"/>
    <w:qFormat/>
    <w:rsid w:val="00DA4EF4"/>
    <w:pPr>
      <w:jc w:val="center"/>
    </w:pPr>
    <w:rPr>
      <w:b/>
      <w:smallCaps/>
      <w:color w:val="1F497D" w:themeColor="text2"/>
      <w:sz w:val="28"/>
    </w:rPr>
  </w:style>
  <w:style w:type="paragraph" w:customStyle="1" w:styleId="CabSubtitulo">
    <w:name w:val="CabSubtitulo"/>
    <w:basedOn w:val="CabRod"/>
    <w:link w:val="CabSubtituloChar"/>
    <w:qFormat/>
    <w:rsid w:val="00DA4EF4"/>
    <w:rPr>
      <w:i/>
    </w:rPr>
  </w:style>
  <w:style w:type="character" w:customStyle="1" w:styleId="IndicesChar">
    <w:name w:val="Indices Char"/>
    <w:basedOn w:val="Fontepargpadro"/>
    <w:link w:val="Indices"/>
    <w:rsid w:val="00DA4EF4"/>
    <w:rPr>
      <w:b/>
      <w:smallCaps/>
      <w:color w:val="1F497D" w:themeColor="text2"/>
      <w:sz w:val="28"/>
    </w:rPr>
  </w:style>
  <w:style w:type="character" w:customStyle="1" w:styleId="CabSubtituloChar">
    <w:name w:val="CabSubtitulo Char"/>
    <w:basedOn w:val="CabRodChar"/>
    <w:link w:val="CabSubtitulo"/>
    <w:rsid w:val="00DA4EF4"/>
    <w:rPr>
      <w:i/>
      <w:sz w:val="20"/>
    </w:rPr>
  </w:style>
  <w:style w:type="character" w:customStyle="1" w:styleId="apple-converted-space">
    <w:name w:val="apple-converted-space"/>
    <w:basedOn w:val="Fontepargpadro"/>
    <w:rsid w:val="00451416"/>
  </w:style>
  <w:style w:type="paragraph" w:customStyle="1" w:styleId="Default">
    <w:name w:val="Default"/>
    <w:link w:val="DefaultChar"/>
    <w:rsid w:val="00BF1560"/>
    <w:pPr>
      <w:autoSpaceDE w:val="0"/>
      <w:autoSpaceDN w:val="0"/>
      <w:adjustRightInd w:val="0"/>
      <w:spacing w:after="0" w:line="240" w:lineRule="auto"/>
    </w:pPr>
    <w:rPr>
      <w:rFonts w:ascii="Calibri" w:hAnsi="Calibri" w:cs="Calibri"/>
      <w:color w:val="000000"/>
      <w:sz w:val="24"/>
      <w:szCs w:val="24"/>
    </w:rPr>
  </w:style>
  <w:style w:type="paragraph" w:styleId="Sumrio4">
    <w:name w:val="toc 4"/>
    <w:basedOn w:val="Normal"/>
    <w:next w:val="Normal"/>
    <w:autoRedefine/>
    <w:uiPriority w:val="39"/>
    <w:unhideWhenUsed/>
    <w:rsid w:val="009B50F4"/>
    <w:pPr>
      <w:spacing w:before="0"/>
      <w:ind w:left="709"/>
      <w:jc w:val="left"/>
    </w:pPr>
    <w:rPr>
      <w:rFonts w:ascii="Cambria" w:hAnsi="Cambria"/>
    </w:rPr>
  </w:style>
  <w:style w:type="paragraph" w:styleId="Sumrio5">
    <w:name w:val="toc 5"/>
    <w:basedOn w:val="Normal"/>
    <w:next w:val="Normal"/>
    <w:autoRedefine/>
    <w:uiPriority w:val="39"/>
    <w:unhideWhenUsed/>
    <w:rsid w:val="00C31723"/>
    <w:pPr>
      <w:spacing w:before="0"/>
      <w:jc w:val="left"/>
    </w:pPr>
  </w:style>
  <w:style w:type="paragraph" w:styleId="Sumrio6">
    <w:name w:val="toc 6"/>
    <w:basedOn w:val="Normal"/>
    <w:next w:val="Normal"/>
    <w:autoRedefine/>
    <w:uiPriority w:val="39"/>
    <w:unhideWhenUsed/>
    <w:rsid w:val="00C31723"/>
    <w:pPr>
      <w:spacing w:before="0"/>
      <w:jc w:val="left"/>
    </w:pPr>
  </w:style>
  <w:style w:type="paragraph" w:styleId="Sumrio7">
    <w:name w:val="toc 7"/>
    <w:basedOn w:val="Normal"/>
    <w:next w:val="Normal"/>
    <w:autoRedefine/>
    <w:uiPriority w:val="39"/>
    <w:unhideWhenUsed/>
    <w:rsid w:val="00C31723"/>
    <w:pPr>
      <w:spacing w:before="0"/>
      <w:jc w:val="left"/>
    </w:pPr>
  </w:style>
  <w:style w:type="paragraph" w:styleId="Sumrio8">
    <w:name w:val="toc 8"/>
    <w:basedOn w:val="Normal"/>
    <w:next w:val="Normal"/>
    <w:autoRedefine/>
    <w:uiPriority w:val="39"/>
    <w:unhideWhenUsed/>
    <w:rsid w:val="00C31723"/>
    <w:pPr>
      <w:spacing w:before="0"/>
      <w:jc w:val="left"/>
    </w:pPr>
  </w:style>
  <w:style w:type="paragraph" w:styleId="Sumrio9">
    <w:name w:val="toc 9"/>
    <w:basedOn w:val="Normal"/>
    <w:next w:val="Normal"/>
    <w:autoRedefine/>
    <w:uiPriority w:val="39"/>
    <w:unhideWhenUsed/>
    <w:rsid w:val="00C31723"/>
    <w:pPr>
      <w:spacing w:before="0"/>
      <w:jc w:val="left"/>
    </w:pPr>
  </w:style>
  <w:style w:type="character" w:customStyle="1" w:styleId="PargrafodaListaChar">
    <w:name w:val="Parágrafo da Lista Char"/>
    <w:aliases w:val="Marcadores Char"/>
    <w:basedOn w:val="Fontepargpadro"/>
    <w:link w:val="PargrafodaLista"/>
    <w:uiPriority w:val="34"/>
    <w:rsid w:val="008300D5"/>
    <w:rPr>
      <w:rFonts w:asciiTheme="majorHAnsi" w:eastAsia="Calibri" w:hAnsiTheme="majorHAnsi" w:cs="Calibri"/>
      <w:color w:val="000000"/>
      <w:u w:color="000000"/>
      <w:bdr w:val="nil"/>
      <w:lang w:val="pt-PT" w:eastAsia="zh-CN"/>
    </w:rPr>
  </w:style>
  <w:style w:type="paragraph" w:customStyle="1" w:styleId="Titulo1-PPLC">
    <w:name w:val="Titulo1-PPLC"/>
    <w:basedOn w:val="ndicedeilustraes"/>
    <w:qFormat/>
    <w:rsid w:val="00641FD8"/>
    <w:pPr>
      <w:tabs>
        <w:tab w:val="right" w:leader="underscore" w:pos="9060"/>
      </w:tabs>
    </w:pPr>
  </w:style>
  <w:style w:type="paragraph" w:customStyle="1" w:styleId="OCPRelTexto">
    <w:name w:val="OCP Rel Texto"/>
    <w:basedOn w:val="Normal"/>
    <w:qFormat/>
    <w:rsid w:val="00260987"/>
    <w:pPr>
      <w:spacing w:before="40"/>
      <w:jc w:val="left"/>
    </w:pPr>
    <w:rPr>
      <w:rFonts w:ascii="Trebuchet MS" w:eastAsia="Times New Roman" w:hAnsi="Trebuchet MS" w:cs="Times New Roman"/>
      <w:color w:val="000000"/>
      <w:sz w:val="20"/>
      <w:szCs w:val="20"/>
      <w:lang w:val="en-US" w:eastAsia="en-US"/>
    </w:rPr>
  </w:style>
  <w:style w:type="character" w:customStyle="1" w:styleId="A9">
    <w:name w:val="A9"/>
    <w:uiPriority w:val="99"/>
    <w:rsid w:val="009325B0"/>
    <w:rPr>
      <w:i/>
      <w:iCs/>
      <w:color w:val="000000"/>
      <w:sz w:val="18"/>
      <w:szCs w:val="18"/>
    </w:rPr>
  </w:style>
  <w:style w:type="paragraph" w:customStyle="1" w:styleId="Ttulo4OdB">
    <w:name w:val="Título 4_OdB"/>
    <w:basedOn w:val="Ttulo3"/>
    <w:link w:val="Ttulo4OdBChar"/>
    <w:qFormat/>
    <w:rsid w:val="00696B56"/>
    <w:pPr>
      <w:numPr>
        <w:ilvl w:val="3"/>
        <w:numId w:val="4"/>
      </w:numPr>
    </w:pPr>
  </w:style>
  <w:style w:type="character" w:customStyle="1" w:styleId="Ttulo4OdBChar">
    <w:name w:val="Título 4_OdB Char"/>
    <w:basedOn w:val="Ttulo3Char1"/>
    <w:link w:val="Ttulo4OdB"/>
    <w:rsid w:val="00696B56"/>
    <w:rPr>
      <w:rFonts w:asciiTheme="majorHAnsi" w:eastAsia="Times New Roman" w:hAnsiTheme="majorHAnsi" w:cstheme="majorBidi"/>
      <w:b/>
      <w:bCs/>
      <w:caps/>
      <w:smallCaps w:val="0"/>
      <w:sz w:val="28"/>
      <w:szCs w:val="28"/>
      <w:lang w:val="en-GB"/>
    </w:rPr>
  </w:style>
  <w:style w:type="character" w:customStyle="1" w:styleId="shorttext">
    <w:name w:val="short_text"/>
    <w:basedOn w:val="Fontepargpadro"/>
    <w:rsid w:val="00445A5E"/>
  </w:style>
  <w:style w:type="paragraph" w:customStyle="1" w:styleId="semespaamento0">
    <w:name w:val="sem espaçamento"/>
    <w:basedOn w:val="Normal"/>
    <w:link w:val="semespaamentoChar0"/>
    <w:qFormat/>
    <w:rsid w:val="000F3DA6"/>
    <w:pPr>
      <w:spacing w:before="0" w:line="240" w:lineRule="auto"/>
    </w:pPr>
    <w:rPr>
      <w:rFonts w:ascii="Calibri" w:eastAsia="Times New Roman" w:hAnsi="Calibri" w:cs="Calibri"/>
      <w:b/>
      <w:sz w:val="18"/>
      <w:szCs w:val="18"/>
      <w:lang w:val="en-US"/>
    </w:rPr>
  </w:style>
  <w:style w:type="character" w:customStyle="1" w:styleId="semespaamentoChar0">
    <w:name w:val="sem espaçamento Char"/>
    <w:link w:val="semespaamento0"/>
    <w:rsid w:val="000F3DA6"/>
    <w:rPr>
      <w:rFonts w:ascii="Calibri" w:eastAsia="Times New Roman" w:hAnsi="Calibri" w:cs="Calibri"/>
      <w:b/>
      <w:sz w:val="18"/>
      <w:szCs w:val="18"/>
      <w:lang w:val="en-US"/>
    </w:rPr>
  </w:style>
  <w:style w:type="paragraph" w:customStyle="1" w:styleId="Titulo1WOB">
    <w:name w:val="Titulo 1 WOB"/>
    <w:basedOn w:val="Normal"/>
    <w:link w:val="Titulo1WOBChar"/>
    <w:qFormat/>
    <w:rsid w:val="000F3DA6"/>
    <w:pPr>
      <w:numPr>
        <w:numId w:val="6"/>
      </w:numPr>
      <w:spacing w:before="360" w:after="120" w:line="276" w:lineRule="auto"/>
      <w:contextualSpacing/>
      <w:jc w:val="left"/>
    </w:pPr>
    <w:rPr>
      <w:rFonts w:asciiTheme="majorHAnsi" w:eastAsia="Times New Roman" w:hAnsiTheme="majorHAnsi" w:cs="Times New Roman"/>
      <w:b/>
      <w:caps/>
      <w:color w:val="17365D"/>
      <w:sz w:val="32"/>
      <w:szCs w:val="32"/>
      <w:lang w:eastAsia="en-US"/>
    </w:rPr>
  </w:style>
  <w:style w:type="paragraph" w:customStyle="1" w:styleId="Titulo2WOB">
    <w:name w:val="Titulo 2 WOB"/>
    <w:basedOn w:val="Titulo1WOB"/>
    <w:link w:val="Titulo2WOBChar"/>
    <w:qFormat/>
    <w:rsid w:val="000F3DA6"/>
    <w:pPr>
      <w:numPr>
        <w:ilvl w:val="1"/>
      </w:numPr>
      <w:tabs>
        <w:tab w:val="left" w:pos="993"/>
      </w:tabs>
      <w:spacing w:before="240"/>
      <w:ind w:left="567" w:hanging="567"/>
    </w:pPr>
    <w:rPr>
      <w:caps w:val="0"/>
    </w:rPr>
  </w:style>
  <w:style w:type="character" w:customStyle="1" w:styleId="Titulo2WOBChar">
    <w:name w:val="Titulo 2 WOB Char"/>
    <w:link w:val="Titulo2WOB"/>
    <w:rsid w:val="000F3DA6"/>
    <w:rPr>
      <w:rFonts w:asciiTheme="majorHAnsi" w:eastAsia="Times New Roman" w:hAnsiTheme="majorHAnsi" w:cs="Times New Roman"/>
      <w:b/>
      <w:color w:val="17365D"/>
      <w:sz w:val="32"/>
      <w:szCs w:val="32"/>
      <w:lang w:eastAsia="en-US"/>
    </w:rPr>
  </w:style>
  <w:style w:type="paragraph" w:customStyle="1" w:styleId="Titulo3WOB">
    <w:name w:val="Titulo 3 WOB"/>
    <w:basedOn w:val="Titulo1WOB"/>
    <w:link w:val="Titulo3WOBChar"/>
    <w:qFormat/>
    <w:rsid w:val="000F3DA6"/>
    <w:pPr>
      <w:numPr>
        <w:ilvl w:val="2"/>
      </w:numPr>
      <w:tabs>
        <w:tab w:val="left" w:pos="993"/>
      </w:tabs>
      <w:spacing w:before="240"/>
      <w:ind w:hanging="6458"/>
    </w:pPr>
    <w:rPr>
      <w:b w:val="0"/>
      <w:caps w:val="0"/>
    </w:rPr>
  </w:style>
  <w:style w:type="paragraph" w:customStyle="1" w:styleId="Titulo4WOB">
    <w:name w:val="Titulo 4 WOB"/>
    <w:basedOn w:val="Titulo3WOB"/>
    <w:qFormat/>
    <w:rsid w:val="000F3DA6"/>
    <w:pPr>
      <w:numPr>
        <w:ilvl w:val="3"/>
      </w:numPr>
      <w:ind w:left="992" w:hanging="992"/>
    </w:pPr>
  </w:style>
  <w:style w:type="paragraph" w:customStyle="1" w:styleId="Titulo5WOB">
    <w:name w:val="Titulo 5 WOB"/>
    <w:basedOn w:val="Titulo4WOB"/>
    <w:qFormat/>
    <w:rsid w:val="000F3DA6"/>
  </w:style>
  <w:style w:type="paragraph" w:customStyle="1" w:styleId="Corpo">
    <w:name w:val="Corpo"/>
    <w:rsid w:val="00F6044C"/>
    <w:pPr>
      <w:pBdr>
        <w:top w:val="nil"/>
        <w:left w:val="nil"/>
        <w:bottom w:val="nil"/>
        <w:right w:val="nil"/>
        <w:between w:val="nil"/>
        <w:bar w:val="nil"/>
      </w:pBdr>
      <w:spacing w:after="0" w:line="240" w:lineRule="auto"/>
    </w:pPr>
    <w:rPr>
      <w:rFonts w:ascii="Arial" w:eastAsia="Arial Unicode MS" w:hAnsi="Arial Unicode MS" w:cs="Arial Unicode MS"/>
      <w:color w:val="000000"/>
      <w:sz w:val="24"/>
      <w:szCs w:val="24"/>
      <w:u w:color="000000"/>
      <w:bdr w:val="nil"/>
      <w:lang w:val="pt-PT" w:eastAsia="zh-CN"/>
    </w:rPr>
  </w:style>
  <w:style w:type="paragraph" w:customStyle="1" w:styleId="TableParagraph">
    <w:name w:val="Table Paragraph"/>
    <w:basedOn w:val="Normal"/>
    <w:uiPriority w:val="1"/>
    <w:qFormat/>
    <w:rsid w:val="00F6044C"/>
    <w:pPr>
      <w:widowControl w:val="0"/>
      <w:spacing w:before="0" w:line="240" w:lineRule="auto"/>
      <w:jc w:val="left"/>
    </w:pPr>
    <w:rPr>
      <w:rFonts w:eastAsiaTheme="minorHAnsi"/>
      <w:lang w:val="en-US" w:eastAsia="en-US"/>
    </w:rPr>
  </w:style>
  <w:style w:type="paragraph" w:customStyle="1" w:styleId="TITULOTAB">
    <w:name w:val="TITULO TAB"/>
    <w:basedOn w:val="TtuloTabela"/>
    <w:link w:val="TITULOTABChar"/>
    <w:qFormat/>
    <w:rsid w:val="00F6044C"/>
    <w:pPr>
      <w:pBdr>
        <w:top w:val="nil"/>
        <w:left w:val="nil"/>
        <w:bottom w:val="nil"/>
        <w:right w:val="nil"/>
        <w:between w:val="nil"/>
        <w:bar w:val="nil"/>
      </w:pBdr>
    </w:pPr>
    <w:rPr>
      <w:rFonts w:ascii="Cambria" w:hAnsi="Cambria"/>
      <w:lang w:val="en-GB"/>
    </w:rPr>
  </w:style>
  <w:style w:type="character" w:customStyle="1" w:styleId="TITULOTABChar">
    <w:name w:val="TITULO TAB Char"/>
    <w:basedOn w:val="TtuloTabelaChar"/>
    <w:link w:val="TITULOTAB"/>
    <w:rsid w:val="00F6044C"/>
    <w:rPr>
      <w:rFonts w:ascii="Cambria" w:hAnsi="Cambria" w:cstheme="minorHAnsi"/>
      <w:b/>
      <w:color w:val="FFFFFF" w:themeColor="background1"/>
      <w:sz w:val="20"/>
      <w:szCs w:val="20"/>
      <w:lang w:val="en-GB"/>
    </w:rPr>
  </w:style>
  <w:style w:type="paragraph" w:customStyle="1" w:styleId="tier1Itext">
    <w:name w:val="tier 1 (I) text"/>
    <w:link w:val="tier1ItextChar"/>
    <w:qFormat/>
    <w:rsid w:val="00723A97"/>
    <w:pPr>
      <w:keepLines/>
      <w:widowControl w:val="0"/>
      <w:tabs>
        <w:tab w:val="left" w:pos="5529"/>
      </w:tabs>
      <w:spacing w:before="120" w:after="240" w:line="360" w:lineRule="auto"/>
      <w:jc w:val="both"/>
    </w:pPr>
    <w:rPr>
      <w:rFonts w:asciiTheme="majorHAnsi" w:eastAsia="Times New Roman" w:hAnsiTheme="majorHAnsi" w:cs="Calibri"/>
      <w:szCs w:val="24"/>
      <w:lang w:eastAsia="en-US"/>
    </w:rPr>
  </w:style>
  <w:style w:type="character" w:customStyle="1" w:styleId="tier1ItextChar">
    <w:name w:val="tier 1 (I) text Char"/>
    <w:link w:val="tier1Itext"/>
    <w:rsid w:val="00723A97"/>
    <w:rPr>
      <w:rFonts w:asciiTheme="majorHAnsi" w:eastAsia="Times New Roman" w:hAnsiTheme="majorHAnsi" w:cs="Calibri"/>
      <w:szCs w:val="24"/>
      <w:lang w:eastAsia="en-US"/>
    </w:rPr>
  </w:style>
  <w:style w:type="paragraph" w:customStyle="1" w:styleId="OCEBullet">
    <w:name w:val="OCE Bullet"/>
    <w:link w:val="OCEBulletChar"/>
    <w:qFormat/>
    <w:rsid w:val="002541D0"/>
    <w:pPr>
      <w:pBdr>
        <w:top w:val="nil"/>
        <w:left w:val="nil"/>
        <w:bottom w:val="nil"/>
        <w:right w:val="nil"/>
        <w:between w:val="nil"/>
        <w:bar w:val="nil"/>
      </w:pBdr>
      <w:tabs>
        <w:tab w:val="left" w:pos="227"/>
        <w:tab w:val="left" w:pos="709"/>
      </w:tabs>
      <w:spacing w:before="120" w:after="220" w:line="320" w:lineRule="exact"/>
      <w:ind w:left="720" w:hanging="360"/>
      <w:jc w:val="both"/>
    </w:pPr>
    <w:rPr>
      <w:rFonts w:ascii="Calibri" w:eastAsia="Calibri" w:hAnsi="Calibri" w:cs="Calibri"/>
      <w:color w:val="000000"/>
      <w:u w:color="000000"/>
      <w:bdr w:val="nil"/>
      <w:lang w:val="pt-PT" w:eastAsia="zh-CN"/>
    </w:rPr>
  </w:style>
  <w:style w:type="numbering" w:customStyle="1" w:styleId="List6">
    <w:name w:val="List 6"/>
    <w:basedOn w:val="Semlista"/>
    <w:rsid w:val="002541D0"/>
    <w:pPr>
      <w:numPr>
        <w:numId w:val="7"/>
      </w:numPr>
    </w:pPr>
  </w:style>
  <w:style w:type="character" w:customStyle="1" w:styleId="Hyperlink5">
    <w:name w:val="Hyperlink.5"/>
    <w:basedOn w:val="Fontepargpadro"/>
    <w:rsid w:val="002541D0"/>
    <w:rPr>
      <w:rFonts w:ascii="Calibri" w:eastAsia="Calibri" w:hAnsi="Calibri" w:cs="Calibri"/>
      <w:b/>
      <w:bCs/>
    </w:rPr>
  </w:style>
  <w:style w:type="character" w:customStyle="1" w:styleId="OCEBulletChar">
    <w:name w:val="OCE Bullet Char"/>
    <w:link w:val="OCEBullet"/>
    <w:locked/>
    <w:rsid w:val="002541D0"/>
    <w:rPr>
      <w:rFonts w:ascii="Calibri" w:eastAsia="Calibri" w:hAnsi="Calibri" w:cs="Calibri"/>
      <w:color w:val="000000"/>
      <w:u w:color="000000"/>
      <w:bdr w:val="nil"/>
      <w:lang w:val="pt-PT" w:eastAsia="zh-CN"/>
    </w:rPr>
  </w:style>
  <w:style w:type="paragraph" w:customStyle="1" w:styleId="CabealhoeRodap">
    <w:name w:val="Cabeçalho e Rodapé"/>
    <w:rsid w:val="002541D0"/>
    <w:pPr>
      <w:pBdr>
        <w:top w:val="nil"/>
        <w:left w:val="nil"/>
        <w:bottom w:val="nil"/>
        <w:right w:val="nil"/>
        <w:between w:val="nil"/>
        <w:bar w:val="nil"/>
      </w:pBdr>
      <w:tabs>
        <w:tab w:val="right" w:pos="9020"/>
      </w:tabs>
      <w:spacing w:after="0" w:line="240" w:lineRule="auto"/>
    </w:pPr>
    <w:rPr>
      <w:rFonts w:ascii="Helvetica" w:eastAsia="Arial Unicode MS" w:hAnsi="Arial Unicode MS" w:cs="Arial Unicode MS"/>
      <w:color w:val="000000"/>
      <w:sz w:val="24"/>
      <w:szCs w:val="24"/>
      <w:bdr w:val="nil"/>
      <w:lang w:val="en-US" w:eastAsia="zh-CN"/>
    </w:rPr>
  </w:style>
  <w:style w:type="paragraph" w:customStyle="1" w:styleId="Itemizao">
    <w:name w:val="Itemização"/>
    <w:rsid w:val="002541D0"/>
    <w:pPr>
      <w:pBdr>
        <w:top w:val="nil"/>
        <w:left w:val="nil"/>
        <w:bottom w:val="nil"/>
        <w:right w:val="nil"/>
        <w:between w:val="nil"/>
        <w:bar w:val="nil"/>
      </w:pBdr>
      <w:tabs>
        <w:tab w:val="left" w:pos="993"/>
      </w:tabs>
      <w:spacing w:before="120" w:after="120" w:line="360" w:lineRule="auto"/>
      <w:jc w:val="both"/>
    </w:pPr>
    <w:rPr>
      <w:rFonts w:ascii="Calibri" w:eastAsia="Calibri" w:hAnsi="Calibri" w:cs="Calibri"/>
      <w:color w:val="000000"/>
      <w:u w:color="000000"/>
      <w:bdr w:val="nil"/>
      <w:lang w:val="pt-PT" w:eastAsia="zh-CN"/>
    </w:rPr>
  </w:style>
  <w:style w:type="character" w:customStyle="1" w:styleId="Titulo1WOBChar">
    <w:name w:val="Titulo 1 WOB Char"/>
    <w:link w:val="Titulo1WOB"/>
    <w:rsid w:val="002541D0"/>
    <w:rPr>
      <w:rFonts w:asciiTheme="majorHAnsi" w:eastAsia="Times New Roman" w:hAnsiTheme="majorHAnsi" w:cs="Times New Roman"/>
      <w:b/>
      <w:caps/>
      <w:color w:val="17365D"/>
      <w:sz w:val="32"/>
      <w:szCs w:val="32"/>
      <w:lang w:eastAsia="en-US"/>
    </w:rPr>
  </w:style>
  <w:style w:type="paragraph" w:customStyle="1" w:styleId="TEXTO0">
    <w:name w:val="TEXTO"/>
    <w:basedOn w:val="tier1Itext"/>
    <w:link w:val="TEXTOChar0"/>
    <w:qFormat/>
    <w:rsid w:val="002541D0"/>
    <w:rPr>
      <w:rFonts w:ascii="Cambria" w:hAnsi="Cambria"/>
    </w:rPr>
  </w:style>
  <w:style w:type="character" w:customStyle="1" w:styleId="TEXTOChar0">
    <w:name w:val="TEXTO Char"/>
    <w:basedOn w:val="tier1ItextChar"/>
    <w:link w:val="TEXTO0"/>
    <w:rsid w:val="002541D0"/>
    <w:rPr>
      <w:rFonts w:ascii="Cambria" w:eastAsia="Times New Roman" w:hAnsi="Cambria" w:cs="Times New Roman"/>
      <w:szCs w:val="24"/>
      <w:lang w:eastAsia="en-US"/>
    </w:rPr>
  </w:style>
  <w:style w:type="numbering" w:customStyle="1" w:styleId="List31">
    <w:name w:val="List 31"/>
    <w:basedOn w:val="Semlista"/>
    <w:rsid w:val="002D4EAC"/>
    <w:pPr>
      <w:numPr>
        <w:numId w:val="11"/>
      </w:numPr>
    </w:pPr>
  </w:style>
  <w:style w:type="numbering" w:customStyle="1" w:styleId="List41">
    <w:name w:val="List 41"/>
    <w:basedOn w:val="Semlista"/>
    <w:rsid w:val="002D4EAC"/>
    <w:pPr>
      <w:numPr>
        <w:numId w:val="12"/>
      </w:numPr>
    </w:pPr>
  </w:style>
  <w:style w:type="paragraph" w:customStyle="1" w:styleId="Bodystyle11pt">
    <w:name w:val="Body style 11 pt"/>
    <w:basedOn w:val="Normal"/>
    <w:rsid w:val="00F3740A"/>
    <w:pPr>
      <w:tabs>
        <w:tab w:val="left" w:pos="-3060"/>
        <w:tab w:val="left" w:pos="-2970"/>
        <w:tab w:val="left" w:pos="0"/>
      </w:tabs>
      <w:spacing w:before="0" w:after="300" w:line="240" w:lineRule="auto"/>
    </w:pPr>
    <w:rPr>
      <w:rFonts w:ascii="Arial" w:eastAsia="Times New Roman" w:hAnsi="Arial" w:cs="Times New Roman"/>
      <w:snapToGrid w:val="0"/>
      <w:szCs w:val="20"/>
      <w:lang w:val="en-US" w:eastAsia="en-US"/>
    </w:rPr>
  </w:style>
  <w:style w:type="paragraph" w:customStyle="1" w:styleId="itemx">
    <w:name w:val="itemx"/>
    <w:basedOn w:val="Normal"/>
    <w:uiPriority w:val="99"/>
    <w:rsid w:val="00F3740A"/>
    <w:pPr>
      <w:numPr>
        <w:numId w:val="13"/>
      </w:numPr>
      <w:spacing w:after="120" w:line="240" w:lineRule="auto"/>
    </w:pPr>
    <w:rPr>
      <w:rFonts w:ascii="Arial" w:eastAsia="Times New Roman" w:hAnsi="Arial" w:cs="Times New Roman"/>
      <w:sz w:val="20"/>
      <w:szCs w:val="20"/>
      <w:lang w:val="en-US"/>
    </w:rPr>
  </w:style>
  <w:style w:type="paragraph" w:customStyle="1" w:styleId="bartfogalt2main">
    <w:name w:val="bart fog alt2 main"/>
    <w:basedOn w:val="Normal"/>
    <w:rsid w:val="00F3740A"/>
    <w:pPr>
      <w:overflowPunct w:val="0"/>
      <w:autoSpaceDE w:val="0"/>
      <w:autoSpaceDN w:val="0"/>
      <w:adjustRightInd w:val="0"/>
      <w:spacing w:before="0" w:after="120" w:line="240" w:lineRule="auto"/>
      <w:textAlignment w:val="baseline"/>
    </w:pPr>
    <w:rPr>
      <w:rFonts w:ascii="Arial" w:eastAsia="Times New Roman" w:hAnsi="Arial" w:cs="Times New Roman"/>
      <w:color w:val="000000"/>
      <w:sz w:val="18"/>
      <w:szCs w:val="20"/>
      <w:lang w:val="en-US" w:eastAsia="en-US"/>
    </w:rPr>
  </w:style>
  <w:style w:type="paragraph" w:customStyle="1" w:styleId="texto1">
    <w:name w:val="texto"/>
    <w:basedOn w:val="Corpodetexto"/>
    <w:uiPriority w:val="99"/>
    <w:rsid w:val="004D65B3"/>
    <w:pPr>
      <w:tabs>
        <w:tab w:val="left" w:pos="851"/>
      </w:tabs>
      <w:spacing w:before="240" w:after="0" w:line="288" w:lineRule="auto"/>
      <w:jc w:val="left"/>
    </w:pPr>
    <w:rPr>
      <w:rFonts w:ascii="Arial" w:eastAsia="Times New Roman" w:hAnsi="Arial" w:cs="Times New Roman"/>
      <w:szCs w:val="20"/>
    </w:rPr>
  </w:style>
  <w:style w:type="paragraph" w:styleId="Corpodetexto">
    <w:name w:val="Body Text"/>
    <w:basedOn w:val="Normal"/>
    <w:link w:val="CorpodetextoChar"/>
    <w:uiPriority w:val="99"/>
    <w:semiHidden/>
    <w:unhideWhenUsed/>
    <w:rsid w:val="004D65B3"/>
    <w:pPr>
      <w:spacing w:after="120"/>
    </w:pPr>
  </w:style>
  <w:style w:type="character" w:customStyle="1" w:styleId="CorpodetextoChar">
    <w:name w:val="Corpo de texto Char"/>
    <w:basedOn w:val="Fontepargpadro"/>
    <w:link w:val="Corpodetexto"/>
    <w:uiPriority w:val="99"/>
    <w:semiHidden/>
    <w:rsid w:val="004D65B3"/>
  </w:style>
  <w:style w:type="paragraph" w:customStyle="1" w:styleId="font8">
    <w:name w:val="font_8"/>
    <w:basedOn w:val="Normal"/>
    <w:rsid w:val="008A2ADA"/>
    <w:pPr>
      <w:spacing w:before="100" w:beforeAutospacing="1" w:after="100" w:afterAutospacing="1" w:line="240" w:lineRule="auto"/>
      <w:jc w:val="left"/>
    </w:pPr>
    <w:rPr>
      <w:rFonts w:ascii="Times New Roman" w:eastAsia="Times New Roman" w:hAnsi="Times New Roman" w:cs="Times New Roman"/>
      <w:sz w:val="24"/>
      <w:szCs w:val="24"/>
    </w:rPr>
  </w:style>
  <w:style w:type="paragraph" w:customStyle="1" w:styleId="OCETextobullet">
    <w:name w:val="OCE Texto bullet"/>
    <w:basedOn w:val="Normal"/>
    <w:link w:val="OCETextobulletChar"/>
    <w:qFormat/>
    <w:rsid w:val="00A15CEE"/>
    <w:pPr>
      <w:numPr>
        <w:numId w:val="14"/>
      </w:numPr>
      <w:tabs>
        <w:tab w:val="left" w:pos="709"/>
      </w:tabs>
      <w:spacing w:after="220" w:line="320" w:lineRule="exact"/>
    </w:pPr>
    <w:rPr>
      <w:rFonts w:ascii="Calibri" w:eastAsia="Times New Roman" w:hAnsi="Calibri" w:cs="Times New Roman"/>
      <w:sz w:val="18"/>
      <w:szCs w:val="24"/>
      <w:lang w:val="x-none" w:eastAsia="en-US"/>
    </w:rPr>
  </w:style>
  <w:style w:type="character" w:customStyle="1" w:styleId="OCETextobulletChar">
    <w:name w:val="OCE Texto bullet Char"/>
    <w:link w:val="OCETextobullet"/>
    <w:rsid w:val="0000172F"/>
    <w:rPr>
      <w:rFonts w:ascii="Calibri" w:eastAsia="Times New Roman" w:hAnsi="Calibri" w:cs="Times New Roman"/>
      <w:sz w:val="18"/>
      <w:szCs w:val="24"/>
      <w:lang w:val="x-none" w:eastAsia="en-US"/>
    </w:rPr>
  </w:style>
  <w:style w:type="paragraph" w:customStyle="1" w:styleId="Text">
    <w:name w:val="Text"/>
    <w:next w:val="Normal"/>
    <w:rsid w:val="00241AFC"/>
    <w:pPr>
      <w:spacing w:before="120" w:after="0" w:line="312" w:lineRule="exact"/>
      <w:jc w:val="both"/>
    </w:pPr>
    <w:rPr>
      <w:rFonts w:ascii="Arial" w:eastAsia="Times New Roman" w:hAnsi="Arial" w:cs="Times New Roman"/>
      <w:sz w:val="20"/>
      <w:szCs w:val="20"/>
      <w:lang w:val="en-US" w:eastAsia="en-US"/>
    </w:rPr>
  </w:style>
  <w:style w:type="paragraph" w:customStyle="1" w:styleId="PEIParagrafo">
    <w:name w:val="PEI_Paragrafo"/>
    <w:basedOn w:val="Normal"/>
    <w:link w:val="PEIParagrafoChar"/>
    <w:uiPriority w:val="99"/>
    <w:rsid w:val="00707CE1"/>
    <w:pPr>
      <w:spacing w:before="60" w:after="60"/>
    </w:pPr>
    <w:rPr>
      <w:rFonts w:ascii="Arial" w:eastAsia="Times New Roman" w:hAnsi="Arial" w:cs="Times New Roman"/>
      <w:szCs w:val="24"/>
      <w:lang w:val="x-none" w:eastAsia="en-US"/>
    </w:rPr>
  </w:style>
  <w:style w:type="character" w:customStyle="1" w:styleId="PEIParagrafoChar">
    <w:name w:val="PEI_Paragrafo Char"/>
    <w:link w:val="PEIParagrafo"/>
    <w:uiPriority w:val="99"/>
    <w:locked/>
    <w:rsid w:val="00707CE1"/>
    <w:rPr>
      <w:rFonts w:ascii="Arial" w:eastAsia="Times New Roman" w:hAnsi="Arial" w:cs="Times New Roman"/>
      <w:szCs w:val="24"/>
      <w:lang w:val="x-none" w:eastAsia="en-US"/>
    </w:rPr>
  </w:style>
  <w:style w:type="paragraph" w:customStyle="1" w:styleId="bartfogalt3checkbox">
    <w:name w:val="bart fog alt3 checkbox"/>
    <w:basedOn w:val="Normal"/>
    <w:rsid w:val="00B97508"/>
    <w:pPr>
      <w:numPr>
        <w:numId w:val="16"/>
      </w:numPr>
      <w:tabs>
        <w:tab w:val="left" w:pos="1170"/>
        <w:tab w:val="left" w:pos="13788"/>
      </w:tabs>
      <w:overflowPunct w:val="0"/>
      <w:autoSpaceDE w:val="0"/>
      <w:autoSpaceDN w:val="0"/>
      <w:adjustRightInd w:val="0"/>
      <w:spacing w:before="0" w:after="60" w:line="240" w:lineRule="auto"/>
      <w:jc w:val="left"/>
      <w:textAlignment w:val="baseline"/>
    </w:pPr>
    <w:rPr>
      <w:rFonts w:ascii="Arial" w:eastAsia="Times New Roman" w:hAnsi="Arial" w:cs="Times New Roman"/>
      <w:color w:val="000000"/>
      <w:sz w:val="18"/>
      <w:szCs w:val="20"/>
      <w:lang w:val="en-US" w:eastAsia="en-US"/>
    </w:rPr>
  </w:style>
  <w:style w:type="character" w:customStyle="1" w:styleId="DefaultChar">
    <w:name w:val="Default Char"/>
    <w:link w:val="Default"/>
    <w:locked/>
    <w:rsid w:val="00B97508"/>
    <w:rPr>
      <w:rFonts w:ascii="Calibri" w:hAnsi="Calibri" w:cs="Calibri"/>
      <w:color w:val="000000"/>
      <w:sz w:val="24"/>
      <w:szCs w:val="24"/>
    </w:rPr>
  </w:style>
  <w:style w:type="paragraph" w:customStyle="1" w:styleId="Tabtekst">
    <w:name w:val="Tabtekst"/>
    <w:basedOn w:val="Normal"/>
    <w:rsid w:val="00B97508"/>
    <w:pPr>
      <w:suppressAutoHyphens/>
      <w:spacing w:before="20" w:after="20" w:line="200" w:lineRule="atLeast"/>
      <w:jc w:val="left"/>
    </w:pPr>
    <w:rPr>
      <w:rFonts w:ascii="Arial" w:eastAsia="Times New Roman" w:hAnsi="Arial" w:cs="Times New Roman"/>
      <w:sz w:val="18"/>
      <w:szCs w:val="20"/>
      <w:lang w:val="en-GB" w:eastAsia="en-US"/>
    </w:rPr>
  </w:style>
  <w:style w:type="character" w:customStyle="1" w:styleId="Titulo3WOBChar">
    <w:name w:val="Titulo 3 WOB Char"/>
    <w:basedOn w:val="Titulo1WOBChar"/>
    <w:link w:val="Titulo3WOB"/>
    <w:rsid w:val="007E0169"/>
    <w:rPr>
      <w:rFonts w:asciiTheme="majorHAnsi" w:eastAsia="Times New Roman" w:hAnsiTheme="majorHAnsi" w:cs="Times New Roman"/>
      <w:b w:val="0"/>
      <w:caps w:val="0"/>
      <w:color w:val="17365D"/>
      <w:sz w:val="32"/>
      <w:szCs w:val="32"/>
      <w:lang w:eastAsia="en-US"/>
    </w:rPr>
  </w:style>
  <w:style w:type="character" w:customStyle="1" w:styleId="A17">
    <w:name w:val="A17"/>
    <w:rsid w:val="007E0169"/>
    <w:rPr>
      <w:color w:val="000000"/>
      <w:sz w:val="18"/>
    </w:rPr>
  </w:style>
  <w:style w:type="paragraph" w:customStyle="1" w:styleId="SECTIONHEADING2">
    <w:name w:val="SECTION HEADING 2"/>
    <w:basedOn w:val="Normal"/>
    <w:rsid w:val="007E0169"/>
    <w:pPr>
      <w:shd w:val="clear" w:color="auto" w:fill="99CC00"/>
      <w:spacing w:before="0" w:line="240" w:lineRule="auto"/>
      <w:jc w:val="left"/>
    </w:pPr>
    <w:rPr>
      <w:rFonts w:ascii="Arial" w:eastAsia="Times New Roman" w:hAnsi="Arial" w:cs="Arial"/>
      <w:b/>
      <w:szCs w:val="28"/>
      <w:lang w:val="en-US" w:eastAsia="en-US"/>
    </w:rPr>
  </w:style>
  <w:style w:type="paragraph" w:customStyle="1" w:styleId="ListParagraph1">
    <w:name w:val="List Paragraph1"/>
    <w:basedOn w:val="Normal"/>
    <w:rsid w:val="007E0169"/>
    <w:pPr>
      <w:spacing w:before="200" w:after="200" w:line="276" w:lineRule="auto"/>
      <w:ind w:left="720"/>
      <w:jc w:val="left"/>
    </w:pPr>
    <w:rPr>
      <w:rFonts w:ascii="Calibri" w:eastAsia="Times New Roman" w:hAnsi="Calibri" w:cs="Times New Roman"/>
      <w:sz w:val="20"/>
      <w:szCs w:val="20"/>
      <w:lang w:val="en-US" w:eastAsia="en-US"/>
    </w:rPr>
  </w:style>
  <w:style w:type="paragraph" w:customStyle="1" w:styleId="CharChar8">
    <w:name w:val="Char Char8"/>
    <w:basedOn w:val="Normal"/>
    <w:autoRedefine/>
    <w:rsid w:val="009236C4"/>
    <w:pPr>
      <w:widowControl w:val="0"/>
      <w:spacing w:before="0" w:line="240" w:lineRule="auto"/>
      <w:jc w:val="center"/>
    </w:pPr>
    <w:rPr>
      <w:rFonts w:asciiTheme="majorHAnsi" w:eastAsia="Times New Roman" w:hAnsiTheme="majorHAnsi" w:cstheme="majorHAnsi"/>
      <w:i/>
      <w:kern w:val="28"/>
      <w:sz w:val="20"/>
      <w:szCs w:val="24"/>
      <w:lang w:eastAsia="en-US"/>
    </w:rPr>
  </w:style>
  <w:style w:type="paragraph" w:customStyle="1" w:styleId="tier1Ihed">
    <w:name w:val="tier 1 (I) hed"/>
    <w:basedOn w:val="Normal"/>
    <w:link w:val="tier1IhedChar"/>
    <w:qFormat/>
    <w:rsid w:val="0053320F"/>
    <w:pPr>
      <w:spacing w:before="360" w:after="120" w:line="276" w:lineRule="auto"/>
      <w:ind w:left="720" w:right="-432" w:hanging="720"/>
      <w:contextualSpacing/>
      <w:jc w:val="left"/>
    </w:pPr>
    <w:rPr>
      <w:rFonts w:asciiTheme="majorHAnsi" w:eastAsia="Times New Roman" w:hAnsiTheme="majorHAnsi" w:cs="Times New Roman"/>
      <w:b/>
      <w:caps/>
      <w:color w:val="17365D"/>
      <w:sz w:val="32"/>
      <w:szCs w:val="32"/>
      <w:lang w:eastAsia="en-US"/>
    </w:rPr>
  </w:style>
  <w:style w:type="character" w:customStyle="1" w:styleId="tier1IhedChar">
    <w:name w:val="tier 1 (I) hed Char"/>
    <w:link w:val="tier1Ihed"/>
    <w:rsid w:val="0053320F"/>
    <w:rPr>
      <w:rFonts w:asciiTheme="majorHAnsi" w:eastAsia="Times New Roman" w:hAnsiTheme="majorHAnsi" w:cs="Times New Roman"/>
      <w:b/>
      <w:caps/>
      <w:color w:val="17365D"/>
      <w:sz w:val="32"/>
      <w:szCs w:val="32"/>
      <w:lang w:eastAsia="en-US"/>
    </w:rPr>
  </w:style>
  <w:style w:type="paragraph" w:customStyle="1" w:styleId="LegendaTabela">
    <w:name w:val="Legenda Tabela"/>
    <w:basedOn w:val="Legenda"/>
    <w:link w:val="LegendaTabelaChar"/>
    <w:qFormat/>
    <w:rsid w:val="00435CF6"/>
    <w:pPr>
      <w:spacing w:before="0" w:after="0" w:line="240" w:lineRule="auto"/>
      <w:jc w:val="left"/>
    </w:pPr>
  </w:style>
  <w:style w:type="paragraph" w:customStyle="1" w:styleId="xl40">
    <w:name w:val="xl40"/>
    <w:basedOn w:val="Normal"/>
    <w:rsid w:val="00953C7D"/>
    <w:pPr>
      <w:pBdr>
        <w:top w:val="single" w:sz="8" w:space="0" w:color="auto"/>
        <w:bottom w:val="single" w:sz="8" w:space="0" w:color="auto"/>
        <w:right w:val="single" w:sz="8" w:space="0" w:color="auto"/>
      </w:pBdr>
      <w:spacing w:before="100" w:beforeAutospacing="1" w:after="100" w:afterAutospacing="1" w:line="240" w:lineRule="auto"/>
      <w:jc w:val="left"/>
    </w:pPr>
    <w:rPr>
      <w:rFonts w:ascii="Calibri" w:eastAsia="Times New Roman" w:hAnsi="Calibri" w:cs="Times New Roman"/>
      <w:color w:val="000000"/>
      <w:sz w:val="16"/>
      <w:szCs w:val="16"/>
      <w:lang w:val="en-US" w:eastAsia="en-US"/>
    </w:rPr>
  </w:style>
  <w:style w:type="character" w:customStyle="1" w:styleId="LegendaChar">
    <w:name w:val="Legenda Char"/>
    <w:basedOn w:val="Fontepargpadro"/>
    <w:link w:val="Legenda"/>
    <w:uiPriority w:val="99"/>
    <w:rsid w:val="00435CF6"/>
    <w:rPr>
      <w:rFonts w:asciiTheme="majorHAnsi" w:eastAsiaTheme="minorHAnsi" w:hAnsiTheme="majorHAnsi"/>
      <w:b/>
      <w:sz w:val="20"/>
      <w:lang w:eastAsia="en-US"/>
    </w:rPr>
  </w:style>
  <w:style w:type="character" w:customStyle="1" w:styleId="LegendaTabelaChar">
    <w:name w:val="Legenda Tabela Char"/>
    <w:basedOn w:val="LegendaChar"/>
    <w:link w:val="LegendaTabela"/>
    <w:rsid w:val="00435CF6"/>
    <w:rPr>
      <w:rFonts w:asciiTheme="majorHAnsi" w:eastAsiaTheme="minorHAnsi" w:hAnsiTheme="majorHAnsi"/>
      <w:b/>
      <w:sz w:val="20"/>
      <w:lang w:eastAsia="en-US"/>
    </w:rPr>
  </w:style>
  <w:style w:type="paragraph" w:styleId="Ttulo">
    <w:name w:val="Title"/>
    <w:basedOn w:val="Normal"/>
    <w:next w:val="Normal"/>
    <w:link w:val="TtuloChar"/>
    <w:uiPriority w:val="10"/>
    <w:qFormat/>
    <w:rsid w:val="003B5634"/>
    <w:pPr>
      <w:pBdr>
        <w:top w:val="single" w:sz="12" w:space="1" w:color="C0504D" w:themeColor="accent2"/>
      </w:pBdr>
      <w:spacing w:line="240" w:lineRule="auto"/>
      <w:jc w:val="right"/>
    </w:pPr>
    <w:rPr>
      <w:smallCaps/>
      <w:sz w:val="48"/>
      <w:szCs w:val="48"/>
    </w:rPr>
  </w:style>
  <w:style w:type="character" w:customStyle="1" w:styleId="TtuloChar">
    <w:name w:val="Título Char"/>
    <w:basedOn w:val="Fontepargpadro"/>
    <w:link w:val="Ttulo"/>
    <w:uiPriority w:val="10"/>
    <w:rsid w:val="003B5634"/>
    <w:rPr>
      <w:smallCaps/>
      <w:sz w:val="48"/>
      <w:szCs w:val="48"/>
    </w:rPr>
  </w:style>
  <w:style w:type="character" w:styleId="MenoPendente">
    <w:name w:val="Unresolved Mention"/>
    <w:basedOn w:val="Fontepargpadro"/>
    <w:uiPriority w:val="99"/>
    <w:semiHidden/>
    <w:unhideWhenUsed/>
    <w:rsid w:val="006961B5"/>
    <w:rPr>
      <w:color w:val="808080"/>
      <w:shd w:val="clear" w:color="auto" w:fill="E6E6E6"/>
    </w:rPr>
  </w:style>
  <w:style w:type="character" w:customStyle="1" w:styleId="MenoPendente1">
    <w:name w:val="Menção Pendente1"/>
    <w:basedOn w:val="Fontepargpadro"/>
    <w:uiPriority w:val="99"/>
    <w:semiHidden/>
    <w:unhideWhenUsed/>
    <w:rsid w:val="009C4BD6"/>
    <w:rPr>
      <w:color w:val="808080"/>
      <w:shd w:val="clear" w:color="auto" w:fill="E6E6E6"/>
    </w:rPr>
  </w:style>
  <w:style w:type="paragraph" w:customStyle="1" w:styleId="LegendaWOB">
    <w:name w:val="Legenda WOB"/>
    <w:basedOn w:val="Normal"/>
    <w:link w:val="LegendaWOBChar"/>
    <w:qFormat/>
    <w:rsid w:val="00311084"/>
    <w:pPr>
      <w:spacing w:before="0" w:line="240" w:lineRule="auto"/>
      <w:jc w:val="center"/>
    </w:pPr>
    <w:rPr>
      <w:rFonts w:ascii="Cambria" w:eastAsia="Times New Roman" w:hAnsi="Cambria" w:cs="Times New Roman"/>
      <w:b/>
      <w:sz w:val="20"/>
      <w:szCs w:val="28"/>
      <w:lang w:eastAsia="en-US"/>
    </w:rPr>
  </w:style>
  <w:style w:type="character" w:customStyle="1" w:styleId="LegendaWOBChar">
    <w:name w:val="Legenda WOB Char"/>
    <w:basedOn w:val="Fontepargpadro"/>
    <w:link w:val="LegendaWOB"/>
    <w:rsid w:val="00311084"/>
    <w:rPr>
      <w:rFonts w:ascii="Cambria" w:eastAsia="Times New Roman" w:hAnsi="Cambria" w:cs="Times New Roman"/>
      <w:b/>
      <w:sz w:val="20"/>
      <w:szCs w:val="28"/>
      <w:lang w:eastAsia="en-US"/>
    </w:rPr>
  </w:style>
  <w:style w:type="character" w:customStyle="1" w:styleId="st">
    <w:name w:val="st"/>
    <w:basedOn w:val="Fontepargpadro"/>
    <w:rsid w:val="003110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94528">
      <w:bodyDiv w:val="1"/>
      <w:marLeft w:val="0"/>
      <w:marRight w:val="0"/>
      <w:marTop w:val="0"/>
      <w:marBottom w:val="0"/>
      <w:divBdr>
        <w:top w:val="none" w:sz="0" w:space="0" w:color="auto"/>
        <w:left w:val="none" w:sz="0" w:space="0" w:color="auto"/>
        <w:bottom w:val="none" w:sz="0" w:space="0" w:color="auto"/>
        <w:right w:val="none" w:sz="0" w:space="0" w:color="auto"/>
      </w:divBdr>
    </w:div>
    <w:div w:id="57824012">
      <w:bodyDiv w:val="1"/>
      <w:marLeft w:val="0"/>
      <w:marRight w:val="0"/>
      <w:marTop w:val="0"/>
      <w:marBottom w:val="0"/>
      <w:divBdr>
        <w:top w:val="none" w:sz="0" w:space="0" w:color="auto"/>
        <w:left w:val="none" w:sz="0" w:space="0" w:color="auto"/>
        <w:bottom w:val="none" w:sz="0" w:space="0" w:color="auto"/>
        <w:right w:val="none" w:sz="0" w:space="0" w:color="auto"/>
      </w:divBdr>
    </w:div>
    <w:div w:id="79521232">
      <w:bodyDiv w:val="1"/>
      <w:marLeft w:val="0"/>
      <w:marRight w:val="0"/>
      <w:marTop w:val="0"/>
      <w:marBottom w:val="0"/>
      <w:divBdr>
        <w:top w:val="none" w:sz="0" w:space="0" w:color="auto"/>
        <w:left w:val="none" w:sz="0" w:space="0" w:color="auto"/>
        <w:bottom w:val="none" w:sz="0" w:space="0" w:color="auto"/>
        <w:right w:val="none" w:sz="0" w:space="0" w:color="auto"/>
      </w:divBdr>
    </w:div>
    <w:div w:id="108934868">
      <w:bodyDiv w:val="1"/>
      <w:marLeft w:val="0"/>
      <w:marRight w:val="0"/>
      <w:marTop w:val="0"/>
      <w:marBottom w:val="0"/>
      <w:divBdr>
        <w:top w:val="none" w:sz="0" w:space="0" w:color="auto"/>
        <w:left w:val="none" w:sz="0" w:space="0" w:color="auto"/>
        <w:bottom w:val="none" w:sz="0" w:space="0" w:color="auto"/>
        <w:right w:val="none" w:sz="0" w:space="0" w:color="auto"/>
      </w:divBdr>
    </w:div>
    <w:div w:id="110322467">
      <w:bodyDiv w:val="1"/>
      <w:marLeft w:val="0"/>
      <w:marRight w:val="0"/>
      <w:marTop w:val="0"/>
      <w:marBottom w:val="0"/>
      <w:divBdr>
        <w:top w:val="none" w:sz="0" w:space="0" w:color="auto"/>
        <w:left w:val="none" w:sz="0" w:space="0" w:color="auto"/>
        <w:bottom w:val="none" w:sz="0" w:space="0" w:color="auto"/>
        <w:right w:val="none" w:sz="0" w:space="0" w:color="auto"/>
      </w:divBdr>
    </w:div>
    <w:div w:id="112290427">
      <w:bodyDiv w:val="1"/>
      <w:marLeft w:val="0"/>
      <w:marRight w:val="0"/>
      <w:marTop w:val="0"/>
      <w:marBottom w:val="0"/>
      <w:divBdr>
        <w:top w:val="none" w:sz="0" w:space="0" w:color="auto"/>
        <w:left w:val="none" w:sz="0" w:space="0" w:color="auto"/>
        <w:bottom w:val="none" w:sz="0" w:space="0" w:color="auto"/>
        <w:right w:val="none" w:sz="0" w:space="0" w:color="auto"/>
      </w:divBdr>
    </w:div>
    <w:div w:id="128286177">
      <w:bodyDiv w:val="1"/>
      <w:marLeft w:val="0"/>
      <w:marRight w:val="0"/>
      <w:marTop w:val="0"/>
      <w:marBottom w:val="0"/>
      <w:divBdr>
        <w:top w:val="none" w:sz="0" w:space="0" w:color="auto"/>
        <w:left w:val="none" w:sz="0" w:space="0" w:color="auto"/>
        <w:bottom w:val="none" w:sz="0" w:space="0" w:color="auto"/>
        <w:right w:val="none" w:sz="0" w:space="0" w:color="auto"/>
      </w:divBdr>
    </w:div>
    <w:div w:id="157044014">
      <w:bodyDiv w:val="1"/>
      <w:marLeft w:val="0"/>
      <w:marRight w:val="0"/>
      <w:marTop w:val="0"/>
      <w:marBottom w:val="0"/>
      <w:divBdr>
        <w:top w:val="none" w:sz="0" w:space="0" w:color="auto"/>
        <w:left w:val="none" w:sz="0" w:space="0" w:color="auto"/>
        <w:bottom w:val="none" w:sz="0" w:space="0" w:color="auto"/>
        <w:right w:val="none" w:sz="0" w:space="0" w:color="auto"/>
      </w:divBdr>
    </w:div>
    <w:div w:id="188031641">
      <w:bodyDiv w:val="1"/>
      <w:marLeft w:val="0"/>
      <w:marRight w:val="0"/>
      <w:marTop w:val="0"/>
      <w:marBottom w:val="0"/>
      <w:divBdr>
        <w:top w:val="none" w:sz="0" w:space="0" w:color="auto"/>
        <w:left w:val="none" w:sz="0" w:space="0" w:color="auto"/>
        <w:bottom w:val="none" w:sz="0" w:space="0" w:color="auto"/>
        <w:right w:val="none" w:sz="0" w:space="0" w:color="auto"/>
      </w:divBdr>
    </w:div>
    <w:div w:id="268396233">
      <w:bodyDiv w:val="1"/>
      <w:marLeft w:val="0"/>
      <w:marRight w:val="0"/>
      <w:marTop w:val="0"/>
      <w:marBottom w:val="0"/>
      <w:divBdr>
        <w:top w:val="none" w:sz="0" w:space="0" w:color="auto"/>
        <w:left w:val="none" w:sz="0" w:space="0" w:color="auto"/>
        <w:bottom w:val="none" w:sz="0" w:space="0" w:color="auto"/>
        <w:right w:val="none" w:sz="0" w:space="0" w:color="auto"/>
      </w:divBdr>
    </w:div>
    <w:div w:id="270279660">
      <w:bodyDiv w:val="1"/>
      <w:marLeft w:val="0"/>
      <w:marRight w:val="0"/>
      <w:marTop w:val="0"/>
      <w:marBottom w:val="0"/>
      <w:divBdr>
        <w:top w:val="none" w:sz="0" w:space="0" w:color="auto"/>
        <w:left w:val="none" w:sz="0" w:space="0" w:color="auto"/>
        <w:bottom w:val="none" w:sz="0" w:space="0" w:color="auto"/>
        <w:right w:val="none" w:sz="0" w:space="0" w:color="auto"/>
      </w:divBdr>
    </w:div>
    <w:div w:id="271933915">
      <w:bodyDiv w:val="1"/>
      <w:marLeft w:val="0"/>
      <w:marRight w:val="0"/>
      <w:marTop w:val="0"/>
      <w:marBottom w:val="0"/>
      <w:divBdr>
        <w:top w:val="none" w:sz="0" w:space="0" w:color="auto"/>
        <w:left w:val="none" w:sz="0" w:space="0" w:color="auto"/>
        <w:bottom w:val="none" w:sz="0" w:space="0" w:color="auto"/>
        <w:right w:val="none" w:sz="0" w:space="0" w:color="auto"/>
      </w:divBdr>
    </w:div>
    <w:div w:id="284966247">
      <w:bodyDiv w:val="1"/>
      <w:marLeft w:val="0"/>
      <w:marRight w:val="0"/>
      <w:marTop w:val="0"/>
      <w:marBottom w:val="0"/>
      <w:divBdr>
        <w:top w:val="none" w:sz="0" w:space="0" w:color="auto"/>
        <w:left w:val="none" w:sz="0" w:space="0" w:color="auto"/>
        <w:bottom w:val="none" w:sz="0" w:space="0" w:color="auto"/>
        <w:right w:val="none" w:sz="0" w:space="0" w:color="auto"/>
      </w:divBdr>
    </w:div>
    <w:div w:id="300698781">
      <w:bodyDiv w:val="1"/>
      <w:marLeft w:val="0"/>
      <w:marRight w:val="0"/>
      <w:marTop w:val="0"/>
      <w:marBottom w:val="0"/>
      <w:divBdr>
        <w:top w:val="none" w:sz="0" w:space="0" w:color="auto"/>
        <w:left w:val="none" w:sz="0" w:space="0" w:color="auto"/>
        <w:bottom w:val="none" w:sz="0" w:space="0" w:color="auto"/>
        <w:right w:val="none" w:sz="0" w:space="0" w:color="auto"/>
      </w:divBdr>
    </w:div>
    <w:div w:id="306739700">
      <w:bodyDiv w:val="1"/>
      <w:marLeft w:val="0"/>
      <w:marRight w:val="0"/>
      <w:marTop w:val="0"/>
      <w:marBottom w:val="0"/>
      <w:divBdr>
        <w:top w:val="none" w:sz="0" w:space="0" w:color="auto"/>
        <w:left w:val="none" w:sz="0" w:space="0" w:color="auto"/>
        <w:bottom w:val="none" w:sz="0" w:space="0" w:color="auto"/>
        <w:right w:val="none" w:sz="0" w:space="0" w:color="auto"/>
      </w:divBdr>
    </w:div>
    <w:div w:id="327289126">
      <w:bodyDiv w:val="1"/>
      <w:marLeft w:val="0"/>
      <w:marRight w:val="0"/>
      <w:marTop w:val="0"/>
      <w:marBottom w:val="0"/>
      <w:divBdr>
        <w:top w:val="none" w:sz="0" w:space="0" w:color="auto"/>
        <w:left w:val="none" w:sz="0" w:space="0" w:color="auto"/>
        <w:bottom w:val="none" w:sz="0" w:space="0" w:color="auto"/>
        <w:right w:val="none" w:sz="0" w:space="0" w:color="auto"/>
      </w:divBdr>
    </w:div>
    <w:div w:id="388842031">
      <w:bodyDiv w:val="1"/>
      <w:marLeft w:val="0"/>
      <w:marRight w:val="0"/>
      <w:marTop w:val="0"/>
      <w:marBottom w:val="0"/>
      <w:divBdr>
        <w:top w:val="none" w:sz="0" w:space="0" w:color="auto"/>
        <w:left w:val="none" w:sz="0" w:space="0" w:color="auto"/>
        <w:bottom w:val="none" w:sz="0" w:space="0" w:color="auto"/>
        <w:right w:val="none" w:sz="0" w:space="0" w:color="auto"/>
      </w:divBdr>
    </w:div>
    <w:div w:id="468323056">
      <w:bodyDiv w:val="1"/>
      <w:marLeft w:val="0"/>
      <w:marRight w:val="0"/>
      <w:marTop w:val="0"/>
      <w:marBottom w:val="0"/>
      <w:divBdr>
        <w:top w:val="none" w:sz="0" w:space="0" w:color="auto"/>
        <w:left w:val="none" w:sz="0" w:space="0" w:color="auto"/>
        <w:bottom w:val="none" w:sz="0" w:space="0" w:color="auto"/>
        <w:right w:val="none" w:sz="0" w:space="0" w:color="auto"/>
      </w:divBdr>
    </w:div>
    <w:div w:id="481850324">
      <w:bodyDiv w:val="1"/>
      <w:marLeft w:val="0"/>
      <w:marRight w:val="0"/>
      <w:marTop w:val="0"/>
      <w:marBottom w:val="0"/>
      <w:divBdr>
        <w:top w:val="none" w:sz="0" w:space="0" w:color="auto"/>
        <w:left w:val="none" w:sz="0" w:space="0" w:color="auto"/>
        <w:bottom w:val="none" w:sz="0" w:space="0" w:color="auto"/>
        <w:right w:val="none" w:sz="0" w:space="0" w:color="auto"/>
      </w:divBdr>
    </w:div>
    <w:div w:id="518079187">
      <w:bodyDiv w:val="1"/>
      <w:marLeft w:val="0"/>
      <w:marRight w:val="0"/>
      <w:marTop w:val="0"/>
      <w:marBottom w:val="0"/>
      <w:divBdr>
        <w:top w:val="none" w:sz="0" w:space="0" w:color="auto"/>
        <w:left w:val="none" w:sz="0" w:space="0" w:color="auto"/>
        <w:bottom w:val="none" w:sz="0" w:space="0" w:color="auto"/>
        <w:right w:val="none" w:sz="0" w:space="0" w:color="auto"/>
      </w:divBdr>
    </w:div>
    <w:div w:id="535195968">
      <w:bodyDiv w:val="1"/>
      <w:marLeft w:val="0"/>
      <w:marRight w:val="0"/>
      <w:marTop w:val="0"/>
      <w:marBottom w:val="0"/>
      <w:divBdr>
        <w:top w:val="none" w:sz="0" w:space="0" w:color="auto"/>
        <w:left w:val="none" w:sz="0" w:space="0" w:color="auto"/>
        <w:bottom w:val="none" w:sz="0" w:space="0" w:color="auto"/>
        <w:right w:val="none" w:sz="0" w:space="0" w:color="auto"/>
      </w:divBdr>
    </w:div>
    <w:div w:id="554631417">
      <w:bodyDiv w:val="1"/>
      <w:marLeft w:val="0"/>
      <w:marRight w:val="0"/>
      <w:marTop w:val="0"/>
      <w:marBottom w:val="0"/>
      <w:divBdr>
        <w:top w:val="none" w:sz="0" w:space="0" w:color="auto"/>
        <w:left w:val="none" w:sz="0" w:space="0" w:color="auto"/>
        <w:bottom w:val="none" w:sz="0" w:space="0" w:color="auto"/>
        <w:right w:val="none" w:sz="0" w:space="0" w:color="auto"/>
      </w:divBdr>
    </w:div>
    <w:div w:id="562105013">
      <w:bodyDiv w:val="1"/>
      <w:marLeft w:val="0"/>
      <w:marRight w:val="0"/>
      <w:marTop w:val="0"/>
      <w:marBottom w:val="0"/>
      <w:divBdr>
        <w:top w:val="none" w:sz="0" w:space="0" w:color="auto"/>
        <w:left w:val="none" w:sz="0" w:space="0" w:color="auto"/>
        <w:bottom w:val="none" w:sz="0" w:space="0" w:color="auto"/>
        <w:right w:val="none" w:sz="0" w:space="0" w:color="auto"/>
      </w:divBdr>
    </w:div>
    <w:div w:id="575630456">
      <w:bodyDiv w:val="1"/>
      <w:marLeft w:val="0"/>
      <w:marRight w:val="0"/>
      <w:marTop w:val="0"/>
      <w:marBottom w:val="0"/>
      <w:divBdr>
        <w:top w:val="none" w:sz="0" w:space="0" w:color="auto"/>
        <w:left w:val="none" w:sz="0" w:space="0" w:color="auto"/>
        <w:bottom w:val="none" w:sz="0" w:space="0" w:color="auto"/>
        <w:right w:val="none" w:sz="0" w:space="0" w:color="auto"/>
      </w:divBdr>
    </w:div>
    <w:div w:id="579869243">
      <w:bodyDiv w:val="1"/>
      <w:marLeft w:val="0"/>
      <w:marRight w:val="0"/>
      <w:marTop w:val="0"/>
      <w:marBottom w:val="0"/>
      <w:divBdr>
        <w:top w:val="none" w:sz="0" w:space="0" w:color="auto"/>
        <w:left w:val="none" w:sz="0" w:space="0" w:color="auto"/>
        <w:bottom w:val="none" w:sz="0" w:space="0" w:color="auto"/>
        <w:right w:val="none" w:sz="0" w:space="0" w:color="auto"/>
      </w:divBdr>
    </w:div>
    <w:div w:id="590772456">
      <w:bodyDiv w:val="1"/>
      <w:marLeft w:val="0"/>
      <w:marRight w:val="0"/>
      <w:marTop w:val="0"/>
      <w:marBottom w:val="0"/>
      <w:divBdr>
        <w:top w:val="none" w:sz="0" w:space="0" w:color="auto"/>
        <w:left w:val="none" w:sz="0" w:space="0" w:color="auto"/>
        <w:bottom w:val="none" w:sz="0" w:space="0" w:color="auto"/>
        <w:right w:val="none" w:sz="0" w:space="0" w:color="auto"/>
      </w:divBdr>
    </w:div>
    <w:div w:id="593631530">
      <w:bodyDiv w:val="1"/>
      <w:marLeft w:val="0"/>
      <w:marRight w:val="0"/>
      <w:marTop w:val="0"/>
      <w:marBottom w:val="0"/>
      <w:divBdr>
        <w:top w:val="none" w:sz="0" w:space="0" w:color="auto"/>
        <w:left w:val="none" w:sz="0" w:space="0" w:color="auto"/>
        <w:bottom w:val="none" w:sz="0" w:space="0" w:color="auto"/>
        <w:right w:val="none" w:sz="0" w:space="0" w:color="auto"/>
      </w:divBdr>
    </w:div>
    <w:div w:id="618803102">
      <w:bodyDiv w:val="1"/>
      <w:marLeft w:val="0"/>
      <w:marRight w:val="0"/>
      <w:marTop w:val="0"/>
      <w:marBottom w:val="0"/>
      <w:divBdr>
        <w:top w:val="none" w:sz="0" w:space="0" w:color="auto"/>
        <w:left w:val="none" w:sz="0" w:space="0" w:color="auto"/>
        <w:bottom w:val="none" w:sz="0" w:space="0" w:color="auto"/>
        <w:right w:val="none" w:sz="0" w:space="0" w:color="auto"/>
      </w:divBdr>
    </w:div>
    <w:div w:id="633213319">
      <w:bodyDiv w:val="1"/>
      <w:marLeft w:val="0"/>
      <w:marRight w:val="0"/>
      <w:marTop w:val="0"/>
      <w:marBottom w:val="0"/>
      <w:divBdr>
        <w:top w:val="none" w:sz="0" w:space="0" w:color="auto"/>
        <w:left w:val="none" w:sz="0" w:space="0" w:color="auto"/>
        <w:bottom w:val="none" w:sz="0" w:space="0" w:color="auto"/>
        <w:right w:val="none" w:sz="0" w:space="0" w:color="auto"/>
      </w:divBdr>
    </w:div>
    <w:div w:id="672538010">
      <w:bodyDiv w:val="1"/>
      <w:marLeft w:val="0"/>
      <w:marRight w:val="0"/>
      <w:marTop w:val="0"/>
      <w:marBottom w:val="0"/>
      <w:divBdr>
        <w:top w:val="none" w:sz="0" w:space="0" w:color="auto"/>
        <w:left w:val="none" w:sz="0" w:space="0" w:color="auto"/>
        <w:bottom w:val="none" w:sz="0" w:space="0" w:color="auto"/>
        <w:right w:val="none" w:sz="0" w:space="0" w:color="auto"/>
      </w:divBdr>
    </w:div>
    <w:div w:id="697655735">
      <w:bodyDiv w:val="1"/>
      <w:marLeft w:val="0"/>
      <w:marRight w:val="0"/>
      <w:marTop w:val="0"/>
      <w:marBottom w:val="0"/>
      <w:divBdr>
        <w:top w:val="none" w:sz="0" w:space="0" w:color="auto"/>
        <w:left w:val="none" w:sz="0" w:space="0" w:color="auto"/>
        <w:bottom w:val="none" w:sz="0" w:space="0" w:color="auto"/>
        <w:right w:val="none" w:sz="0" w:space="0" w:color="auto"/>
      </w:divBdr>
    </w:div>
    <w:div w:id="711541492">
      <w:bodyDiv w:val="1"/>
      <w:marLeft w:val="0"/>
      <w:marRight w:val="0"/>
      <w:marTop w:val="0"/>
      <w:marBottom w:val="0"/>
      <w:divBdr>
        <w:top w:val="none" w:sz="0" w:space="0" w:color="auto"/>
        <w:left w:val="none" w:sz="0" w:space="0" w:color="auto"/>
        <w:bottom w:val="none" w:sz="0" w:space="0" w:color="auto"/>
        <w:right w:val="none" w:sz="0" w:space="0" w:color="auto"/>
      </w:divBdr>
    </w:div>
    <w:div w:id="715740174">
      <w:bodyDiv w:val="1"/>
      <w:marLeft w:val="0"/>
      <w:marRight w:val="0"/>
      <w:marTop w:val="0"/>
      <w:marBottom w:val="0"/>
      <w:divBdr>
        <w:top w:val="none" w:sz="0" w:space="0" w:color="auto"/>
        <w:left w:val="none" w:sz="0" w:space="0" w:color="auto"/>
        <w:bottom w:val="none" w:sz="0" w:space="0" w:color="auto"/>
        <w:right w:val="none" w:sz="0" w:space="0" w:color="auto"/>
      </w:divBdr>
    </w:div>
    <w:div w:id="715859455">
      <w:bodyDiv w:val="1"/>
      <w:marLeft w:val="0"/>
      <w:marRight w:val="0"/>
      <w:marTop w:val="0"/>
      <w:marBottom w:val="0"/>
      <w:divBdr>
        <w:top w:val="none" w:sz="0" w:space="0" w:color="auto"/>
        <w:left w:val="none" w:sz="0" w:space="0" w:color="auto"/>
        <w:bottom w:val="none" w:sz="0" w:space="0" w:color="auto"/>
        <w:right w:val="none" w:sz="0" w:space="0" w:color="auto"/>
      </w:divBdr>
    </w:div>
    <w:div w:id="730347610">
      <w:bodyDiv w:val="1"/>
      <w:marLeft w:val="0"/>
      <w:marRight w:val="0"/>
      <w:marTop w:val="0"/>
      <w:marBottom w:val="0"/>
      <w:divBdr>
        <w:top w:val="none" w:sz="0" w:space="0" w:color="auto"/>
        <w:left w:val="none" w:sz="0" w:space="0" w:color="auto"/>
        <w:bottom w:val="none" w:sz="0" w:space="0" w:color="auto"/>
        <w:right w:val="none" w:sz="0" w:space="0" w:color="auto"/>
      </w:divBdr>
    </w:div>
    <w:div w:id="779110787">
      <w:bodyDiv w:val="1"/>
      <w:marLeft w:val="0"/>
      <w:marRight w:val="0"/>
      <w:marTop w:val="0"/>
      <w:marBottom w:val="0"/>
      <w:divBdr>
        <w:top w:val="none" w:sz="0" w:space="0" w:color="auto"/>
        <w:left w:val="none" w:sz="0" w:space="0" w:color="auto"/>
        <w:bottom w:val="none" w:sz="0" w:space="0" w:color="auto"/>
        <w:right w:val="none" w:sz="0" w:space="0" w:color="auto"/>
      </w:divBdr>
    </w:div>
    <w:div w:id="828983211">
      <w:bodyDiv w:val="1"/>
      <w:marLeft w:val="0"/>
      <w:marRight w:val="0"/>
      <w:marTop w:val="0"/>
      <w:marBottom w:val="0"/>
      <w:divBdr>
        <w:top w:val="none" w:sz="0" w:space="0" w:color="auto"/>
        <w:left w:val="none" w:sz="0" w:space="0" w:color="auto"/>
        <w:bottom w:val="none" w:sz="0" w:space="0" w:color="auto"/>
        <w:right w:val="none" w:sz="0" w:space="0" w:color="auto"/>
      </w:divBdr>
    </w:div>
    <w:div w:id="852691143">
      <w:bodyDiv w:val="1"/>
      <w:marLeft w:val="0"/>
      <w:marRight w:val="0"/>
      <w:marTop w:val="0"/>
      <w:marBottom w:val="0"/>
      <w:divBdr>
        <w:top w:val="none" w:sz="0" w:space="0" w:color="auto"/>
        <w:left w:val="none" w:sz="0" w:space="0" w:color="auto"/>
        <w:bottom w:val="none" w:sz="0" w:space="0" w:color="auto"/>
        <w:right w:val="none" w:sz="0" w:space="0" w:color="auto"/>
      </w:divBdr>
    </w:div>
    <w:div w:id="874005337">
      <w:bodyDiv w:val="1"/>
      <w:marLeft w:val="0"/>
      <w:marRight w:val="0"/>
      <w:marTop w:val="0"/>
      <w:marBottom w:val="0"/>
      <w:divBdr>
        <w:top w:val="none" w:sz="0" w:space="0" w:color="auto"/>
        <w:left w:val="none" w:sz="0" w:space="0" w:color="auto"/>
        <w:bottom w:val="none" w:sz="0" w:space="0" w:color="auto"/>
        <w:right w:val="none" w:sz="0" w:space="0" w:color="auto"/>
      </w:divBdr>
    </w:div>
    <w:div w:id="877620661">
      <w:bodyDiv w:val="1"/>
      <w:marLeft w:val="0"/>
      <w:marRight w:val="0"/>
      <w:marTop w:val="0"/>
      <w:marBottom w:val="0"/>
      <w:divBdr>
        <w:top w:val="none" w:sz="0" w:space="0" w:color="auto"/>
        <w:left w:val="none" w:sz="0" w:space="0" w:color="auto"/>
        <w:bottom w:val="none" w:sz="0" w:space="0" w:color="auto"/>
        <w:right w:val="none" w:sz="0" w:space="0" w:color="auto"/>
      </w:divBdr>
    </w:div>
    <w:div w:id="881792447">
      <w:bodyDiv w:val="1"/>
      <w:marLeft w:val="0"/>
      <w:marRight w:val="0"/>
      <w:marTop w:val="0"/>
      <w:marBottom w:val="0"/>
      <w:divBdr>
        <w:top w:val="none" w:sz="0" w:space="0" w:color="auto"/>
        <w:left w:val="none" w:sz="0" w:space="0" w:color="auto"/>
        <w:bottom w:val="none" w:sz="0" w:space="0" w:color="auto"/>
        <w:right w:val="none" w:sz="0" w:space="0" w:color="auto"/>
      </w:divBdr>
    </w:div>
    <w:div w:id="893347765">
      <w:bodyDiv w:val="1"/>
      <w:marLeft w:val="0"/>
      <w:marRight w:val="0"/>
      <w:marTop w:val="0"/>
      <w:marBottom w:val="0"/>
      <w:divBdr>
        <w:top w:val="none" w:sz="0" w:space="0" w:color="auto"/>
        <w:left w:val="none" w:sz="0" w:space="0" w:color="auto"/>
        <w:bottom w:val="none" w:sz="0" w:space="0" w:color="auto"/>
        <w:right w:val="none" w:sz="0" w:space="0" w:color="auto"/>
      </w:divBdr>
    </w:div>
    <w:div w:id="919873752">
      <w:bodyDiv w:val="1"/>
      <w:marLeft w:val="0"/>
      <w:marRight w:val="0"/>
      <w:marTop w:val="0"/>
      <w:marBottom w:val="0"/>
      <w:divBdr>
        <w:top w:val="none" w:sz="0" w:space="0" w:color="auto"/>
        <w:left w:val="none" w:sz="0" w:space="0" w:color="auto"/>
        <w:bottom w:val="none" w:sz="0" w:space="0" w:color="auto"/>
        <w:right w:val="none" w:sz="0" w:space="0" w:color="auto"/>
      </w:divBdr>
    </w:div>
    <w:div w:id="926696108">
      <w:bodyDiv w:val="1"/>
      <w:marLeft w:val="0"/>
      <w:marRight w:val="0"/>
      <w:marTop w:val="0"/>
      <w:marBottom w:val="0"/>
      <w:divBdr>
        <w:top w:val="none" w:sz="0" w:space="0" w:color="auto"/>
        <w:left w:val="none" w:sz="0" w:space="0" w:color="auto"/>
        <w:bottom w:val="none" w:sz="0" w:space="0" w:color="auto"/>
        <w:right w:val="none" w:sz="0" w:space="0" w:color="auto"/>
      </w:divBdr>
    </w:div>
    <w:div w:id="986593228">
      <w:bodyDiv w:val="1"/>
      <w:marLeft w:val="0"/>
      <w:marRight w:val="0"/>
      <w:marTop w:val="0"/>
      <w:marBottom w:val="0"/>
      <w:divBdr>
        <w:top w:val="none" w:sz="0" w:space="0" w:color="auto"/>
        <w:left w:val="none" w:sz="0" w:space="0" w:color="auto"/>
        <w:bottom w:val="none" w:sz="0" w:space="0" w:color="auto"/>
        <w:right w:val="none" w:sz="0" w:space="0" w:color="auto"/>
      </w:divBdr>
    </w:div>
    <w:div w:id="1165628767">
      <w:bodyDiv w:val="1"/>
      <w:marLeft w:val="0"/>
      <w:marRight w:val="0"/>
      <w:marTop w:val="0"/>
      <w:marBottom w:val="0"/>
      <w:divBdr>
        <w:top w:val="none" w:sz="0" w:space="0" w:color="auto"/>
        <w:left w:val="none" w:sz="0" w:space="0" w:color="auto"/>
        <w:bottom w:val="none" w:sz="0" w:space="0" w:color="auto"/>
        <w:right w:val="none" w:sz="0" w:space="0" w:color="auto"/>
      </w:divBdr>
    </w:div>
    <w:div w:id="1188982707">
      <w:bodyDiv w:val="1"/>
      <w:marLeft w:val="0"/>
      <w:marRight w:val="0"/>
      <w:marTop w:val="0"/>
      <w:marBottom w:val="0"/>
      <w:divBdr>
        <w:top w:val="none" w:sz="0" w:space="0" w:color="auto"/>
        <w:left w:val="none" w:sz="0" w:space="0" w:color="auto"/>
        <w:bottom w:val="none" w:sz="0" w:space="0" w:color="auto"/>
        <w:right w:val="none" w:sz="0" w:space="0" w:color="auto"/>
      </w:divBdr>
    </w:div>
    <w:div w:id="1220900591">
      <w:bodyDiv w:val="1"/>
      <w:marLeft w:val="0"/>
      <w:marRight w:val="0"/>
      <w:marTop w:val="0"/>
      <w:marBottom w:val="0"/>
      <w:divBdr>
        <w:top w:val="none" w:sz="0" w:space="0" w:color="auto"/>
        <w:left w:val="none" w:sz="0" w:space="0" w:color="auto"/>
        <w:bottom w:val="none" w:sz="0" w:space="0" w:color="auto"/>
        <w:right w:val="none" w:sz="0" w:space="0" w:color="auto"/>
      </w:divBdr>
    </w:div>
    <w:div w:id="1257204771">
      <w:bodyDiv w:val="1"/>
      <w:marLeft w:val="0"/>
      <w:marRight w:val="0"/>
      <w:marTop w:val="0"/>
      <w:marBottom w:val="0"/>
      <w:divBdr>
        <w:top w:val="none" w:sz="0" w:space="0" w:color="auto"/>
        <w:left w:val="none" w:sz="0" w:space="0" w:color="auto"/>
        <w:bottom w:val="none" w:sz="0" w:space="0" w:color="auto"/>
        <w:right w:val="none" w:sz="0" w:space="0" w:color="auto"/>
      </w:divBdr>
    </w:div>
    <w:div w:id="1260869283">
      <w:bodyDiv w:val="1"/>
      <w:marLeft w:val="0"/>
      <w:marRight w:val="0"/>
      <w:marTop w:val="0"/>
      <w:marBottom w:val="0"/>
      <w:divBdr>
        <w:top w:val="none" w:sz="0" w:space="0" w:color="auto"/>
        <w:left w:val="none" w:sz="0" w:space="0" w:color="auto"/>
        <w:bottom w:val="none" w:sz="0" w:space="0" w:color="auto"/>
        <w:right w:val="none" w:sz="0" w:space="0" w:color="auto"/>
      </w:divBdr>
    </w:div>
    <w:div w:id="1262645655">
      <w:bodyDiv w:val="1"/>
      <w:marLeft w:val="0"/>
      <w:marRight w:val="0"/>
      <w:marTop w:val="0"/>
      <w:marBottom w:val="0"/>
      <w:divBdr>
        <w:top w:val="none" w:sz="0" w:space="0" w:color="auto"/>
        <w:left w:val="none" w:sz="0" w:space="0" w:color="auto"/>
        <w:bottom w:val="none" w:sz="0" w:space="0" w:color="auto"/>
        <w:right w:val="none" w:sz="0" w:space="0" w:color="auto"/>
      </w:divBdr>
    </w:div>
    <w:div w:id="1315766573">
      <w:bodyDiv w:val="1"/>
      <w:marLeft w:val="0"/>
      <w:marRight w:val="0"/>
      <w:marTop w:val="0"/>
      <w:marBottom w:val="0"/>
      <w:divBdr>
        <w:top w:val="none" w:sz="0" w:space="0" w:color="auto"/>
        <w:left w:val="none" w:sz="0" w:space="0" w:color="auto"/>
        <w:bottom w:val="none" w:sz="0" w:space="0" w:color="auto"/>
        <w:right w:val="none" w:sz="0" w:space="0" w:color="auto"/>
      </w:divBdr>
    </w:div>
    <w:div w:id="1341355478">
      <w:bodyDiv w:val="1"/>
      <w:marLeft w:val="0"/>
      <w:marRight w:val="0"/>
      <w:marTop w:val="0"/>
      <w:marBottom w:val="0"/>
      <w:divBdr>
        <w:top w:val="none" w:sz="0" w:space="0" w:color="auto"/>
        <w:left w:val="none" w:sz="0" w:space="0" w:color="auto"/>
        <w:bottom w:val="none" w:sz="0" w:space="0" w:color="auto"/>
        <w:right w:val="none" w:sz="0" w:space="0" w:color="auto"/>
      </w:divBdr>
    </w:div>
    <w:div w:id="1428427309">
      <w:bodyDiv w:val="1"/>
      <w:marLeft w:val="0"/>
      <w:marRight w:val="0"/>
      <w:marTop w:val="0"/>
      <w:marBottom w:val="0"/>
      <w:divBdr>
        <w:top w:val="none" w:sz="0" w:space="0" w:color="auto"/>
        <w:left w:val="none" w:sz="0" w:space="0" w:color="auto"/>
        <w:bottom w:val="none" w:sz="0" w:space="0" w:color="auto"/>
        <w:right w:val="none" w:sz="0" w:space="0" w:color="auto"/>
      </w:divBdr>
    </w:div>
    <w:div w:id="1448619177">
      <w:bodyDiv w:val="1"/>
      <w:marLeft w:val="0"/>
      <w:marRight w:val="0"/>
      <w:marTop w:val="0"/>
      <w:marBottom w:val="0"/>
      <w:divBdr>
        <w:top w:val="none" w:sz="0" w:space="0" w:color="auto"/>
        <w:left w:val="none" w:sz="0" w:space="0" w:color="auto"/>
        <w:bottom w:val="none" w:sz="0" w:space="0" w:color="auto"/>
        <w:right w:val="none" w:sz="0" w:space="0" w:color="auto"/>
      </w:divBdr>
    </w:div>
    <w:div w:id="1464735406">
      <w:bodyDiv w:val="1"/>
      <w:marLeft w:val="0"/>
      <w:marRight w:val="0"/>
      <w:marTop w:val="0"/>
      <w:marBottom w:val="0"/>
      <w:divBdr>
        <w:top w:val="none" w:sz="0" w:space="0" w:color="auto"/>
        <w:left w:val="none" w:sz="0" w:space="0" w:color="auto"/>
        <w:bottom w:val="none" w:sz="0" w:space="0" w:color="auto"/>
        <w:right w:val="none" w:sz="0" w:space="0" w:color="auto"/>
      </w:divBdr>
    </w:div>
    <w:div w:id="1469321296">
      <w:bodyDiv w:val="1"/>
      <w:marLeft w:val="0"/>
      <w:marRight w:val="0"/>
      <w:marTop w:val="0"/>
      <w:marBottom w:val="0"/>
      <w:divBdr>
        <w:top w:val="none" w:sz="0" w:space="0" w:color="auto"/>
        <w:left w:val="none" w:sz="0" w:space="0" w:color="auto"/>
        <w:bottom w:val="none" w:sz="0" w:space="0" w:color="auto"/>
        <w:right w:val="none" w:sz="0" w:space="0" w:color="auto"/>
      </w:divBdr>
    </w:div>
    <w:div w:id="1478642832">
      <w:bodyDiv w:val="1"/>
      <w:marLeft w:val="0"/>
      <w:marRight w:val="0"/>
      <w:marTop w:val="0"/>
      <w:marBottom w:val="0"/>
      <w:divBdr>
        <w:top w:val="none" w:sz="0" w:space="0" w:color="auto"/>
        <w:left w:val="none" w:sz="0" w:space="0" w:color="auto"/>
        <w:bottom w:val="none" w:sz="0" w:space="0" w:color="auto"/>
        <w:right w:val="none" w:sz="0" w:space="0" w:color="auto"/>
      </w:divBdr>
    </w:div>
    <w:div w:id="1511483487">
      <w:bodyDiv w:val="1"/>
      <w:marLeft w:val="0"/>
      <w:marRight w:val="0"/>
      <w:marTop w:val="0"/>
      <w:marBottom w:val="0"/>
      <w:divBdr>
        <w:top w:val="none" w:sz="0" w:space="0" w:color="auto"/>
        <w:left w:val="none" w:sz="0" w:space="0" w:color="auto"/>
        <w:bottom w:val="none" w:sz="0" w:space="0" w:color="auto"/>
        <w:right w:val="none" w:sz="0" w:space="0" w:color="auto"/>
      </w:divBdr>
    </w:div>
    <w:div w:id="1539202496">
      <w:bodyDiv w:val="1"/>
      <w:marLeft w:val="0"/>
      <w:marRight w:val="0"/>
      <w:marTop w:val="0"/>
      <w:marBottom w:val="0"/>
      <w:divBdr>
        <w:top w:val="none" w:sz="0" w:space="0" w:color="auto"/>
        <w:left w:val="none" w:sz="0" w:space="0" w:color="auto"/>
        <w:bottom w:val="none" w:sz="0" w:space="0" w:color="auto"/>
        <w:right w:val="none" w:sz="0" w:space="0" w:color="auto"/>
      </w:divBdr>
    </w:div>
    <w:div w:id="1582718607">
      <w:bodyDiv w:val="1"/>
      <w:marLeft w:val="0"/>
      <w:marRight w:val="0"/>
      <w:marTop w:val="0"/>
      <w:marBottom w:val="0"/>
      <w:divBdr>
        <w:top w:val="none" w:sz="0" w:space="0" w:color="auto"/>
        <w:left w:val="none" w:sz="0" w:space="0" w:color="auto"/>
        <w:bottom w:val="none" w:sz="0" w:space="0" w:color="auto"/>
        <w:right w:val="none" w:sz="0" w:space="0" w:color="auto"/>
      </w:divBdr>
    </w:div>
    <w:div w:id="1609311841">
      <w:bodyDiv w:val="1"/>
      <w:marLeft w:val="0"/>
      <w:marRight w:val="0"/>
      <w:marTop w:val="0"/>
      <w:marBottom w:val="0"/>
      <w:divBdr>
        <w:top w:val="none" w:sz="0" w:space="0" w:color="auto"/>
        <w:left w:val="none" w:sz="0" w:space="0" w:color="auto"/>
        <w:bottom w:val="none" w:sz="0" w:space="0" w:color="auto"/>
        <w:right w:val="none" w:sz="0" w:space="0" w:color="auto"/>
      </w:divBdr>
    </w:div>
    <w:div w:id="1632250188">
      <w:bodyDiv w:val="1"/>
      <w:marLeft w:val="0"/>
      <w:marRight w:val="0"/>
      <w:marTop w:val="0"/>
      <w:marBottom w:val="0"/>
      <w:divBdr>
        <w:top w:val="none" w:sz="0" w:space="0" w:color="auto"/>
        <w:left w:val="none" w:sz="0" w:space="0" w:color="auto"/>
        <w:bottom w:val="none" w:sz="0" w:space="0" w:color="auto"/>
        <w:right w:val="none" w:sz="0" w:space="0" w:color="auto"/>
      </w:divBdr>
    </w:div>
    <w:div w:id="1648050980">
      <w:bodyDiv w:val="1"/>
      <w:marLeft w:val="0"/>
      <w:marRight w:val="0"/>
      <w:marTop w:val="0"/>
      <w:marBottom w:val="0"/>
      <w:divBdr>
        <w:top w:val="none" w:sz="0" w:space="0" w:color="auto"/>
        <w:left w:val="none" w:sz="0" w:space="0" w:color="auto"/>
        <w:bottom w:val="none" w:sz="0" w:space="0" w:color="auto"/>
        <w:right w:val="none" w:sz="0" w:space="0" w:color="auto"/>
      </w:divBdr>
    </w:div>
    <w:div w:id="1648703433">
      <w:bodyDiv w:val="1"/>
      <w:marLeft w:val="0"/>
      <w:marRight w:val="0"/>
      <w:marTop w:val="0"/>
      <w:marBottom w:val="0"/>
      <w:divBdr>
        <w:top w:val="none" w:sz="0" w:space="0" w:color="auto"/>
        <w:left w:val="none" w:sz="0" w:space="0" w:color="auto"/>
        <w:bottom w:val="none" w:sz="0" w:space="0" w:color="auto"/>
        <w:right w:val="none" w:sz="0" w:space="0" w:color="auto"/>
      </w:divBdr>
    </w:div>
    <w:div w:id="1659573127">
      <w:bodyDiv w:val="1"/>
      <w:marLeft w:val="0"/>
      <w:marRight w:val="0"/>
      <w:marTop w:val="0"/>
      <w:marBottom w:val="0"/>
      <w:divBdr>
        <w:top w:val="none" w:sz="0" w:space="0" w:color="auto"/>
        <w:left w:val="none" w:sz="0" w:space="0" w:color="auto"/>
        <w:bottom w:val="none" w:sz="0" w:space="0" w:color="auto"/>
        <w:right w:val="none" w:sz="0" w:space="0" w:color="auto"/>
      </w:divBdr>
    </w:div>
    <w:div w:id="1690179526">
      <w:bodyDiv w:val="1"/>
      <w:marLeft w:val="0"/>
      <w:marRight w:val="0"/>
      <w:marTop w:val="0"/>
      <w:marBottom w:val="0"/>
      <w:divBdr>
        <w:top w:val="none" w:sz="0" w:space="0" w:color="auto"/>
        <w:left w:val="none" w:sz="0" w:space="0" w:color="auto"/>
        <w:bottom w:val="none" w:sz="0" w:space="0" w:color="auto"/>
        <w:right w:val="none" w:sz="0" w:space="0" w:color="auto"/>
      </w:divBdr>
    </w:div>
    <w:div w:id="1742828625">
      <w:bodyDiv w:val="1"/>
      <w:marLeft w:val="0"/>
      <w:marRight w:val="0"/>
      <w:marTop w:val="0"/>
      <w:marBottom w:val="0"/>
      <w:divBdr>
        <w:top w:val="none" w:sz="0" w:space="0" w:color="auto"/>
        <w:left w:val="none" w:sz="0" w:space="0" w:color="auto"/>
        <w:bottom w:val="none" w:sz="0" w:space="0" w:color="auto"/>
        <w:right w:val="none" w:sz="0" w:space="0" w:color="auto"/>
      </w:divBdr>
    </w:div>
    <w:div w:id="1803234463">
      <w:bodyDiv w:val="1"/>
      <w:marLeft w:val="0"/>
      <w:marRight w:val="0"/>
      <w:marTop w:val="0"/>
      <w:marBottom w:val="0"/>
      <w:divBdr>
        <w:top w:val="none" w:sz="0" w:space="0" w:color="auto"/>
        <w:left w:val="none" w:sz="0" w:space="0" w:color="auto"/>
        <w:bottom w:val="none" w:sz="0" w:space="0" w:color="auto"/>
        <w:right w:val="none" w:sz="0" w:space="0" w:color="auto"/>
      </w:divBdr>
    </w:div>
    <w:div w:id="1853569975">
      <w:bodyDiv w:val="1"/>
      <w:marLeft w:val="0"/>
      <w:marRight w:val="0"/>
      <w:marTop w:val="0"/>
      <w:marBottom w:val="0"/>
      <w:divBdr>
        <w:top w:val="none" w:sz="0" w:space="0" w:color="auto"/>
        <w:left w:val="none" w:sz="0" w:space="0" w:color="auto"/>
        <w:bottom w:val="none" w:sz="0" w:space="0" w:color="auto"/>
        <w:right w:val="none" w:sz="0" w:space="0" w:color="auto"/>
      </w:divBdr>
    </w:div>
    <w:div w:id="1854831307">
      <w:bodyDiv w:val="1"/>
      <w:marLeft w:val="0"/>
      <w:marRight w:val="0"/>
      <w:marTop w:val="0"/>
      <w:marBottom w:val="0"/>
      <w:divBdr>
        <w:top w:val="none" w:sz="0" w:space="0" w:color="auto"/>
        <w:left w:val="none" w:sz="0" w:space="0" w:color="auto"/>
        <w:bottom w:val="none" w:sz="0" w:space="0" w:color="auto"/>
        <w:right w:val="none" w:sz="0" w:space="0" w:color="auto"/>
      </w:divBdr>
    </w:div>
    <w:div w:id="1881090864">
      <w:bodyDiv w:val="1"/>
      <w:marLeft w:val="0"/>
      <w:marRight w:val="0"/>
      <w:marTop w:val="0"/>
      <w:marBottom w:val="0"/>
      <w:divBdr>
        <w:top w:val="none" w:sz="0" w:space="0" w:color="auto"/>
        <w:left w:val="none" w:sz="0" w:space="0" w:color="auto"/>
        <w:bottom w:val="none" w:sz="0" w:space="0" w:color="auto"/>
        <w:right w:val="none" w:sz="0" w:space="0" w:color="auto"/>
      </w:divBdr>
    </w:div>
    <w:div w:id="1925458339">
      <w:bodyDiv w:val="1"/>
      <w:marLeft w:val="0"/>
      <w:marRight w:val="0"/>
      <w:marTop w:val="0"/>
      <w:marBottom w:val="0"/>
      <w:divBdr>
        <w:top w:val="none" w:sz="0" w:space="0" w:color="auto"/>
        <w:left w:val="none" w:sz="0" w:space="0" w:color="auto"/>
        <w:bottom w:val="none" w:sz="0" w:space="0" w:color="auto"/>
        <w:right w:val="none" w:sz="0" w:space="0" w:color="auto"/>
      </w:divBdr>
    </w:div>
    <w:div w:id="1950428744">
      <w:bodyDiv w:val="1"/>
      <w:marLeft w:val="0"/>
      <w:marRight w:val="0"/>
      <w:marTop w:val="0"/>
      <w:marBottom w:val="0"/>
      <w:divBdr>
        <w:top w:val="none" w:sz="0" w:space="0" w:color="auto"/>
        <w:left w:val="none" w:sz="0" w:space="0" w:color="auto"/>
        <w:bottom w:val="none" w:sz="0" w:space="0" w:color="auto"/>
        <w:right w:val="none" w:sz="0" w:space="0" w:color="auto"/>
      </w:divBdr>
    </w:div>
    <w:div w:id="2003775253">
      <w:bodyDiv w:val="1"/>
      <w:marLeft w:val="0"/>
      <w:marRight w:val="0"/>
      <w:marTop w:val="0"/>
      <w:marBottom w:val="0"/>
      <w:divBdr>
        <w:top w:val="none" w:sz="0" w:space="0" w:color="auto"/>
        <w:left w:val="none" w:sz="0" w:space="0" w:color="auto"/>
        <w:bottom w:val="none" w:sz="0" w:space="0" w:color="auto"/>
        <w:right w:val="none" w:sz="0" w:space="0" w:color="auto"/>
      </w:divBdr>
    </w:div>
    <w:div w:id="2012369468">
      <w:bodyDiv w:val="1"/>
      <w:marLeft w:val="0"/>
      <w:marRight w:val="0"/>
      <w:marTop w:val="0"/>
      <w:marBottom w:val="0"/>
      <w:divBdr>
        <w:top w:val="none" w:sz="0" w:space="0" w:color="auto"/>
        <w:left w:val="none" w:sz="0" w:space="0" w:color="auto"/>
        <w:bottom w:val="none" w:sz="0" w:space="0" w:color="auto"/>
        <w:right w:val="none" w:sz="0" w:space="0" w:color="auto"/>
      </w:divBdr>
    </w:div>
    <w:div w:id="2018072558">
      <w:bodyDiv w:val="1"/>
      <w:marLeft w:val="0"/>
      <w:marRight w:val="0"/>
      <w:marTop w:val="0"/>
      <w:marBottom w:val="0"/>
      <w:divBdr>
        <w:top w:val="none" w:sz="0" w:space="0" w:color="auto"/>
        <w:left w:val="none" w:sz="0" w:space="0" w:color="auto"/>
        <w:bottom w:val="none" w:sz="0" w:space="0" w:color="auto"/>
        <w:right w:val="none" w:sz="0" w:space="0" w:color="auto"/>
      </w:divBdr>
    </w:div>
    <w:div w:id="2034913281">
      <w:bodyDiv w:val="1"/>
      <w:marLeft w:val="0"/>
      <w:marRight w:val="0"/>
      <w:marTop w:val="0"/>
      <w:marBottom w:val="0"/>
      <w:divBdr>
        <w:top w:val="none" w:sz="0" w:space="0" w:color="auto"/>
        <w:left w:val="none" w:sz="0" w:space="0" w:color="auto"/>
        <w:bottom w:val="none" w:sz="0" w:space="0" w:color="auto"/>
        <w:right w:val="none" w:sz="0" w:space="0" w:color="auto"/>
      </w:divBdr>
    </w:div>
    <w:div w:id="2049261611">
      <w:bodyDiv w:val="1"/>
      <w:marLeft w:val="0"/>
      <w:marRight w:val="0"/>
      <w:marTop w:val="0"/>
      <w:marBottom w:val="0"/>
      <w:divBdr>
        <w:top w:val="none" w:sz="0" w:space="0" w:color="auto"/>
        <w:left w:val="none" w:sz="0" w:space="0" w:color="auto"/>
        <w:bottom w:val="none" w:sz="0" w:space="0" w:color="auto"/>
        <w:right w:val="none" w:sz="0" w:space="0" w:color="auto"/>
      </w:divBdr>
    </w:div>
    <w:div w:id="2064863628">
      <w:bodyDiv w:val="1"/>
      <w:marLeft w:val="0"/>
      <w:marRight w:val="0"/>
      <w:marTop w:val="0"/>
      <w:marBottom w:val="0"/>
      <w:divBdr>
        <w:top w:val="none" w:sz="0" w:space="0" w:color="auto"/>
        <w:left w:val="none" w:sz="0" w:space="0" w:color="auto"/>
        <w:bottom w:val="none" w:sz="0" w:space="0" w:color="auto"/>
        <w:right w:val="none" w:sz="0" w:space="0" w:color="auto"/>
      </w:divBdr>
    </w:div>
    <w:div w:id="2065257331">
      <w:bodyDiv w:val="1"/>
      <w:marLeft w:val="0"/>
      <w:marRight w:val="0"/>
      <w:marTop w:val="0"/>
      <w:marBottom w:val="0"/>
      <w:divBdr>
        <w:top w:val="none" w:sz="0" w:space="0" w:color="auto"/>
        <w:left w:val="none" w:sz="0" w:space="0" w:color="auto"/>
        <w:bottom w:val="none" w:sz="0" w:space="0" w:color="auto"/>
        <w:right w:val="none" w:sz="0" w:space="0" w:color="auto"/>
      </w:divBdr>
    </w:div>
    <w:div w:id="2066365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footer" Target="footer4.xml"/><Relationship Id="rId42" Type="http://schemas.openxmlformats.org/officeDocument/2006/relationships/hyperlink" Target="http://www.bp.com.br" TargetMode="External"/><Relationship Id="rId47" Type="http://schemas.openxmlformats.org/officeDocument/2006/relationships/hyperlink" Target="mailto:brazil@oilspillresponse.com" TargetMode="External"/><Relationship Id="rId63" Type="http://schemas.openxmlformats.org/officeDocument/2006/relationships/footer" Target="footer13.xml"/><Relationship Id="rId68" Type="http://schemas.openxmlformats.org/officeDocument/2006/relationships/image" Target="media/image24.png"/><Relationship Id="rId84" Type="http://schemas.openxmlformats.org/officeDocument/2006/relationships/hyperlink" Target="http://www.anp.gov.br" TargetMode="External"/><Relationship Id="rId89" Type="http://schemas.openxmlformats.org/officeDocument/2006/relationships/hyperlink" Target="https://www.elastec.com/" TargetMode="External"/><Relationship Id="rId7" Type="http://schemas.openxmlformats.org/officeDocument/2006/relationships/footnotes" Target="footnotes.xml"/><Relationship Id="rId71" Type="http://schemas.openxmlformats.org/officeDocument/2006/relationships/image" Target="media/image27.jpeg"/><Relationship Id="rId92" Type="http://schemas.openxmlformats.org/officeDocument/2006/relationships/hyperlink" Target="http://www.ipieca.org/library?tid%5b0%5d=8&amp;language=en&amp;date_filter%5bvalue%5d%5byear%5d=&amp;keys=&amp;_x=30&amp;_y=11" TargetMode="External"/><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image" Target="media/image9.png"/><Relationship Id="rId11" Type="http://schemas.openxmlformats.org/officeDocument/2006/relationships/footer" Target="footer1.xml"/><Relationship Id="rId24" Type="http://schemas.openxmlformats.org/officeDocument/2006/relationships/footer" Target="footer5.xml"/><Relationship Id="rId32" Type="http://schemas.openxmlformats.org/officeDocument/2006/relationships/footer" Target="footer7.xml"/><Relationship Id="rId37" Type="http://schemas.openxmlformats.org/officeDocument/2006/relationships/footer" Target="footer9.xml"/><Relationship Id="rId40" Type="http://schemas.openxmlformats.org/officeDocument/2006/relationships/footer" Target="footer11.xml"/><Relationship Id="rId45" Type="http://schemas.openxmlformats.org/officeDocument/2006/relationships/hyperlink" Target="mailto:southampton@oilspillresponse.com" TargetMode="External"/><Relationship Id="rId53" Type="http://schemas.openxmlformats.org/officeDocument/2006/relationships/image" Target="media/image15.jpeg"/><Relationship Id="rId58" Type="http://schemas.openxmlformats.org/officeDocument/2006/relationships/image" Target="media/image20.png"/><Relationship Id="rId66" Type="http://schemas.openxmlformats.org/officeDocument/2006/relationships/image" Target="media/image22.emf"/><Relationship Id="rId74" Type="http://schemas.openxmlformats.org/officeDocument/2006/relationships/image" Target="media/image30.png"/><Relationship Id="rId79" Type="http://schemas.openxmlformats.org/officeDocument/2006/relationships/header" Target="header15.xml"/><Relationship Id="rId87" Type="http://schemas.openxmlformats.org/officeDocument/2006/relationships/hyperlink" Target="http://www.elastec.com/oilspill/dispersant/elaspray/" TargetMode="External"/><Relationship Id="rId102" Type="http://schemas.openxmlformats.org/officeDocument/2006/relationships/hyperlink" Target="https://www.threetek.com" TargetMode="External"/><Relationship Id="rId5" Type="http://schemas.openxmlformats.org/officeDocument/2006/relationships/settings" Target="settings.xml"/><Relationship Id="rId61" Type="http://schemas.openxmlformats.org/officeDocument/2006/relationships/header" Target="header13.xml"/><Relationship Id="rId82" Type="http://schemas.openxmlformats.org/officeDocument/2006/relationships/footer" Target="footer16.xml"/><Relationship Id="rId90" Type="http://schemas.openxmlformats.org/officeDocument/2006/relationships/hyperlink" Target="https://www.sat.cnpm.embrapa.br/%20conteudo/radarsat.html" TargetMode="External"/><Relationship Id="rId95" Type="http://schemas.openxmlformats.org/officeDocument/2006/relationships/hyperlink" Target="http://www.maritimerobotics.com/systems/%20ocean-eye/" TargetMode="External"/><Relationship Id="rId19" Type="http://schemas.openxmlformats.org/officeDocument/2006/relationships/image" Target="media/image5.jpg"/><Relationship Id="rId14" Type="http://schemas.openxmlformats.org/officeDocument/2006/relationships/header" Target="header3.xml"/><Relationship Id="rId22" Type="http://schemas.openxmlformats.org/officeDocument/2006/relationships/header" Target="header5.xml"/><Relationship Id="rId27" Type="http://schemas.openxmlformats.org/officeDocument/2006/relationships/image" Target="media/image7.png"/><Relationship Id="rId30" Type="http://schemas.openxmlformats.org/officeDocument/2006/relationships/hyperlink" Target="http://www.anp.gov.br" TargetMode="External"/><Relationship Id="rId35" Type="http://schemas.openxmlformats.org/officeDocument/2006/relationships/header" Target="header9.xml"/><Relationship Id="rId43" Type="http://schemas.openxmlformats.org/officeDocument/2006/relationships/hyperlink" Target="mailto:info@arpel.org.uy" TargetMode="External"/><Relationship Id="rId48" Type="http://schemas.openxmlformats.org/officeDocument/2006/relationships/image" Target="media/image10.emf"/><Relationship Id="rId56" Type="http://schemas.openxmlformats.org/officeDocument/2006/relationships/image" Target="media/image18.png"/><Relationship Id="rId64" Type="http://schemas.openxmlformats.org/officeDocument/2006/relationships/header" Target="header14.xml"/><Relationship Id="rId69" Type="http://schemas.openxmlformats.org/officeDocument/2006/relationships/image" Target="media/image25.png"/><Relationship Id="rId77" Type="http://schemas.openxmlformats.org/officeDocument/2006/relationships/image" Target="media/image33.emf"/><Relationship Id="rId100" Type="http://schemas.openxmlformats.org/officeDocument/2006/relationships/hyperlink" Target="https://www.researchgate.net/publication/271231994" TargetMode="External"/><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13.png"/><Relationship Id="rId72" Type="http://schemas.openxmlformats.org/officeDocument/2006/relationships/image" Target="media/image28.png"/><Relationship Id="rId80" Type="http://schemas.openxmlformats.org/officeDocument/2006/relationships/footer" Target="footer15.xml"/><Relationship Id="rId85" Type="http://schemas.openxmlformats.org/officeDocument/2006/relationships/hyperlink" Target="https://www.asc-csa.gc.ca/eng" TargetMode="External"/><Relationship Id="rId93" Type="http://schemas.openxmlformats.org/officeDocument/2006/relationships/hyperlink" Target="http://www.oilspillresponseproject.org/wp-content/uploads/2016/02/JIP-17-Decanting.pdf" TargetMode="External"/><Relationship Id="rId98" Type="http://schemas.openxmlformats.org/officeDocument/2006/relationships/hyperlink" Target="http://www.nesdis.noaa.gov/news_archives/valdez_anniversary.html" TargetMode="Externa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yperlink" Target="mailto:humberto.quintas@bp.com" TargetMode="External"/><Relationship Id="rId25" Type="http://schemas.openxmlformats.org/officeDocument/2006/relationships/footer" Target="footer6.xml"/><Relationship Id="rId33" Type="http://schemas.openxmlformats.org/officeDocument/2006/relationships/header" Target="header8.xml"/><Relationship Id="rId38" Type="http://schemas.openxmlformats.org/officeDocument/2006/relationships/footer" Target="footer10.xml"/><Relationship Id="rId46" Type="http://schemas.openxmlformats.org/officeDocument/2006/relationships/hyperlink" Target="https://www.oilspillresponse.com/" TargetMode="External"/><Relationship Id="rId59" Type="http://schemas.openxmlformats.org/officeDocument/2006/relationships/image" Target="media/image21.emf"/><Relationship Id="rId67" Type="http://schemas.openxmlformats.org/officeDocument/2006/relationships/image" Target="media/image23.jpg"/><Relationship Id="rId103" Type="http://schemas.openxmlformats.org/officeDocument/2006/relationships/header" Target="header17.xml"/><Relationship Id="rId20" Type="http://schemas.openxmlformats.org/officeDocument/2006/relationships/header" Target="header4.xml"/><Relationship Id="rId41" Type="http://schemas.openxmlformats.org/officeDocument/2006/relationships/hyperlink" Target="mailto:falecom@bp.com" TargetMode="External"/><Relationship Id="rId54" Type="http://schemas.openxmlformats.org/officeDocument/2006/relationships/image" Target="media/image16.jpeg"/><Relationship Id="rId62" Type="http://schemas.openxmlformats.org/officeDocument/2006/relationships/footer" Target="footer12.xml"/><Relationship Id="rId70" Type="http://schemas.openxmlformats.org/officeDocument/2006/relationships/image" Target="media/image26.png"/><Relationship Id="rId75" Type="http://schemas.openxmlformats.org/officeDocument/2006/relationships/image" Target="media/image31.png"/><Relationship Id="rId83" Type="http://schemas.openxmlformats.org/officeDocument/2006/relationships/image" Target="media/image35.png"/><Relationship Id="rId88" Type="http://schemas.openxmlformats.org/officeDocument/2006/relationships/hyperlink" Target="https://www.elastec.com/oilspill" TargetMode="External"/><Relationship Id="rId91" Type="http://schemas.openxmlformats.org/officeDocument/2006/relationships/hyperlink" Target="http://www.inmet.gov.br/html/informacoes/glossario/%20glossario.html" TargetMode="External"/><Relationship Id="rId96" Type="http://schemas.openxmlformats.org/officeDocument/2006/relationships/hyperlink" Target="https://www.MarineTraffic.com"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eader" Target="header6.xml"/><Relationship Id="rId28" Type="http://schemas.openxmlformats.org/officeDocument/2006/relationships/image" Target="media/image8.png"/><Relationship Id="rId36" Type="http://schemas.openxmlformats.org/officeDocument/2006/relationships/header" Target="header10.xml"/><Relationship Id="rId49" Type="http://schemas.openxmlformats.org/officeDocument/2006/relationships/image" Target="media/image11.emf"/><Relationship Id="rId57" Type="http://schemas.openxmlformats.org/officeDocument/2006/relationships/image" Target="media/image19.png"/><Relationship Id="rId106" Type="http://schemas.openxmlformats.org/officeDocument/2006/relationships/theme" Target="theme/theme1.xml"/><Relationship Id="rId10" Type="http://schemas.openxmlformats.org/officeDocument/2006/relationships/header" Target="header1.xml"/><Relationship Id="rId31" Type="http://schemas.openxmlformats.org/officeDocument/2006/relationships/header" Target="header7.xml"/><Relationship Id="rId44" Type="http://schemas.openxmlformats.org/officeDocument/2006/relationships/hyperlink" Target="http://www.arpel.org" TargetMode="External"/><Relationship Id="rId52" Type="http://schemas.openxmlformats.org/officeDocument/2006/relationships/image" Target="media/image14.png"/><Relationship Id="rId60" Type="http://schemas.openxmlformats.org/officeDocument/2006/relationships/header" Target="header12.xml"/><Relationship Id="rId65" Type="http://schemas.openxmlformats.org/officeDocument/2006/relationships/footer" Target="footer14.xml"/><Relationship Id="rId73" Type="http://schemas.openxmlformats.org/officeDocument/2006/relationships/image" Target="media/image29.png"/><Relationship Id="rId78" Type="http://schemas.openxmlformats.org/officeDocument/2006/relationships/image" Target="media/image34.jpg"/><Relationship Id="rId81" Type="http://schemas.openxmlformats.org/officeDocument/2006/relationships/header" Target="header16.xml"/><Relationship Id="rId86" Type="http://schemas.openxmlformats.org/officeDocument/2006/relationships/hyperlink" Target="http://www.cetesb.sp.gov.br/gerenciamento-de-riscos/Vazamento%20de%20Oleo/228-Limpeza%20de%20Ambientes%25%2020Costeiros" TargetMode="External"/><Relationship Id="rId94" Type="http://schemas.openxmlformats.org/officeDocument/2006/relationships/hyperlink" Target="http://www.oilspillresponseproject.org/wp-content/uploads/2016/02/IOGP-IPIECA-RP-for-COP-architecture-release-2.2-plus-annexes.pdf" TargetMode="External"/><Relationship Id="rId99" Type="http://schemas.openxmlformats.org/officeDocument/2006/relationships/hyperlink" Target="http://www.nofi.no/nofi-current-busterareg-8.4663345-139608.html" TargetMode="External"/><Relationship Id="rId101" Type="http://schemas.openxmlformats.org/officeDocument/2006/relationships/hyperlink" Target="https://www.sintef.no" TargetMode="External"/><Relationship Id="rId4" Type="http://schemas.openxmlformats.org/officeDocument/2006/relationships/styles" Target="styles.xml"/><Relationship Id="rId9" Type="http://schemas.openxmlformats.org/officeDocument/2006/relationships/image" Target="media/image1.jpg"/><Relationship Id="rId13" Type="http://schemas.openxmlformats.org/officeDocument/2006/relationships/footer" Target="footer2.xml"/><Relationship Id="rId18" Type="http://schemas.openxmlformats.org/officeDocument/2006/relationships/hyperlink" Target="mailto:anderson.cantarino@bp.com" TargetMode="External"/><Relationship Id="rId39" Type="http://schemas.openxmlformats.org/officeDocument/2006/relationships/header" Target="header11.xml"/><Relationship Id="rId34" Type="http://schemas.openxmlformats.org/officeDocument/2006/relationships/footer" Target="footer8.xml"/><Relationship Id="rId50" Type="http://schemas.openxmlformats.org/officeDocument/2006/relationships/image" Target="media/image12.png"/><Relationship Id="rId55" Type="http://schemas.openxmlformats.org/officeDocument/2006/relationships/image" Target="media/image17.png"/><Relationship Id="rId76" Type="http://schemas.openxmlformats.org/officeDocument/2006/relationships/image" Target="media/image32.png"/><Relationship Id="rId97" Type="http://schemas.openxmlformats.org/officeDocument/2006/relationships/hyperlink" Target="http://modis.gsfc.nasa.gov" TargetMode="External"/><Relationship Id="rId104" Type="http://schemas.openxmlformats.org/officeDocument/2006/relationships/footer" Target="footer17.xml"/></Relationships>
</file>

<file path=word/_rels/footer12.xml.rels><?xml version="1.0" encoding="UTF-8" standalone="yes"?>
<Relationships xmlns="http://schemas.openxmlformats.org/package/2006/relationships"><Relationship Id="rId1" Type="http://schemas.openxmlformats.org/officeDocument/2006/relationships/image" Target="media/image1.jpg"/></Relationships>
</file>

<file path=word/_rels/footer5.xml.rels><?xml version="1.0" encoding="UTF-8" standalone="yes"?>
<Relationships xmlns="http://schemas.openxmlformats.org/package/2006/relationships"><Relationship Id="rId1" Type="http://schemas.openxmlformats.org/officeDocument/2006/relationships/image" Target="media/image1.jpg"/></Relationships>
</file>

<file path=word/_rels/footer9.xml.rels><?xml version="1.0" encoding="UTF-8" standalone="yes"?>
<Relationships xmlns="http://schemas.openxmlformats.org/package/2006/relationships"><Relationship Id="rId1" Type="http://schemas.openxmlformats.org/officeDocument/2006/relationships/image" Target="media/image1.jpg"/></Relationships>
</file>

<file path=word/_rels/footnotes.xml.rels><?xml version="1.0" encoding="UTF-8" standalone="yes"?>
<Relationships xmlns="http://schemas.openxmlformats.org/package/2006/relationships"><Relationship Id="rId8" Type="http://schemas.openxmlformats.org/officeDocument/2006/relationships/hyperlink" Target="http://www.spillcontrol.org/isco-what-s-new/338-guidelines-for-decanting-settled-out-water" TargetMode="External"/><Relationship Id="rId3" Type="http://schemas.openxmlformats.org/officeDocument/2006/relationships/hyperlink" Target="http://www.racrempeitc.org/" TargetMode="External"/><Relationship Id="rId7" Type="http://schemas.openxmlformats.org/officeDocument/2006/relationships/hyperlink" Target="https://www.aptomar.com/sensors/the-securus-system/" TargetMode="External"/><Relationship Id="rId2" Type="http://schemas.openxmlformats.org/officeDocument/2006/relationships/hyperlink" Target="http://www.oilspillresponse.com/" TargetMode="External"/><Relationship Id="rId1" Type="http://schemas.openxmlformats.org/officeDocument/2006/relationships/hyperlink" Target="http://www.anp.gov.br" TargetMode="External"/><Relationship Id="rId6" Type="http://schemas.openxmlformats.org/officeDocument/2006/relationships/hyperlink" Target="https://www.elastec.com/products/aerial-surveillance/" TargetMode="External"/><Relationship Id="rId5" Type="http://schemas.openxmlformats.org/officeDocument/2006/relationships/hyperlink" Target="https://www.owls-surveillance.com/" TargetMode="External"/><Relationship Id="rId4" Type="http://schemas.openxmlformats.org/officeDocument/2006/relationships/hyperlink" Target="https://maritimerobotics.com/mb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10.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jpg"/></Relationships>
</file>

<file path=word/_rels/header1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jpg"/></Relationships>
</file>

<file path=word/_rels/header12.xml.rels><?xml version="1.0" encoding="UTF-8" standalone="yes"?>
<Relationships xmlns="http://schemas.openxmlformats.org/package/2006/relationships"><Relationship Id="rId1" Type="http://schemas.openxmlformats.org/officeDocument/2006/relationships/image" Target="media/image3.jpeg"/></Relationships>
</file>

<file path=word/_rels/header1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jpg"/></Relationships>
</file>

<file path=word/_rels/header14.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jpg"/></Relationships>
</file>

<file path=word/_rels/header15.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jpg"/></Relationships>
</file>

<file path=word/_rels/header16.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jpg"/></Relationships>
</file>

<file path=word/_rels/header17.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6.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jpg"/></Relationships>
</file>

<file path=word/_rels/header7.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jpg"/></Relationships>
</file>

<file path=word/_rels/header8.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jpg"/></Relationships>
</file>

<file path=word/_rels/header9.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isl xmlns:xsi="http://www.w3.org/2001/XMLSchema-instance" xmlns:xsd="http://www.w3.org/2001/XMLSchema" xmlns="http://www.boldonjames.com/2008/01/sie/internal/label" sislVersion="0" policy="b5b2165e-8acf-48b8-a935-01f1f90977f0">
  <element uid="id_classification_businessvalue" value=""/>
</sisl>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7DADCFE-164D-4EAD-B10E-9058AFEC1440}">
  <ds:schemaRefs>
    <ds:schemaRef ds:uri="http://www.w3.org/2001/XMLSchema"/>
    <ds:schemaRef ds:uri="http://www.boldonjames.com/2008/01/sie/internal/label"/>
  </ds:schemaRefs>
</ds:datastoreItem>
</file>

<file path=customXml/itemProps2.xml><?xml version="1.0" encoding="utf-8"?>
<ds:datastoreItem xmlns:ds="http://schemas.openxmlformats.org/officeDocument/2006/customXml" ds:itemID="{29A4F756-09B6-432C-B49F-B6A3A77733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160</Pages>
  <Words>49307</Words>
  <Characters>266262</Characters>
  <Application>Microsoft Office Word</Application>
  <DocSecurity>0</DocSecurity>
  <Lines>2218</Lines>
  <Paragraphs>629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314940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Lilia</dc:creator>
  <cp:keywords>Unclassified::</cp:keywords>
  <cp:lastModifiedBy>Bosisio, Barbara</cp:lastModifiedBy>
  <cp:revision>4</cp:revision>
  <cp:lastPrinted>2018-10-19T18:18:00Z</cp:lastPrinted>
  <dcterms:created xsi:type="dcterms:W3CDTF">2018-10-22T17:59:00Z</dcterms:created>
  <dcterms:modified xsi:type="dcterms:W3CDTF">2018-10-22T19:52:00Z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70c9e66d-fcfe-407b-a91d-b8672be30996</vt:lpwstr>
  </property>
  <property fmtid="{D5CDD505-2E9C-101B-9397-08002B2CF9AE}" pid="3" name="bjDocumentLabelXML">
    <vt:lpwstr>&lt;?xml version="1.0"?&gt;&lt;sisl xmlns:xsi="http://www.w3.org/2001/XMLSchema-instance" xmlns:xsd="http://www.w3.org/2001/XMLSchema" sislVersion="0" policy="b5b2165e-8acf-48b8-a935-01f1f90977f0" xmlns="http://www.boldonjames.com/2008/01/sie/internal/label"&gt;  &lt;el</vt:lpwstr>
  </property>
  <property fmtid="{D5CDD505-2E9C-101B-9397-08002B2CF9AE}" pid="4" name="bjDocumentLabelXML-0">
    <vt:lpwstr>ement uid="id_classification_businessvalue" value="" /&gt;&lt;/sisl&gt;</vt:lpwstr>
  </property>
  <property fmtid="{D5CDD505-2E9C-101B-9397-08002B2CF9AE}" pid="5" name="bjDocumentSecurityLabel">
    <vt:lpwstr>Unclassified</vt:lpwstr>
  </property>
  <property fmtid="{D5CDD505-2E9C-101B-9397-08002B2CF9AE}" pid="6" name="MSIP_Label_569bf4a9-87bd-4dbf-a36c-1db5158e5def_Enabled">
    <vt:lpwstr>True</vt:lpwstr>
  </property>
  <property fmtid="{D5CDD505-2E9C-101B-9397-08002B2CF9AE}" pid="7" name="MSIP_Label_569bf4a9-87bd-4dbf-a36c-1db5158e5def_SiteId">
    <vt:lpwstr>ea80952e-a476-42d4-aaf4-5457852b0f7e</vt:lpwstr>
  </property>
  <property fmtid="{D5CDD505-2E9C-101B-9397-08002B2CF9AE}" pid="8" name="MSIP_Label_569bf4a9-87bd-4dbf-a36c-1db5158e5def_Owner">
    <vt:lpwstr>Luiz.Pimenta@bp.com</vt:lpwstr>
  </property>
  <property fmtid="{D5CDD505-2E9C-101B-9397-08002B2CF9AE}" pid="9" name="MSIP_Label_569bf4a9-87bd-4dbf-a36c-1db5158e5def_SetDate">
    <vt:lpwstr>2018-06-29T20:41:30.5042575Z</vt:lpwstr>
  </property>
  <property fmtid="{D5CDD505-2E9C-101B-9397-08002B2CF9AE}" pid="10" name="MSIP_Label_569bf4a9-87bd-4dbf-a36c-1db5158e5def_Name">
    <vt:lpwstr>General</vt:lpwstr>
  </property>
  <property fmtid="{D5CDD505-2E9C-101B-9397-08002B2CF9AE}" pid="11" name="MSIP_Label_569bf4a9-87bd-4dbf-a36c-1db5158e5def_Application">
    <vt:lpwstr>Microsoft Azure Information Protection</vt:lpwstr>
  </property>
  <property fmtid="{D5CDD505-2E9C-101B-9397-08002B2CF9AE}" pid="12" name="MSIP_Label_569bf4a9-87bd-4dbf-a36c-1db5158e5def_Extended_MSFT_Method">
    <vt:lpwstr>Manual</vt:lpwstr>
  </property>
  <property fmtid="{D5CDD505-2E9C-101B-9397-08002B2CF9AE}" pid="13" name="Sensitivity">
    <vt:lpwstr>General</vt:lpwstr>
  </property>
</Properties>
</file>